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10.xml" ContentType="application/vnd.openxmlformats-officedocument.drawingml.chartshapes+xml"/>
  <Override PartName="/word/drawings/drawing11.xml" ContentType="application/vnd.openxmlformats-officedocument.drawingml.chartshapes+xml"/>
  <Override PartName="/word/drawings/drawing12.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Override PartName="/word/drawings/drawing8.xml" ContentType="application/vnd.openxmlformats-officedocument.drawingml.chartshapes+xml"/>
  <Override PartName="/word/drawings/drawing9.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843C3">
      <w:pPr>
        <w:pStyle w:val="53"/>
        <w:wordWrap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目  录</w:t>
      </w:r>
    </w:p>
    <w:p w14:paraId="639D8B77">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default" w:ascii="Times New Roman" w:hAnsi="Times New Roman" w:eastAsia="宋体" w:cs="Times New Roman"/>
          <w:b/>
          <w:i/>
          <w:color w:val="auto"/>
          <w:kern w:val="2"/>
          <w:sz w:val="24"/>
          <w:szCs w:val="24"/>
          <w:highlight w:val="none"/>
          <w:lang w:val="en-US" w:eastAsia="zh-CN" w:bidi="ar-SA"/>
        </w:rPr>
      </w:pPr>
    </w:p>
    <w:p w14:paraId="3B71FB3A">
      <w:pPr>
        <w:pStyle w:val="16"/>
        <w:tabs>
          <w:tab w:val="right" w:leader="dot" w:pos="9638"/>
        </w:tabs>
        <w:rPr>
          <w:b/>
          <w:bCs/>
        </w:rPr>
      </w:pPr>
      <w:r>
        <w:rPr>
          <w:rFonts w:hint="default" w:ascii="Times New Roman" w:hAnsi="Times New Roman" w:cs="Times New Roman"/>
          <w:b/>
          <w:color w:val="auto"/>
          <w:sz w:val="24"/>
          <w:szCs w:val="24"/>
          <w:highlight w:val="none"/>
        </w:rPr>
        <w:fldChar w:fldCharType="begin"/>
      </w:r>
      <w:r>
        <w:rPr>
          <w:rFonts w:hint="default" w:ascii="Times New Roman" w:hAnsi="Times New Roman" w:cs="Times New Roman"/>
          <w:b/>
          <w:color w:val="auto"/>
          <w:sz w:val="24"/>
          <w:szCs w:val="24"/>
          <w:highlight w:val="none"/>
        </w:rPr>
        <w:instrText xml:space="preserve">TOC \o "1-2" \h \u </w:instrText>
      </w:r>
      <w:r>
        <w:rPr>
          <w:rFonts w:hint="default" w:ascii="Times New Roman" w:hAnsi="Times New Roman" w:cs="Times New Roman"/>
          <w:b/>
          <w:color w:val="auto"/>
          <w:sz w:val="24"/>
          <w:szCs w:val="24"/>
          <w:highlight w:val="none"/>
        </w:rPr>
        <w:fldChar w:fldCharType="separate"/>
      </w: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szCs w:val="24"/>
          <w:highlight w:val="none"/>
        </w:rPr>
        <w:instrText xml:space="preserve"> HYPERLINK \l _Toc27455 </w:instrText>
      </w:r>
      <w:r>
        <w:rPr>
          <w:rFonts w:hint="default" w:ascii="Times New Roman" w:hAnsi="Times New Roman" w:cs="Times New Roman"/>
          <w:b/>
          <w:bCs/>
          <w:szCs w:val="24"/>
          <w:highlight w:val="none"/>
        </w:rPr>
        <w:fldChar w:fldCharType="separate"/>
      </w:r>
      <w:r>
        <w:rPr>
          <w:rFonts w:hint="default" w:ascii="Times New Roman" w:hAnsi="Times New Roman" w:cs="Times New Roman"/>
          <w:b/>
          <w:bCs/>
        </w:rPr>
        <w:t xml:space="preserve">1. </w:t>
      </w:r>
      <w:r>
        <w:rPr>
          <w:rFonts w:hint="default" w:ascii="Times New Roman" w:hAnsi="Times New Roman" w:cs="Times New Roman"/>
          <w:b/>
          <w:bCs/>
          <w:highlight w:val="none"/>
          <w:lang w:eastAsia="zh-CN"/>
        </w:rPr>
        <w:t>概述</w:t>
      </w:r>
      <w:r>
        <w:rPr>
          <w:b/>
          <w:bCs/>
        </w:rPr>
        <w:tab/>
      </w:r>
      <w:r>
        <w:rPr>
          <w:b/>
          <w:bCs/>
        </w:rPr>
        <w:fldChar w:fldCharType="begin"/>
      </w:r>
      <w:r>
        <w:rPr>
          <w:b/>
          <w:bCs/>
        </w:rPr>
        <w:instrText xml:space="preserve"> PAGEREF _Toc27455 </w:instrText>
      </w:r>
      <w:r>
        <w:rPr>
          <w:b/>
          <w:bCs/>
        </w:rPr>
        <w:fldChar w:fldCharType="separate"/>
      </w:r>
      <w:r>
        <w:rPr>
          <w:b/>
          <w:bCs/>
        </w:rPr>
        <w:t>- 1 -</w:t>
      </w:r>
      <w:r>
        <w:rPr>
          <w:b/>
          <w:bCs/>
        </w:rPr>
        <w:fldChar w:fldCharType="end"/>
      </w:r>
      <w:r>
        <w:rPr>
          <w:rFonts w:hint="default" w:ascii="Times New Roman" w:hAnsi="Times New Roman" w:cs="Times New Roman"/>
          <w:b/>
          <w:bCs/>
          <w:color w:val="auto"/>
          <w:szCs w:val="24"/>
          <w:highlight w:val="none"/>
        </w:rPr>
        <w:fldChar w:fldCharType="end"/>
      </w:r>
    </w:p>
    <w:p w14:paraId="5F1103D1">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_Toc9767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1.1. </w:t>
      </w:r>
      <w:r>
        <w:rPr>
          <w:rFonts w:hint="default" w:ascii="Times New Roman" w:hAnsi="Times New Roman" w:cs="Times New Roman"/>
          <w:highlight w:val="none"/>
        </w:rPr>
        <w:t>项目由来</w:t>
      </w:r>
      <w:r>
        <w:tab/>
      </w:r>
      <w:r>
        <w:fldChar w:fldCharType="begin"/>
      </w:r>
      <w:r>
        <w:instrText xml:space="preserve"> PAGEREF _Toc9767 </w:instrText>
      </w:r>
      <w:r>
        <w:fldChar w:fldCharType="separate"/>
      </w:r>
      <w:r>
        <w:t>- 1 -</w:t>
      </w:r>
      <w:r>
        <w:fldChar w:fldCharType="end"/>
      </w:r>
      <w:r>
        <w:rPr>
          <w:rFonts w:hint="default" w:ascii="Times New Roman" w:hAnsi="Times New Roman" w:cs="Times New Roman"/>
          <w:color w:val="auto"/>
          <w:szCs w:val="24"/>
          <w:highlight w:val="none"/>
        </w:rPr>
        <w:fldChar w:fldCharType="end"/>
      </w:r>
    </w:p>
    <w:p w14:paraId="081C35BE">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_Toc29937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1.2. </w:t>
      </w:r>
      <w:r>
        <w:rPr>
          <w:rFonts w:hint="default" w:ascii="Times New Roman" w:hAnsi="Times New Roman" w:cs="Times New Roman"/>
          <w:highlight w:val="none"/>
        </w:rPr>
        <w:t>调查目的和原则</w:t>
      </w:r>
      <w:r>
        <w:tab/>
      </w:r>
      <w:r>
        <w:fldChar w:fldCharType="begin"/>
      </w:r>
      <w:r>
        <w:instrText xml:space="preserve"> PAGEREF _Toc29937 </w:instrText>
      </w:r>
      <w:r>
        <w:fldChar w:fldCharType="separate"/>
      </w:r>
      <w:r>
        <w:t>- 1 -</w:t>
      </w:r>
      <w:r>
        <w:fldChar w:fldCharType="end"/>
      </w:r>
      <w:r>
        <w:rPr>
          <w:rFonts w:hint="default" w:ascii="Times New Roman" w:hAnsi="Times New Roman" w:cs="Times New Roman"/>
          <w:color w:val="auto"/>
          <w:szCs w:val="24"/>
          <w:highlight w:val="none"/>
        </w:rPr>
        <w:fldChar w:fldCharType="end"/>
      </w:r>
    </w:p>
    <w:p w14:paraId="599B6CF0">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_Toc13311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1.3. </w:t>
      </w:r>
      <w:r>
        <w:rPr>
          <w:rFonts w:hint="default" w:ascii="Times New Roman" w:hAnsi="Times New Roman" w:cs="Times New Roman"/>
          <w:highlight w:val="none"/>
        </w:rPr>
        <w:t>调查</w:t>
      </w:r>
      <w:r>
        <w:rPr>
          <w:rFonts w:hint="default" w:ascii="Times New Roman" w:hAnsi="Times New Roman" w:cs="Times New Roman"/>
          <w:highlight w:val="none"/>
          <w:lang w:eastAsia="zh-CN"/>
        </w:rPr>
        <w:t>对象和</w:t>
      </w:r>
      <w:r>
        <w:rPr>
          <w:rFonts w:hint="default" w:ascii="Times New Roman" w:hAnsi="Times New Roman" w:cs="Times New Roman"/>
          <w:highlight w:val="none"/>
        </w:rPr>
        <w:t>范围</w:t>
      </w:r>
      <w:r>
        <w:tab/>
      </w:r>
      <w:r>
        <w:fldChar w:fldCharType="begin"/>
      </w:r>
      <w:r>
        <w:instrText xml:space="preserve"> PAGEREF _Toc13311 </w:instrText>
      </w:r>
      <w:r>
        <w:fldChar w:fldCharType="separate"/>
      </w:r>
      <w:r>
        <w:t>- 2 -</w:t>
      </w:r>
      <w:r>
        <w:fldChar w:fldCharType="end"/>
      </w:r>
      <w:r>
        <w:rPr>
          <w:rFonts w:hint="default" w:ascii="Times New Roman" w:hAnsi="Times New Roman" w:cs="Times New Roman"/>
          <w:color w:val="auto"/>
          <w:szCs w:val="24"/>
          <w:highlight w:val="none"/>
        </w:rPr>
        <w:fldChar w:fldCharType="end"/>
      </w:r>
    </w:p>
    <w:p w14:paraId="154AFCB7">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_Toc14019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1.4. </w:t>
      </w:r>
      <w:r>
        <w:rPr>
          <w:rFonts w:hint="default" w:ascii="Times New Roman" w:hAnsi="Times New Roman" w:cs="Times New Roman"/>
          <w:highlight w:val="none"/>
          <w:lang w:eastAsia="zh-CN"/>
        </w:rPr>
        <w:t>调查依据</w:t>
      </w:r>
      <w:r>
        <w:tab/>
      </w:r>
      <w:r>
        <w:fldChar w:fldCharType="begin"/>
      </w:r>
      <w:r>
        <w:instrText xml:space="preserve"> PAGEREF _Toc14019 </w:instrText>
      </w:r>
      <w:r>
        <w:fldChar w:fldCharType="separate"/>
      </w:r>
      <w:r>
        <w:t>- 2 -</w:t>
      </w:r>
      <w:r>
        <w:fldChar w:fldCharType="end"/>
      </w:r>
      <w:r>
        <w:rPr>
          <w:rFonts w:hint="default" w:ascii="Times New Roman" w:hAnsi="Times New Roman" w:cs="Times New Roman"/>
          <w:color w:val="auto"/>
          <w:szCs w:val="24"/>
          <w:highlight w:val="none"/>
        </w:rPr>
        <w:fldChar w:fldCharType="end"/>
      </w:r>
    </w:p>
    <w:p w14:paraId="293D9AC1">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_Toc26649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1.5. </w:t>
      </w:r>
      <w:r>
        <w:rPr>
          <w:rFonts w:hint="default" w:ascii="Times New Roman" w:hAnsi="Times New Roman" w:cs="Times New Roman"/>
          <w:highlight w:val="none"/>
          <w:lang w:eastAsia="zh-CN"/>
        </w:rPr>
        <w:t>调查方法</w:t>
      </w:r>
      <w:r>
        <w:tab/>
      </w:r>
      <w:r>
        <w:fldChar w:fldCharType="begin"/>
      </w:r>
      <w:r>
        <w:instrText xml:space="preserve"> PAGEREF _Toc26649 </w:instrText>
      </w:r>
      <w:r>
        <w:fldChar w:fldCharType="separate"/>
      </w:r>
      <w:r>
        <w:t>- 4 -</w:t>
      </w:r>
      <w:r>
        <w:fldChar w:fldCharType="end"/>
      </w:r>
      <w:r>
        <w:rPr>
          <w:rFonts w:hint="default" w:ascii="Times New Roman" w:hAnsi="Times New Roman" w:cs="Times New Roman"/>
          <w:color w:val="auto"/>
          <w:szCs w:val="24"/>
          <w:highlight w:val="none"/>
        </w:rPr>
        <w:fldChar w:fldCharType="end"/>
      </w:r>
    </w:p>
    <w:p w14:paraId="207154CD">
      <w:pPr>
        <w:pStyle w:val="16"/>
        <w:tabs>
          <w:tab w:val="right" w:leader="dot" w:pos="9638"/>
        </w:tabs>
        <w:rPr>
          <w:b/>
          <w:bCs/>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szCs w:val="24"/>
          <w:highlight w:val="none"/>
        </w:rPr>
        <w:instrText xml:space="preserve"> HYPERLINK \l _Toc31460 </w:instrText>
      </w:r>
      <w:r>
        <w:rPr>
          <w:rFonts w:hint="default" w:ascii="Times New Roman" w:hAnsi="Times New Roman" w:cs="Times New Roman"/>
          <w:b/>
          <w:bCs/>
          <w:szCs w:val="24"/>
          <w:highlight w:val="none"/>
        </w:rPr>
        <w:fldChar w:fldCharType="separate"/>
      </w:r>
      <w:r>
        <w:rPr>
          <w:rFonts w:hint="default" w:ascii="Times New Roman" w:hAnsi="Times New Roman" w:cs="Times New Roman"/>
          <w:b/>
          <w:bCs/>
        </w:rPr>
        <w:t xml:space="preserve">2. </w:t>
      </w:r>
      <w:r>
        <w:rPr>
          <w:rFonts w:hint="default" w:ascii="Times New Roman" w:hAnsi="Times New Roman" w:cs="Times New Roman"/>
          <w:b/>
          <w:bCs/>
          <w:highlight w:val="none"/>
          <w:lang w:eastAsia="zh-CN"/>
        </w:rPr>
        <w:t>调查区域概况</w:t>
      </w:r>
      <w:r>
        <w:rPr>
          <w:b/>
          <w:bCs/>
        </w:rPr>
        <w:tab/>
      </w:r>
      <w:r>
        <w:rPr>
          <w:b/>
          <w:bCs/>
        </w:rPr>
        <w:fldChar w:fldCharType="begin"/>
      </w:r>
      <w:r>
        <w:rPr>
          <w:b/>
          <w:bCs/>
        </w:rPr>
        <w:instrText xml:space="preserve"> PAGEREF _Toc31460 </w:instrText>
      </w:r>
      <w:r>
        <w:rPr>
          <w:b/>
          <w:bCs/>
        </w:rPr>
        <w:fldChar w:fldCharType="separate"/>
      </w:r>
      <w:r>
        <w:rPr>
          <w:b/>
          <w:bCs/>
        </w:rPr>
        <w:t>- 6 -</w:t>
      </w:r>
      <w:r>
        <w:rPr>
          <w:b/>
          <w:bCs/>
        </w:rPr>
        <w:fldChar w:fldCharType="end"/>
      </w:r>
      <w:r>
        <w:rPr>
          <w:rFonts w:hint="default" w:ascii="Times New Roman" w:hAnsi="Times New Roman" w:cs="Times New Roman"/>
          <w:b/>
          <w:bCs/>
          <w:color w:val="auto"/>
          <w:szCs w:val="24"/>
          <w:highlight w:val="none"/>
        </w:rPr>
        <w:fldChar w:fldCharType="end"/>
      </w:r>
    </w:p>
    <w:p w14:paraId="636F94BF">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_Toc4878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2.1. </w:t>
      </w:r>
      <w:r>
        <w:rPr>
          <w:rFonts w:hint="default" w:ascii="Times New Roman" w:hAnsi="Times New Roman" w:cs="Times New Roman"/>
          <w:highlight w:val="none"/>
          <w:lang w:eastAsia="zh-CN"/>
        </w:rPr>
        <w:t>区域环境概况</w:t>
      </w:r>
      <w:r>
        <w:tab/>
      </w:r>
      <w:r>
        <w:fldChar w:fldCharType="begin"/>
      </w:r>
      <w:r>
        <w:instrText xml:space="preserve"> PAGEREF _Toc4878 </w:instrText>
      </w:r>
      <w:r>
        <w:fldChar w:fldCharType="separate"/>
      </w:r>
      <w:r>
        <w:t>- 6 -</w:t>
      </w:r>
      <w:r>
        <w:fldChar w:fldCharType="end"/>
      </w:r>
      <w:r>
        <w:rPr>
          <w:rFonts w:hint="default" w:ascii="Times New Roman" w:hAnsi="Times New Roman" w:cs="Times New Roman"/>
          <w:color w:val="auto"/>
          <w:szCs w:val="24"/>
          <w:highlight w:val="none"/>
        </w:rPr>
        <w:fldChar w:fldCharType="end"/>
      </w:r>
    </w:p>
    <w:p w14:paraId="1E3566C9">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_Toc18975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2.2. </w:t>
      </w:r>
      <w:r>
        <w:rPr>
          <w:rFonts w:hint="default" w:ascii="Times New Roman" w:hAnsi="Times New Roman" w:cs="Times New Roman"/>
          <w:highlight w:val="none"/>
          <w:lang w:eastAsia="zh-CN"/>
        </w:rPr>
        <w:t>园区概况</w:t>
      </w:r>
      <w:r>
        <w:tab/>
      </w:r>
      <w:r>
        <w:fldChar w:fldCharType="begin"/>
      </w:r>
      <w:r>
        <w:instrText xml:space="preserve"> PAGEREF _Toc18975 </w:instrText>
      </w:r>
      <w:r>
        <w:fldChar w:fldCharType="separate"/>
      </w:r>
      <w:r>
        <w:t>- 8 -</w:t>
      </w:r>
      <w:r>
        <w:fldChar w:fldCharType="end"/>
      </w:r>
      <w:r>
        <w:rPr>
          <w:rFonts w:hint="default" w:ascii="Times New Roman" w:hAnsi="Times New Roman" w:cs="Times New Roman"/>
          <w:color w:val="auto"/>
          <w:szCs w:val="24"/>
          <w:highlight w:val="none"/>
        </w:rPr>
        <w:fldChar w:fldCharType="end"/>
      </w:r>
    </w:p>
    <w:p w14:paraId="2AFCC7D2">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_Toc4780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2.3. </w:t>
      </w:r>
      <w:r>
        <w:rPr>
          <w:rFonts w:hint="default" w:ascii="Times New Roman" w:hAnsi="Times New Roman" w:cs="Times New Roman"/>
          <w:highlight w:val="none"/>
          <w:lang w:eastAsia="zh-CN"/>
        </w:rPr>
        <w:t>园区</w:t>
      </w:r>
      <w:r>
        <w:rPr>
          <w:rFonts w:hint="default" w:ascii="Times New Roman" w:hAnsi="Times New Roman" w:cs="Times New Roman"/>
          <w:highlight w:val="none"/>
        </w:rPr>
        <w:t>污染源分析</w:t>
      </w:r>
      <w:r>
        <w:tab/>
      </w:r>
      <w:r>
        <w:fldChar w:fldCharType="begin"/>
      </w:r>
      <w:r>
        <w:instrText xml:space="preserve"> PAGEREF _Toc4780 </w:instrText>
      </w:r>
      <w:r>
        <w:fldChar w:fldCharType="separate"/>
      </w:r>
      <w:r>
        <w:t>- 14 -</w:t>
      </w:r>
      <w:r>
        <w:fldChar w:fldCharType="end"/>
      </w:r>
      <w:r>
        <w:rPr>
          <w:rFonts w:hint="default" w:ascii="Times New Roman" w:hAnsi="Times New Roman" w:cs="Times New Roman"/>
          <w:color w:val="auto"/>
          <w:szCs w:val="24"/>
          <w:highlight w:val="none"/>
        </w:rPr>
        <w:fldChar w:fldCharType="end"/>
      </w:r>
    </w:p>
    <w:p w14:paraId="4F56454A">
      <w:pPr>
        <w:pStyle w:val="16"/>
        <w:tabs>
          <w:tab w:val="right" w:leader="dot" w:pos="9638"/>
        </w:tabs>
        <w:rPr>
          <w:b/>
          <w:bCs/>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szCs w:val="24"/>
          <w:highlight w:val="none"/>
        </w:rPr>
        <w:instrText xml:space="preserve"> HYPERLINK \l _Toc27256 </w:instrText>
      </w:r>
      <w:r>
        <w:rPr>
          <w:rFonts w:hint="default" w:ascii="Times New Roman" w:hAnsi="Times New Roman" w:cs="Times New Roman"/>
          <w:b/>
          <w:bCs/>
          <w:szCs w:val="24"/>
          <w:highlight w:val="none"/>
        </w:rPr>
        <w:fldChar w:fldCharType="separate"/>
      </w:r>
      <w:r>
        <w:rPr>
          <w:rFonts w:hint="default" w:ascii="Times New Roman" w:hAnsi="Times New Roman" w:cs="Times New Roman"/>
          <w:b/>
          <w:bCs/>
        </w:rPr>
        <w:t xml:space="preserve">3. </w:t>
      </w:r>
      <w:r>
        <w:rPr>
          <w:rFonts w:hint="default" w:ascii="Times New Roman" w:hAnsi="Times New Roman" w:cs="Times New Roman"/>
          <w:b/>
          <w:bCs/>
          <w:highlight w:val="none"/>
          <w:lang w:eastAsia="zh-CN"/>
        </w:rPr>
        <w:t>调查工作方案</w:t>
      </w:r>
      <w:r>
        <w:rPr>
          <w:b/>
          <w:bCs/>
        </w:rPr>
        <w:tab/>
      </w:r>
      <w:r>
        <w:rPr>
          <w:b/>
          <w:bCs/>
        </w:rPr>
        <w:fldChar w:fldCharType="begin"/>
      </w:r>
      <w:r>
        <w:rPr>
          <w:b/>
          <w:bCs/>
        </w:rPr>
        <w:instrText xml:space="preserve"> PAGEREF _Toc27256 </w:instrText>
      </w:r>
      <w:r>
        <w:rPr>
          <w:b/>
          <w:bCs/>
        </w:rPr>
        <w:fldChar w:fldCharType="separate"/>
      </w:r>
      <w:r>
        <w:rPr>
          <w:b/>
          <w:bCs/>
        </w:rPr>
        <w:t>- 16 -</w:t>
      </w:r>
      <w:r>
        <w:rPr>
          <w:b/>
          <w:bCs/>
        </w:rPr>
        <w:fldChar w:fldCharType="end"/>
      </w:r>
      <w:r>
        <w:rPr>
          <w:rFonts w:hint="default" w:ascii="Times New Roman" w:hAnsi="Times New Roman" w:cs="Times New Roman"/>
          <w:b/>
          <w:bCs/>
          <w:color w:val="auto"/>
          <w:szCs w:val="24"/>
          <w:highlight w:val="none"/>
        </w:rPr>
        <w:fldChar w:fldCharType="end"/>
      </w:r>
    </w:p>
    <w:p w14:paraId="352F47F7">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_Toc7849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3.1. </w:t>
      </w:r>
      <w:r>
        <w:rPr>
          <w:rFonts w:hint="default" w:ascii="Times New Roman" w:hAnsi="Times New Roman" w:cs="Times New Roman"/>
          <w:highlight w:val="none"/>
          <w:lang w:eastAsia="zh-CN"/>
        </w:rPr>
        <w:t>土壤</w:t>
      </w:r>
      <w:r>
        <w:rPr>
          <w:rFonts w:hint="default" w:ascii="Times New Roman" w:hAnsi="Times New Roman" w:cs="Times New Roman"/>
          <w:highlight w:val="none"/>
        </w:rPr>
        <w:t>布点方案</w:t>
      </w:r>
      <w:r>
        <w:tab/>
      </w:r>
      <w:r>
        <w:fldChar w:fldCharType="begin"/>
      </w:r>
      <w:r>
        <w:instrText xml:space="preserve"> PAGEREF _Toc7849 </w:instrText>
      </w:r>
      <w:r>
        <w:fldChar w:fldCharType="separate"/>
      </w:r>
      <w:r>
        <w:t>- 16 -</w:t>
      </w:r>
      <w:r>
        <w:fldChar w:fldCharType="end"/>
      </w:r>
      <w:r>
        <w:rPr>
          <w:rFonts w:hint="default" w:ascii="Times New Roman" w:hAnsi="Times New Roman" w:cs="Times New Roman"/>
          <w:color w:val="auto"/>
          <w:szCs w:val="24"/>
          <w:highlight w:val="none"/>
        </w:rPr>
        <w:fldChar w:fldCharType="end"/>
      </w:r>
    </w:p>
    <w:p w14:paraId="1FA804B5">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_Toc8068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3.2. </w:t>
      </w:r>
      <w:r>
        <w:rPr>
          <w:rFonts w:hint="default" w:ascii="Times New Roman" w:hAnsi="Times New Roman" w:cs="Times New Roman"/>
          <w:highlight w:val="none"/>
          <w:lang w:eastAsia="zh-CN"/>
        </w:rPr>
        <w:t>地下水布点方案</w:t>
      </w:r>
      <w:r>
        <w:tab/>
      </w:r>
      <w:r>
        <w:fldChar w:fldCharType="begin"/>
      </w:r>
      <w:r>
        <w:instrText xml:space="preserve"> PAGEREF _Toc8068 </w:instrText>
      </w:r>
      <w:r>
        <w:fldChar w:fldCharType="separate"/>
      </w:r>
      <w:r>
        <w:t>- 19 -</w:t>
      </w:r>
      <w:r>
        <w:fldChar w:fldCharType="end"/>
      </w:r>
      <w:r>
        <w:rPr>
          <w:rFonts w:hint="default" w:ascii="Times New Roman" w:hAnsi="Times New Roman" w:cs="Times New Roman"/>
          <w:color w:val="auto"/>
          <w:szCs w:val="24"/>
          <w:highlight w:val="none"/>
        </w:rPr>
        <w:fldChar w:fldCharType="end"/>
      </w:r>
    </w:p>
    <w:p w14:paraId="0AB83DAA">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_Toc5149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3.3. </w:t>
      </w:r>
      <w:r>
        <w:rPr>
          <w:rFonts w:hint="default" w:ascii="Times New Roman" w:hAnsi="Times New Roman" w:cs="Times New Roman"/>
          <w:highlight w:val="none"/>
          <w:lang w:eastAsia="zh-CN"/>
        </w:rPr>
        <w:t>采样方案</w:t>
      </w:r>
      <w:r>
        <w:tab/>
      </w:r>
      <w:r>
        <w:fldChar w:fldCharType="begin"/>
      </w:r>
      <w:r>
        <w:instrText xml:space="preserve"> PAGEREF _Toc5149 </w:instrText>
      </w:r>
      <w:r>
        <w:fldChar w:fldCharType="separate"/>
      </w:r>
      <w:r>
        <w:t>- 19 -</w:t>
      </w:r>
      <w:r>
        <w:fldChar w:fldCharType="end"/>
      </w:r>
      <w:r>
        <w:rPr>
          <w:rFonts w:hint="default" w:ascii="Times New Roman" w:hAnsi="Times New Roman" w:cs="Times New Roman"/>
          <w:color w:val="auto"/>
          <w:szCs w:val="24"/>
          <w:highlight w:val="none"/>
        </w:rPr>
        <w:fldChar w:fldCharType="end"/>
      </w:r>
    </w:p>
    <w:p w14:paraId="46391ADD">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_Toc8839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3.4. </w:t>
      </w:r>
      <w:r>
        <w:rPr>
          <w:rFonts w:hint="default" w:ascii="Times New Roman" w:hAnsi="Times New Roman" w:cs="Times New Roman"/>
          <w:highlight w:val="none"/>
        </w:rPr>
        <w:t>质量保证与质量控制</w:t>
      </w:r>
      <w:r>
        <w:tab/>
      </w:r>
      <w:r>
        <w:fldChar w:fldCharType="begin"/>
      </w:r>
      <w:r>
        <w:instrText xml:space="preserve"> PAGEREF _Toc8839 </w:instrText>
      </w:r>
      <w:r>
        <w:fldChar w:fldCharType="separate"/>
      </w:r>
      <w:r>
        <w:t>- 21 -</w:t>
      </w:r>
      <w:r>
        <w:fldChar w:fldCharType="end"/>
      </w:r>
      <w:r>
        <w:rPr>
          <w:rFonts w:hint="default" w:ascii="Times New Roman" w:hAnsi="Times New Roman" w:cs="Times New Roman"/>
          <w:color w:val="auto"/>
          <w:szCs w:val="24"/>
          <w:highlight w:val="none"/>
        </w:rPr>
        <w:fldChar w:fldCharType="end"/>
      </w:r>
    </w:p>
    <w:p w14:paraId="719C005A">
      <w:pPr>
        <w:pStyle w:val="16"/>
        <w:tabs>
          <w:tab w:val="right" w:leader="dot" w:pos="9638"/>
        </w:tabs>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szCs w:val="24"/>
          <w:highlight w:val="none"/>
        </w:rPr>
        <w:instrText xml:space="preserve"> HYPERLINK \l _Toc32151 </w:instrText>
      </w:r>
      <w:r>
        <w:rPr>
          <w:rFonts w:hint="default" w:ascii="Times New Roman" w:hAnsi="Times New Roman" w:cs="Times New Roman"/>
          <w:b/>
          <w:bCs/>
          <w:szCs w:val="24"/>
          <w:highlight w:val="none"/>
        </w:rPr>
        <w:fldChar w:fldCharType="separate"/>
      </w:r>
      <w:r>
        <w:rPr>
          <w:rFonts w:hint="default" w:ascii="Times New Roman" w:hAnsi="Times New Roman" w:cs="Times New Roman"/>
          <w:b/>
          <w:bCs/>
          <w:lang w:eastAsia="zh-CN"/>
        </w:rPr>
        <w:t xml:space="preserve">4. </w:t>
      </w:r>
      <w:r>
        <w:rPr>
          <w:rFonts w:hint="default" w:ascii="Times New Roman" w:hAnsi="Times New Roman" w:cs="Times New Roman"/>
          <w:b/>
          <w:bCs/>
          <w:highlight w:val="none"/>
          <w:lang w:eastAsia="zh-CN"/>
        </w:rPr>
        <w:t>现场工作及实验室分析</w:t>
      </w:r>
      <w:r>
        <w:rPr>
          <w:b/>
          <w:bCs/>
        </w:rPr>
        <w:tab/>
      </w:r>
      <w:r>
        <w:rPr>
          <w:b/>
          <w:bCs/>
        </w:rPr>
        <w:fldChar w:fldCharType="begin"/>
      </w:r>
      <w:r>
        <w:rPr>
          <w:b/>
          <w:bCs/>
        </w:rPr>
        <w:instrText xml:space="preserve"> PAGEREF _Toc32151 </w:instrText>
      </w:r>
      <w:r>
        <w:rPr>
          <w:b/>
          <w:bCs/>
        </w:rPr>
        <w:fldChar w:fldCharType="separate"/>
      </w:r>
      <w:r>
        <w:rPr>
          <w:b/>
          <w:bCs/>
        </w:rPr>
        <w:t>- 22 -</w:t>
      </w:r>
      <w:r>
        <w:rPr>
          <w:b/>
          <w:bCs/>
        </w:rPr>
        <w:fldChar w:fldCharType="end"/>
      </w:r>
      <w:r>
        <w:rPr>
          <w:rFonts w:hint="default" w:ascii="Times New Roman" w:hAnsi="Times New Roman" w:cs="Times New Roman"/>
          <w:b/>
          <w:bCs/>
          <w:color w:val="auto"/>
          <w:szCs w:val="24"/>
          <w:highlight w:val="none"/>
        </w:rPr>
        <w:fldChar w:fldCharType="end"/>
      </w:r>
    </w:p>
    <w:p w14:paraId="34E612E8">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_Toc14511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4.1. </w:t>
      </w:r>
      <w:r>
        <w:rPr>
          <w:rFonts w:hint="default" w:ascii="Times New Roman" w:hAnsi="Times New Roman" w:cs="Times New Roman"/>
          <w:highlight w:val="none"/>
          <w:lang w:eastAsia="zh-CN"/>
        </w:rPr>
        <w:t>现场定点测绘</w:t>
      </w:r>
      <w:r>
        <w:tab/>
      </w:r>
      <w:r>
        <w:fldChar w:fldCharType="begin"/>
      </w:r>
      <w:r>
        <w:instrText xml:space="preserve"> PAGEREF _Toc14511 </w:instrText>
      </w:r>
      <w:r>
        <w:fldChar w:fldCharType="separate"/>
      </w:r>
      <w:r>
        <w:t>- 22 -</w:t>
      </w:r>
      <w:r>
        <w:fldChar w:fldCharType="end"/>
      </w:r>
      <w:r>
        <w:rPr>
          <w:rFonts w:hint="default" w:ascii="Times New Roman" w:hAnsi="Times New Roman" w:cs="Times New Roman"/>
          <w:color w:val="auto"/>
          <w:szCs w:val="24"/>
          <w:highlight w:val="none"/>
        </w:rPr>
        <w:fldChar w:fldCharType="end"/>
      </w:r>
    </w:p>
    <w:p w14:paraId="381648B4">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_Toc17669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4.2. </w:t>
      </w:r>
      <w:r>
        <w:rPr>
          <w:rFonts w:hint="default" w:ascii="Times New Roman" w:hAnsi="Times New Roman" w:cs="Times New Roman"/>
          <w:highlight w:val="none"/>
          <w:lang w:eastAsia="zh-CN"/>
        </w:rPr>
        <w:t>样品采集</w:t>
      </w:r>
      <w:r>
        <w:tab/>
      </w:r>
      <w:r>
        <w:fldChar w:fldCharType="begin"/>
      </w:r>
      <w:r>
        <w:instrText xml:space="preserve"> PAGEREF _Toc17669 </w:instrText>
      </w:r>
      <w:r>
        <w:fldChar w:fldCharType="separate"/>
      </w:r>
      <w:r>
        <w:t>- 22 -</w:t>
      </w:r>
      <w:r>
        <w:fldChar w:fldCharType="end"/>
      </w:r>
      <w:r>
        <w:rPr>
          <w:rFonts w:hint="default" w:ascii="Times New Roman" w:hAnsi="Times New Roman" w:cs="Times New Roman"/>
          <w:color w:val="auto"/>
          <w:szCs w:val="24"/>
          <w:highlight w:val="none"/>
        </w:rPr>
        <w:fldChar w:fldCharType="end"/>
      </w:r>
    </w:p>
    <w:p w14:paraId="70AC79FB">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_Toc16343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4.3. </w:t>
      </w:r>
      <w:r>
        <w:rPr>
          <w:rFonts w:hint="default" w:ascii="Times New Roman" w:hAnsi="Times New Roman" w:cs="Times New Roman"/>
          <w:highlight w:val="none"/>
        </w:rPr>
        <w:t>现场记录</w:t>
      </w:r>
      <w:r>
        <w:tab/>
      </w:r>
      <w:r>
        <w:fldChar w:fldCharType="begin"/>
      </w:r>
      <w:r>
        <w:instrText xml:space="preserve"> PAGEREF _Toc16343 </w:instrText>
      </w:r>
      <w:r>
        <w:fldChar w:fldCharType="separate"/>
      </w:r>
      <w:r>
        <w:t>- 25 -</w:t>
      </w:r>
      <w:r>
        <w:fldChar w:fldCharType="end"/>
      </w:r>
      <w:r>
        <w:rPr>
          <w:rFonts w:hint="default" w:ascii="Times New Roman" w:hAnsi="Times New Roman" w:cs="Times New Roman"/>
          <w:color w:val="auto"/>
          <w:szCs w:val="24"/>
          <w:highlight w:val="none"/>
        </w:rPr>
        <w:fldChar w:fldCharType="end"/>
      </w:r>
    </w:p>
    <w:p w14:paraId="0AB1CE85">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_Toc9682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4.4. </w:t>
      </w:r>
      <w:r>
        <w:rPr>
          <w:rFonts w:hint="default" w:ascii="Times New Roman" w:hAnsi="Times New Roman" w:cs="Times New Roman"/>
          <w:highlight w:val="none"/>
        </w:rPr>
        <w:t>实验室分析</w:t>
      </w:r>
      <w:r>
        <w:tab/>
      </w:r>
      <w:r>
        <w:fldChar w:fldCharType="begin"/>
      </w:r>
      <w:r>
        <w:instrText xml:space="preserve"> PAGEREF _Toc9682 </w:instrText>
      </w:r>
      <w:r>
        <w:fldChar w:fldCharType="separate"/>
      </w:r>
      <w:r>
        <w:t>- 28 -</w:t>
      </w:r>
      <w:r>
        <w:fldChar w:fldCharType="end"/>
      </w:r>
      <w:r>
        <w:rPr>
          <w:rFonts w:hint="default" w:ascii="Times New Roman" w:hAnsi="Times New Roman" w:cs="Times New Roman"/>
          <w:color w:val="auto"/>
          <w:szCs w:val="24"/>
          <w:highlight w:val="none"/>
        </w:rPr>
        <w:fldChar w:fldCharType="end"/>
      </w:r>
    </w:p>
    <w:p w14:paraId="01031DE4">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_Toc3773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4.5. </w:t>
      </w:r>
      <w:r>
        <w:rPr>
          <w:rFonts w:hint="default" w:ascii="Times New Roman" w:hAnsi="Times New Roman" w:cs="Times New Roman"/>
          <w:highlight w:val="none"/>
          <w:lang w:eastAsia="zh-CN"/>
        </w:rPr>
        <w:t>现场</w:t>
      </w:r>
      <w:r>
        <w:rPr>
          <w:rFonts w:hint="default" w:ascii="Times New Roman" w:hAnsi="Times New Roman" w:cs="Times New Roman"/>
          <w:highlight w:val="none"/>
        </w:rPr>
        <w:t>质量控制</w:t>
      </w:r>
      <w:r>
        <w:tab/>
      </w:r>
      <w:r>
        <w:fldChar w:fldCharType="begin"/>
      </w:r>
      <w:r>
        <w:instrText xml:space="preserve"> PAGEREF _Toc3773 </w:instrText>
      </w:r>
      <w:r>
        <w:fldChar w:fldCharType="separate"/>
      </w:r>
      <w:r>
        <w:t>- 32 -</w:t>
      </w:r>
      <w:r>
        <w:fldChar w:fldCharType="end"/>
      </w:r>
      <w:r>
        <w:rPr>
          <w:rFonts w:hint="default" w:ascii="Times New Roman" w:hAnsi="Times New Roman" w:cs="Times New Roman"/>
          <w:color w:val="auto"/>
          <w:szCs w:val="24"/>
          <w:highlight w:val="none"/>
        </w:rPr>
        <w:fldChar w:fldCharType="end"/>
      </w:r>
    </w:p>
    <w:p w14:paraId="0AB6D32C">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_Toc26843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4.6. </w:t>
      </w:r>
      <w:r>
        <w:rPr>
          <w:rFonts w:hint="default" w:ascii="Times New Roman" w:hAnsi="Times New Roman" w:cs="Times New Roman"/>
          <w:highlight w:val="none"/>
        </w:rPr>
        <w:t>实验室质量控制</w:t>
      </w:r>
      <w:r>
        <w:tab/>
      </w:r>
      <w:r>
        <w:fldChar w:fldCharType="begin"/>
      </w:r>
      <w:r>
        <w:instrText xml:space="preserve"> PAGEREF _Toc26843 </w:instrText>
      </w:r>
      <w:r>
        <w:fldChar w:fldCharType="separate"/>
      </w:r>
      <w:r>
        <w:t>- 34 -</w:t>
      </w:r>
      <w:r>
        <w:fldChar w:fldCharType="end"/>
      </w:r>
      <w:r>
        <w:rPr>
          <w:rFonts w:hint="default" w:ascii="Times New Roman" w:hAnsi="Times New Roman" w:cs="Times New Roman"/>
          <w:color w:val="auto"/>
          <w:szCs w:val="24"/>
          <w:highlight w:val="none"/>
        </w:rPr>
        <w:fldChar w:fldCharType="end"/>
      </w:r>
    </w:p>
    <w:p w14:paraId="1B239117">
      <w:pPr>
        <w:pStyle w:val="16"/>
        <w:tabs>
          <w:tab w:val="right" w:leader="dot" w:pos="9638"/>
        </w:tabs>
        <w:rPr>
          <w:b/>
          <w:bCs/>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szCs w:val="24"/>
          <w:highlight w:val="none"/>
        </w:rPr>
        <w:instrText xml:space="preserve"> HYPERLINK \l _Toc11153 </w:instrText>
      </w:r>
      <w:r>
        <w:rPr>
          <w:rFonts w:hint="default" w:ascii="Times New Roman" w:hAnsi="Times New Roman" w:cs="Times New Roman"/>
          <w:b/>
          <w:bCs/>
          <w:szCs w:val="24"/>
          <w:highlight w:val="none"/>
        </w:rPr>
        <w:fldChar w:fldCharType="separate"/>
      </w:r>
      <w:r>
        <w:rPr>
          <w:rFonts w:hint="default" w:ascii="Times New Roman" w:hAnsi="Times New Roman" w:cs="Times New Roman"/>
          <w:b/>
          <w:bCs/>
          <w:lang w:eastAsia="zh-CN"/>
        </w:rPr>
        <w:t xml:space="preserve">5. </w:t>
      </w:r>
      <w:r>
        <w:rPr>
          <w:rFonts w:hint="default" w:ascii="Times New Roman" w:hAnsi="Times New Roman" w:cs="Times New Roman"/>
          <w:b/>
          <w:bCs/>
          <w:highlight w:val="none"/>
          <w:lang w:eastAsia="zh-CN"/>
        </w:rPr>
        <w:t>结果与评价</w:t>
      </w:r>
      <w:r>
        <w:rPr>
          <w:b/>
          <w:bCs/>
        </w:rPr>
        <w:tab/>
      </w:r>
      <w:r>
        <w:rPr>
          <w:b/>
          <w:bCs/>
        </w:rPr>
        <w:fldChar w:fldCharType="begin"/>
      </w:r>
      <w:r>
        <w:rPr>
          <w:b/>
          <w:bCs/>
        </w:rPr>
        <w:instrText xml:space="preserve"> PAGEREF _Toc11153 </w:instrText>
      </w:r>
      <w:r>
        <w:rPr>
          <w:b/>
          <w:bCs/>
        </w:rPr>
        <w:fldChar w:fldCharType="separate"/>
      </w:r>
      <w:r>
        <w:rPr>
          <w:b/>
          <w:bCs/>
        </w:rPr>
        <w:t>- 37 -</w:t>
      </w:r>
      <w:r>
        <w:rPr>
          <w:b/>
          <w:bCs/>
        </w:rPr>
        <w:fldChar w:fldCharType="end"/>
      </w:r>
      <w:r>
        <w:rPr>
          <w:rFonts w:hint="default" w:ascii="Times New Roman" w:hAnsi="Times New Roman" w:cs="Times New Roman"/>
          <w:b/>
          <w:bCs/>
          <w:color w:val="auto"/>
          <w:szCs w:val="24"/>
          <w:highlight w:val="none"/>
        </w:rPr>
        <w:fldChar w:fldCharType="end"/>
      </w:r>
    </w:p>
    <w:p w14:paraId="3D12979F">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_Toc303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5.1. </w:t>
      </w:r>
      <w:r>
        <w:rPr>
          <w:rFonts w:hint="default" w:ascii="Times New Roman" w:hAnsi="Times New Roman" w:cs="Times New Roman"/>
          <w:highlight w:val="none"/>
          <w:lang w:eastAsia="zh-CN"/>
        </w:rPr>
        <w:t>园区环境质量参考标准</w:t>
      </w:r>
      <w:r>
        <w:tab/>
      </w:r>
      <w:r>
        <w:fldChar w:fldCharType="begin"/>
      </w:r>
      <w:r>
        <w:instrText xml:space="preserve"> PAGEREF _Toc303 </w:instrText>
      </w:r>
      <w:r>
        <w:fldChar w:fldCharType="separate"/>
      </w:r>
      <w:r>
        <w:t>- 37 -</w:t>
      </w:r>
      <w:r>
        <w:fldChar w:fldCharType="end"/>
      </w:r>
      <w:r>
        <w:rPr>
          <w:rFonts w:hint="default" w:ascii="Times New Roman" w:hAnsi="Times New Roman" w:cs="Times New Roman"/>
          <w:color w:val="auto"/>
          <w:szCs w:val="24"/>
          <w:highlight w:val="none"/>
        </w:rPr>
        <w:fldChar w:fldCharType="end"/>
      </w:r>
    </w:p>
    <w:p w14:paraId="63714B94">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_Toc13377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lang w:val="en-US" w:eastAsia="zh-CN"/>
        </w:rPr>
        <w:t xml:space="preserve">5.2. </w:t>
      </w:r>
      <w:r>
        <w:rPr>
          <w:rFonts w:hint="default" w:ascii="Times New Roman" w:hAnsi="Times New Roman" w:cs="Times New Roman"/>
          <w:highlight w:val="none"/>
          <w:lang w:val="en-US" w:eastAsia="zh-CN"/>
        </w:rPr>
        <w:t>结果分析方法</w:t>
      </w:r>
      <w:r>
        <w:tab/>
      </w:r>
      <w:r>
        <w:fldChar w:fldCharType="begin"/>
      </w:r>
      <w:r>
        <w:instrText xml:space="preserve"> PAGEREF _Toc13377 </w:instrText>
      </w:r>
      <w:r>
        <w:fldChar w:fldCharType="separate"/>
      </w:r>
      <w:r>
        <w:t>- 42 -</w:t>
      </w:r>
      <w:r>
        <w:fldChar w:fldCharType="end"/>
      </w:r>
      <w:r>
        <w:rPr>
          <w:rFonts w:hint="default" w:ascii="Times New Roman" w:hAnsi="Times New Roman" w:cs="Times New Roman"/>
          <w:color w:val="auto"/>
          <w:szCs w:val="24"/>
          <w:highlight w:val="none"/>
        </w:rPr>
        <w:fldChar w:fldCharType="end"/>
      </w:r>
    </w:p>
    <w:p w14:paraId="01603E9A">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_Toc6074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5.3. </w:t>
      </w:r>
      <w:r>
        <w:rPr>
          <w:rFonts w:hint="default" w:ascii="Times New Roman" w:hAnsi="Times New Roman" w:cs="Times New Roman"/>
          <w:highlight w:val="none"/>
          <w:lang w:eastAsia="zh-CN"/>
        </w:rPr>
        <w:t>监测结果对标分析</w:t>
      </w:r>
      <w:r>
        <w:tab/>
      </w:r>
      <w:r>
        <w:fldChar w:fldCharType="begin"/>
      </w:r>
      <w:r>
        <w:instrText xml:space="preserve"> PAGEREF _Toc6074 </w:instrText>
      </w:r>
      <w:r>
        <w:fldChar w:fldCharType="separate"/>
      </w:r>
      <w:r>
        <w:t>- 43 -</w:t>
      </w:r>
      <w:r>
        <w:fldChar w:fldCharType="end"/>
      </w:r>
      <w:r>
        <w:rPr>
          <w:rFonts w:hint="default" w:ascii="Times New Roman" w:hAnsi="Times New Roman" w:cs="Times New Roman"/>
          <w:color w:val="auto"/>
          <w:szCs w:val="24"/>
          <w:highlight w:val="none"/>
        </w:rPr>
        <w:fldChar w:fldCharType="end"/>
      </w:r>
    </w:p>
    <w:p w14:paraId="05BA6570">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_Toc28149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lang w:val="en-US" w:eastAsia="zh-CN"/>
        </w:rPr>
        <w:t xml:space="preserve">5.4. </w:t>
      </w:r>
      <w:r>
        <w:rPr>
          <w:rFonts w:hint="default" w:ascii="Times New Roman" w:hAnsi="Times New Roman" w:cs="Times New Roman"/>
          <w:highlight w:val="none"/>
          <w:lang w:val="en-US" w:eastAsia="zh-CN"/>
        </w:rPr>
        <w:t>土壤环境质量评价</w:t>
      </w:r>
      <w:r>
        <w:tab/>
      </w:r>
      <w:r>
        <w:fldChar w:fldCharType="begin"/>
      </w:r>
      <w:r>
        <w:instrText xml:space="preserve"> PAGEREF _Toc28149 </w:instrText>
      </w:r>
      <w:r>
        <w:fldChar w:fldCharType="separate"/>
      </w:r>
      <w:r>
        <w:t>- 57 -</w:t>
      </w:r>
      <w:r>
        <w:fldChar w:fldCharType="end"/>
      </w:r>
      <w:r>
        <w:rPr>
          <w:rFonts w:hint="default" w:ascii="Times New Roman" w:hAnsi="Times New Roman" w:cs="Times New Roman"/>
          <w:color w:val="auto"/>
          <w:szCs w:val="24"/>
          <w:highlight w:val="none"/>
        </w:rPr>
        <w:fldChar w:fldCharType="end"/>
      </w:r>
    </w:p>
    <w:p w14:paraId="1D9DE745">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_Toc17729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5.5. </w:t>
      </w:r>
      <w:r>
        <w:rPr>
          <w:rFonts w:hint="default" w:ascii="Times New Roman" w:hAnsi="Times New Roman" w:cs="Times New Roman"/>
          <w:highlight w:val="none"/>
        </w:rPr>
        <w:t>检测结果小结</w:t>
      </w:r>
      <w:r>
        <w:tab/>
      </w:r>
      <w:r>
        <w:fldChar w:fldCharType="begin"/>
      </w:r>
      <w:r>
        <w:instrText xml:space="preserve"> PAGEREF _Toc17729 </w:instrText>
      </w:r>
      <w:r>
        <w:fldChar w:fldCharType="separate"/>
      </w:r>
      <w:r>
        <w:t>- 60 -</w:t>
      </w:r>
      <w:r>
        <w:fldChar w:fldCharType="end"/>
      </w:r>
      <w:r>
        <w:rPr>
          <w:rFonts w:hint="default" w:ascii="Times New Roman" w:hAnsi="Times New Roman" w:cs="Times New Roman"/>
          <w:color w:val="auto"/>
          <w:szCs w:val="24"/>
          <w:highlight w:val="none"/>
        </w:rPr>
        <w:fldChar w:fldCharType="end"/>
      </w:r>
    </w:p>
    <w:p w14:paraId="022F8959">
      <w:pPr>
        <w:pStyle w:val="16"/>
        <w:tabs>
          <w:tab w:val="right" w:leader="dot" w:pos="9638"/>
        </w:tabs>
        <w:rPr>
          <w:b/>
          <w:bCs/>
        </w:rPr>
      </w:pPr>
      <w:r>
        <w:rPr>
          <w:rFonts w:hint="default" w:ascii="Times New Roman" w:hAnsi="Times New Roman" w:cs="Times New Roman"/>
          <w:b/>
          <w:bCs/>
          <w:color w:val="auto"/>
          <w:szCs w:val="24"/>
          <w:highlight w:val="none"/>
        </w:rPr>
        <w:fldChar w:fldCharType="begin"/>
      </w:r>
      <w:r>
        <w:rPr>
          <w:rFonts w:hint="default" w:ascii="Times New Roman" w:hAnsi="Times New Roman" w:cs="Times New Roman"/>
          <w:b/>
          <w:bCs/>
          <w:szCs w:val="24"/>
          <w:highlight w:val="none"/>
        </w:rPr>
        <w:instrText xml:space="preserve"> HYPERLINK \l _Toc23956 </w:instrText>
      </w:r>
      <w:r>
        <w:rPr>
          <w:rFonts w:hint="default" w:ascii="Times New Roman" w:hAnsi="Times New Roman" w:cs="Times New Roman"/>
          <w:b/>
          <w:bCs/>
          <w:szCs w:val="24"/>
          <w:highlight w:val="none"/>
        </w:rPr>
        <w:fldChar w:fldCharType="separate"/>
      </w:r>
      <w:r>
        <w:rPr>
          <w:rFonts w:hint="default" w:ascii="Times New Roman" w:hAnsi="Times New Roman" w:cs="Times New Roman"/>
          <w:b/>
          <w:bCs/>
        </w:rPr>
        <w:t xml:space="preserve">6. </w:t>
      </w:r>
      <w:r>
        <w:rPr>
          <w:rFonts w:hint="default" w:ascii="Times New Roman" w:hAnsi="Times New Roman" w:cs="Times New Roman"/>
          <w:b/>
          <w:bCs/>
          <w:highlight w:val="none"/>
        </w:rPr>
        <w:t>结论与建议</w:t>
      </w:r>
      <w:r>
        <w:rPr>
          <w:b/>
          <w:bCs/>
        </w:rPr>
        <w:tab/>
      </w:r>
      <w:r>
        <w:rPr>
          <w:b/>
          <w:bCs/>
        </w:rPr>
        <w:fldChar w:fldCharType="begin"/>
      </w:r>
      <w:r>
        <w:rPr>
          <w:b/>
          <w:bCs/>
        </w:rPr>
        <w:instrText xml:space="preserve"> PAGEREF _Toc23956 </w:instrText>
      </w:r>
      <w:r>
        <w:rPr>
          <w:b/>
          <w:bCs/>
        </w:rPr>
        <w:fldChar w:fldCharType="separate"/>
      </w:r>
      <w:r>
        <w:rPr>
          <w:b/>
          <w:bCs/>
        </w:rPr>
        <w:t>- 62 -</w:t>
      </w:r>
      <w:r>
        <w:rPr>
          <w:b/>
          <w:bCs/>
        </w:rPr>
        <w:fldChar w:fldCharType="end"/>
      </w:r>
      <w:r>
        <w:rPr>
          <w:rFonts w:hint="default" w:ascii="Times New Roman" w:hAnsi="Times New Roman" w:cs="Times New Roman"/>
          <w:b/>
          <w:bCs/>
          <w:color w:val="auto"/>
          <w:szCs w:val="24"/>
          <w:highlight w:val="none"/>
        </w:rPr>
        <w:fldChar w:fldCharType="end"/>
      </w:r>
    </w:p>
    <w:p w14:paraId="42F1E333">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_Toc30052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6.1. </w:t>
      </w:r>
      <w:r>
        <w:rPr>
          <w:rFonts w:hint="default" w:ascii="Times New Roman" w:hAnsi="Times New Roman" w:cs="Times New Roman"/>
          <w:highlight w:val="none"/>
        </w:rPr>
        <w:t>调查结论</w:t>
      </w:r>
      <w:r>
        <w:tab/>
      </w:r>
      <w:r>
        <w:fldChar w:fldCharType="begin"/>
      </w:r>
      <w:r>
        <w:instrText xml:space="preserve"> PAGEREF _Toc30052 </w:instrText>
      </w:r>
      <w:r>
        <w:fldChar w:fldCharType="separate"/>
      </w:r>
      <w:r>
        <w:t>- 62 -</w:t>
      </w:r>
      <w:r>
        <w:fldChar w:fldCharType="end"/>
      </w:r>
      <w:r>
        <w:rPr>
          <w:rFonts w:hint="default" w:ascii="Times New Roman" w:hAnsi="Times New Roman" w:cs="Times New Roman"/>
          <w:color w:val="auto"/>
          <w:szCs w:val="24"/>
          <w:highlight w:val="none"/>
        </w:rPr>
        <w:fldChar w:fldCharType="end"/>
      </w:r>
    </w:p>
    <w:p w14:paraId="6546DA71">
      <w:pPr>
        <w:pStyle w:val="18"/>
        <w:tabs>
          <w:tab w:val="right" w:leader="dot" w:pos="9638"/>
        </w:tabs>
      </w:pPr>
      <w:r>
        <w:rPr>
          <w:rFonts w:hint="default" w:ascii="Times New Roman" w:hAnsi="Times New Roman" w:cs="Times New Roman"/>
          <w:color w:val="auto"/>
          <w:szCs w:val="24"/>
          <w:highlight w:val="none"/>
        </w:rPr>
        <w:fldChar w:fldCharType="begin"/>
      </w:r>
      <w:r>
        <w:rPr>
          <w:rFonts w:hint="default" w:ascii="Times New Roman" w:hAnsi="Times New Roman" w:cs="Times New Roman"/>
          <w:szCs w:val="24"/>
          <w:highlight w:val="none"/>
        </w:rPr>
        <w:instrText xml:space="preserve"> HYPERLINK \l _Toc6475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rPr>
        <w:t xml:space="preserve">6.2. </w:t>
      </w:r>
      <w:r>
        <w:rPr>
          <w:rFonts w:hint="default" w:ascii="Times New Roman" w:hAnsi="Times New Roman" w:cs="Times New Roman"/>
          <w:highlight w:val="none"/>
        </w:rPr>
        <w:t>建议</w:t>
      </w:r>
      <w:r>
        <w:tab/>
      </w:r>
      <w:r>
        <w:fldChar w:fldCharType="begin"/>
      </w:r>
      <w:r>
        <w:instrText xml:space="preserve"> PAGEREF _Toc6475 </w:instrText>
      </w:r>
      <w:r>
        <w:fldChar w:fldCharType="separate"/>
      </w:r>
      <w:r>
        <w:t>- 63 -</w:t>
      </w:r>
      <w:r>
        <w:fldChar w:fldCharType="end"/>
      </w:r>
      <w:r>
        <w:rPr>
          <w:rFonts w:hint="default" w:ascii="Times New Roman" w:hAnsi="Times New Roman" w:cs="Times New Roman"/>
          <w:color w:val="auto"/>
          <w:szCs w:val="24"/>
          <w:highlight w:val="none"/>
        </w:rPr>
        <w:fldChar w:fldCharType="end"/>
      </w:r>
    </w:p>
    <w:p w14:paraId="1FE00AB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color w:val="auto"/>
          <w:sz w:val="24"/>
          <w:szCs w:val="24"/>
          <w:highlight w:val="none"/>
        </w:rPr>
        <w:sectPr>
          <w:headerReference r:id="rId5"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default" w:ascii="Times New Roman" w:hAnsi="Times New Roman" w:cs="Times New Roman"/>
          <w:color w:val="auto"/>
          <w:szCs w:val="24"/>
          <w:highlight w:val="none"/>
        </w:rPr>
        <w:fldChar w:fldCharType="end"/>
      </w:r>
    </w:p>
    <w:p w14:paraId="5478965C">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1C22B07E">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61AE200D">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373A0220">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r>
        <w:rPr>
          <w:rFonts w:hint="default" w:ascii="Times New Roman" w:hAnsi="Times New Roman" w:cs="Times New Roman"/>
          <w:b/>
          <w:bCs/>
          <w:caps/>
          <w:color w:val="auto"/>
          <w:szCs w:val="24"/>
          <w:highlight w:val="none"/>
        </w:rPr>
        <w:t>附件：</w:t>
      </w:r>
    </w:p>
    <w:p w14:paraId="32619695">
      <w:pPr>
        <w:pStyle w:val="31"/>
        <w:adjustRightInd w:val="0"/>
        <w:snapToGrid w:val="0"/>
        <w:spacing w:after="0"/>
        <w:ind w:firstLine="480"/>
        <w:rPr>
          <w:rFonts w:hint="default" w:ascii="Times New Roman" w:hAnsi="Times New Roman" w:cs="Times New Roman"/>
          <w:bCs/>
          <w:caps/>
          <w:color w:val="auto"/>
          <w:szCs w:val="24"/>
          <w:highlight w:val="none"/>
        </w:rPr>
      </w:pPr>
      <w:r>
        <w:rPr>
          <w:rFonts w:hint="default" w:ascii="Times New Roman" w:hAnsi="Times New Roman" w:cs="Times New Roman"/>
          <w:bCs/>
          <w:caps/>
          <w:color w:val="auto"/>
          <w:szCs w:val="24"/>
          <w:highlight w:val="none"/>
        </w:rPr>
        <w:t>附件1 现场记录</w:t>
      </w:r>
    </w:p>
    <w:p w14:paraId="7E79729E">
      <w:pPr>
        <w:pStyle w:val="31"/>
        <w:adjustRightInd w:val="0"/>
        <w:snapToGrid w:val="0"/>
        <w:spacing w:after="0"/>
        <w:ind w:firstLine="480"/>
        <w:rPr>
          <w:rFonts w:hint="default" w:ascii="Times New Roman" w:hAnsi="Times New Roman" w:eastAsia="宋体" w:cs="Times New Roman"/>
          <w:bCs/>
          <w:caps/>
          <w:color w:val="auto"/>
          <w:szCs w:val="24"/>
          <w:highlight w:val="none"/>
          <w:lang w:val="en-US" w:eastAsia="zh-CN"/>
        </w:rPr>
      </w:pPr>
      <w:r>
        <w:rPr>
          <w:rFonts w:hint="default" w:ascii="Times New Roman" w:hAnsi="Times New Roman" w:cs="Times New Roman"/>
          <w:bCs/>
          <w:caps/>
          <w:color w:val="auto"/>
          <w:szCs w:val="24"/>
          <w:highlight w:val="none"/>
          <w:lang w:eastAsia="zh-CN"/>
        </w:rPr>
        <w:t>附件</w:t>
      </w:r>
      <w:r>
        <w:rPr>
          <w:rFonts w:hint="default" w:ascii="Times New Roman" w:hAnsi="Times New Roman" w:cs="Times New Roman"/>
          <w:bCs/>
          <w:caps/>
          <w:color w:val="auto"/>
          <w:szCs w:val="24"/>
          <w:highlight w:val="none"/>
          <w:lang w:val="en-US" w:eastAsia="zh-CN"/>
        </w:rPr>
        <w:t>2 检测单位资质证书</w:t>
      </w:r>
    </w:p>
    <w:p w14:paraId="6767D397">
      <w:pPr>
        <w:pStyle w:val="31"/>
        <w:adjustRightInd w:val="0"/>
        <w:snapToGrid w:val="0"/>
        <w:spacing w:after="0"/>
        <w:ind w:firstLine="480"/>
        <w:rPr>
          <w:rFonts w:hint="default" w:ascii="Times New Roman" w:hAnsi="Times New Roman" w:cs="Times New Roman"/>
          <w:bCs/>
          <w:caps/>
          <w:color w:val="auto"/>
          <w:szCs w:val="24"/>
          <w:highlight w:val="none"/>
          <w:lang w:eastAsia="zh-CN"/>
        </w:rPr>
      </w:pPr>
      <w:r>
        <w:rPr>
          <w:rFonts w:hint="default" w:ascii="Times New Roman" w:hAnsi="Times New Roman" w:cs="Times New Roman"/>
          <w:bCs/>
          <w:caps/>
          <w:color w:val="auto"/>
          <w:szCs w:val="24"/>
          <w:highlight w:val="none"/>
        </w:rPr>
        <w:t>附件</w:t>
      </w:r>
      <w:r>
        <w:rPr>
          <w:rFonts w:hint="default" w:ascii="Times New Roman" w:hAnsi="Times New Roman" w:cs="Times New Roman"/>
          <w:bCs/>
          <w:caps/>
          <w:color w:val="auto"/>
          <w:szCs w:val="24"/>
          <w:highlight w:val="none"/>
          <w:lang w:val="en-US" w:eastAsia="zh-CN"/>
        </w:rPr>
        <w:t>3</w:t>
      </w:r>
      <w:r>
        <w:rPr>
          <w:rFonts w:hint="default" w:ascii="Times New Roman" w:hAnsi="Times New Roman" w:cs="Times New Roman"/>
          <w:bCs/>
          <w:caps/>
          <w:color w:val="auto"/>
          <w:szCs w:val="24"/>
          <w:highlight w:val="none"/>
        </w:rPr>
        <w:t xml:space="preserve"> </w:t>
      </w:r>
      <w:r>
        <w:rPr>
          <w:rFonts w:hint="default" w:ascii="Times New Roman" w:hAnsi="Times New Roman" w:cs="Times New Roman"/>
          <w:bCs/>
          <w:caps/>
          <w:color w:val="auto"/>
          <w:szCs w:val="24"/>
          <w:highlight w:val="none"/>
          <w:lang w:eastAsia="zh-CN"/>
        </w:rPr>
        <w:t>监测报告</w:t>
      </w:r>
    </w:p>
    <w:p w14:paraId="2F76421E">
      <w:pPr>
        <w:pStyle w:val="31"/>
        <w:adjustRightInd w:val="0"/>
        <w:snapToGrid w:val="0"/>
        <w:spacing w:after="0"/>
        <w:ind w:firstLine="480"/>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eastAsia="zh-CN"/>
        </w:rPr>
        <w:t>附件</w:t>
      </w:r>
      <w:r>
        <w:rPr>
          <w:rFonts w:hint="default" w:ascii="Times New Roman" w:hAnsi="Times New Roman" w:cs="Times New Roman"/>
          <w:bCs/>
          <w:caps/>
          <w:color w:val="auto"/>
          <w:szCs w:val="24"/>
          <w:highlight w:val="none"/>
          <w:lang w:val="en-US" w:eastAsia="zh-CN"/>
        </w:rPr>
        <w:t>4 质控报告</w:t>
      </w:r>
    </w:p>
    <w:p w14:paraId="581CD15E">
      <w:pPr>
        <w:pStyle w:val="31"/>
        <w:adjustRightInd w:val="0"/>
        <w:snapToGrid w:val="0"/>
        <w:spacing w:after="0"/>
        <w:ind w:firstLine="480"/>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val="en-US" w:eastAsia="zh-CN"/>
        </w:rPr>
        <w:t>附件5 现场采样情况说明</w:t>
      </w:r>
    </w:p>
    <w:p w14:paraId="6C7B3430">
      <w:pPr>
        <w:pStyle w:val="31"/>
        <w:adjustRightInd w:val="0"/>
        <w:snapToGrid w:val="0"/>
        <w:spacing w:after="0"/>
        <w:ind w:firstLine="480"/>
      </w:pPr>
      <w:r>
        <w:rPr>
          <w:rFonts w:hint="eastAsia" w:cs="Times New Roman"/>
          <w:bCs/>
          <w:caps/>
          <w:color w:val="auto"/>
          <w:szCs w:val="24"/>
          <w:highlight w:val="none"/>
          <w:lang w:val="en-US" w:eastAsia="zh-CN"/>
        </w:rPr>
        <w:t>附件6 地下水监测井洗井记录单</w:t>
      </w:r>
    </w:p>
    <w:p w14:paraId="51AE85AC">
      <w:pPr>
        <w:pStyle w:val="31"/>
        <w:adjustRightInd w:val="0"/>
        <w:snapToGrid w:val="0"/>
        <w:spacing w:after="0"/>
        <w:ind w:firstLine="480"/>
        <w:rPr>
          <w:rFonts w:hint="eastAsia"/>
          <w:lang w:val="en-US" w:eastAsia="zh-CN"/>
        </w:rPr>
      </w:pPr>
      <w:r>
        <w:rPr>
          <w:rFonts w:hint="default"/>
        </w:rPr>
        <w:t>附件7</w:t>
      </w:r>
      <w:r>
        <w:rPr>
          <w:rFonts w:hint="eastAsia"/>
          <w:lang w:val="en-US" w:eastAsia="zh-CN"/>
        </w:rPr>
        <w:t xml:space="preserve"> 专家意见及签到表</w:t>
      </w:r>
    </w:p>
    <w:p w14:paraId="5B69D3EE">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423642FB">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39AB0C2D">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3CFF0F4A">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p>
    <w:p w14:paraId="20290103">
      <w:pPr>
        <w:pStyle w:val="31"/>
        <w:adjustRightInd w:val="0"/>
        <w:snapToGrid w:val="0"/>
        <w:spacing w:after="0"/>
        <w:ind w:left="0" w:leftChars="0" w:firstLine="0" w:firstLineChars="0"/>
        <w:rPr>
          <w:rFonts w:hint="default" w:ascii="Times New Roman" w:hAnsi="Times New Roman" w:cs="Times New Roman"/>
          <w:b/>
          <w:bCs/>
          <w:caps/>
          <w:color w:val="auto"/>
          <w:szCs w:val="24"/>
          <w:highlight w:val="none"/>
        </w:rPr>
      </w:pPr>
      <w:r>
        <w:rPr>
          <w:rFonts w:hint="default" w:ascii="Times New Roman" w:hAnsi="Times New Roman" w:cs="Times New Roman"/>
          <w:b/>
          <w:bCs/>
          <w:caps/>
          <w:color w:val="auto"/>
          <w:szCs w:val="24"/>
          <w:highlight w:val="none"/>
        </w:rPr>
        <w:t>附</w:t>
      </w:r>
      <w:r>
        <w:rPr>
          <w:rFonts w:hint="default" w:ascii="Times New Roman" w:hAnsi="Times New Roman" w:cs="Times New Roman"/>
          <w:b/>
          <w:bCs/>
          <w:caps/>
          <w:color w:val="auto"/>
          <w:szCs w:val="24"/>
          <w:highlight w:val="none"/>
          <w:lang w:eastAsia="zh-CN"/>
        </w:rPr>
        <w:t>图</w:t>
      </w:r>
      <w:r>
        <w:rPr>
          <w:rFonts w:hint="default" w:ascii="Times New Roman" w:hAnsi="Times New Roman" w:cs="Times New Roman"/>
          <w:b/>
          <w:bCs/>
          <w:caps/>
          <w:color w:val="auto"/>
          <w:szCs w:val="24"/>
          <w:highlight w:val="none"/>
        </w:rPr>
        <w:t>：</w:t>
      </w:r>
    </w:p>
    <w:p w14:paraId="29AA2C2C">
      <w:pPr>
        <w:pStyle w:val="31"/>
        <w:adjustRightInd w:val="0"/>
        <w:snapToGrid w:val="0"/>
        <w:spacing w:after="0"/>
        <w:ind w:firstLine="480"/>
        <w:rPr>
          <w:rFonts w:hint="default" w:ascii="Times New Roman" w:hAnsi="Times New Roman" w:cs="Times New Roman"/>
          <w:bCs/>
          <w:caps/>
          <w:color w:val="auto"/>
          <w:szCs w:val="24"/>
          <w:highlight w:val="none"/>
        </w:rPr>
      </w:pPr>
      <w:r>
        <w:rPr>
          <w:rFonts w:hint="default" w:ascii="Times New Roman" w:hAnsi="Times New Roman" w:cs="Times New Roman"/>
          <w:bCs/>
          <w:caps/>
          <w:color w:val="auto"/>
          <w:szCs w:val="24"/>
          <w:highlight w:val="none"/>
        </w:rPr>
        <w:t>附</w:t>
      </w:r>
      <w:r>
        <w:rPr>
          <w:rFonts w:hint="default" w:ascii="Times New Roman" w:hAnsi="Times New Roman" w:cs="Times New Roman"/>
          <w:bCs/>
          <w:caps/>
          <w:color w:val="auto"/>
          <w:szCs w:val="24"/>
          <w:highlight w:val="none"/>
          <w:lang w:eastAsia="zh-CN"/>
        </w:rPr>
        <w:t>图</w:t>
      </w:r>
      <w:r>
        <w:rPr>
          <w:rFonts w:hint="default" w:ascii="Times New Roman" w:hAnsi="Times New Roman" w:cs="Times New Roman"/>
          <w:bCs/>
          <w:caps/>
          <w:color w:val="auto"/>
          <w:szCs w:val="24"/>
          <w:highlight w:val="none"/>
        </w:rPr>
        <w:t xml:space="preserve">1 </w:t>
      </w:r>
      <w:r>
        <w:rPr>
          <w:rFonts w:hint="default" w:ascii="Times New Roman" w:hAnsi="Times New Roman" w:cs="Times New Roman"/>
          <w:bCs/>
          <w:caps/>
          <w:color w:val="auto"/>
          <w:szCs w:val="24"/>
          <w:highlight w:val="none"/>
          <w:lang w:eastAsia="zh-CN"/>
        </w:rPr>
        <w:t>三江港经济区</w:t>
      </w:r>
      <w:r>
        <w:rPr>
          <w:rFonts w:hint="default" w:ascii="Times New Roman" w:hAnsi="Times New Roman" w:cs="Times New Roman"/>
          <w:bCs/>
          <w:caps/>
          <w:color w:val="auto"/>
          <w:szCs w:val="24"/>
          <w:highlight w:val="none"/>
        </w:rPr>
        <w:t>地理位置图</w:t>
      </w:r>
    </w:p>
    <w:p w14:paraId="659067CC">
      <w:pPr>
        <w:pStyle w:val="31"/>
        <w:adjustRightInd w:val="0"/>
        <w:snapToGrid w:val="0"/>
        <w:spacing w:after="0"/>
        <w:ind w:firstLine="480"/>
        <w:rPr>
          <w:rFonts w:hint="default" w:ascii="Times New Roman" w:hAnsi="Times New Roman" w:cs="Times New Roman"/>
          <w:bCs/>
          <w:caps/>
          <w:color w:val="auto"/>
          <w:szCs w:val="24"/>
          <w:highlight w:val="none"/>
        </w:rPr>
      </w:pPr>
      <w:r>
        <w:rPr>
          <w:rFonts w:hint="default" w:ascii="Times New Roman" w:hAnsi="Times New Roman" w:cs="Times New Roman"/>
          <w:bCs/>
          <w:caps/>
          <w:color w:val="auto"/>
          <w:szCs w:val="24"/>
          <w:highlight w:val="none"/>
        </w:rPr>
        <w:t>附</w:t>
      </w:r>
      <w:r>
        <w:rPr>
          <w:rFonts w:hint="default" w:ascii="Times New Roman" w:hAnsi="Times New Roman" w:cs="Times New Roman"/>
          <w:bCs/>
          <w:caps/>
          <w:color w:val="auto"/>
          <w:szCs w:val="24"/>
          <w:highlight w:val="none"/>
          <w:lang w:eastAsia="zh-CN"/>
        </w:rPr>
        <w:t>图</w:t>
      </w:r>
      <w:r>
        <w:rPr>
          <w:rFonts w:hint="default" w:ascii="Times New Roman" w:hAnsi="Times New Roman" w:cs="Times New Roman"/>
          <w:bCs/>
          <w:caps/>
          <w:color w:val="auto"/>
          <w:szCs w:val="24"/>
          <w:highlight w:val="none"/>
          <w:lang w:val="en-US" w:eastAsia="zh-CN"/>
        </w:rPr>
        <w:t>2</w:t>
      </w:r>
      <w:r>
        <w:rPr>
          <w:rFonts w:hint="default" w:ascii="Times New Roman" w:hAnsi="Times New Roman" w:cs="Times New Roman"/>
          <w:bCs/>
          <w:caps/>
          <w:color w:val="auto"/>
          <w:szCs w:val="24"/>
          <w:highlight w:val="none"/>
        </w:rPr>
        <w:t xml:space="preserve"> </w:t>
      </w:r>
      <w:r>
        <w:rPr>
          <w:rFonts w:hint="default" w:ascii="Times New Roman" w:hAnsi="Times New Roman" w:cs="Times New Roman"/>
          <w:bCs/>
          <w:caps/>
          <w:color w:val="auto"/>
          <w:szCs w:val="24"/>
          <w:highlight w:val="none"/>
          <w:lang w:eastAsia="zh-CN"/>
        </w:rPr>
        <w:t>三江港经济区调查范围及周边情况情况图</w:t>
      </w:r>
    </w:p>
    <w:p w14:paraId="5F3826BD">
      <w:pPr>
        <w:pStyle w:val="31"/>
        <w:adjustRightInd w:val="0"/>
        <w:snapToGrid w:val="0"/>
        <w:spacing w:after="0"/>
        <w:ind w:firstLine="480"/>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eastAsia="zh-CN"/>
        </w:rPr>
        <w:t>附图</w:t>
      </w:r>
      <w:r>
        <w:rPr>
          <w:rFonts w:hint="default" w:ascii="Times New Roman" w:hAnsi="Times New Roman" w:cs="Times New Roman"/>
          <w:bCs/>
          <w:caps/>
          <w:color w:val="auto"/>
          <w:szCs w:val="24"/>
          <w:highlight w:val="none"/>
          <w:lang w:val="en-US" w:eastAsia="zh-CN"/>
        </w:rPr>
        <w:t>3 鄂州市远景城乡产业结构图</w:t>
      </w:r>
    </w:p>
    <w:p w14:paraId="3A3EA8D5">
      <w:pPr>
        <w:pStyle w:val="31"/>
        <w:adjustRightInd w:val="0"/>
        <w:snapToGrid w:val="0"/>
        <w:spacing w:after="0"/>
        <w:ind w:firstLine="480"/>
        <w:rPr>
          <w:rFonts w:hint="default" w:ascii="Times New Roman" w:hAnsi="Times New Roman" w:eastAsia="宋体" w:cs="Times New Roman"/>
          <w:bCs/>
          <w:caps/>
          <w:color w:val="auto"/>
          <w:szCs w:val="24"/>
          <w:highlight w:val="none"/>
          <w:lang w:val="en-US" w:eastAsia="zh-CN"/>
        </w:rPr>
      </w:pPr>
      <w:r>
        <w:rPr>
          <w:rFonts w:hint="default" w:ascii="Times New Roman" w:hAnsi="Times New Roman" w:cs="Times New Roman"/>
          <w:bCs/>
          <w:caps/>
          <w:color w:val="auto"/>
          <w:szCs w:val="24"/>
          <w:highlight w:val="none"/>
          <w:lang w:val="en-US" w:eastAsia="zh-CN"/>
        </w:rPr>
        <w:t>附图4 鄂州市三江港新区总体规划</w:t>
      </w:r>
      <w:r>
        <w:rPr>
          <w:rFonts w:hint="eastAsia"/>
          <w:lang w:eastAsia="zh-CN"/>
        </w:rPr>
        <w:t>（</w:t>
      </w:r>
      <w:r>
        <w:rPr>
          <w:rFonts w:hint="eastAsia"/>
          <w:lang w:val="en-US" w:eastAsia="zh-CN"/>
        </w:rPr>
        <w:t>2013-2030</w:t>
      </w:r>
      <w:r>
        <w:rPr>
          <w:rFonts w:hint="eastAsia"/>
          <w:lang w:eastAsia="zh-CN"/>
        </w:rPr>
        <w:t>）——</w:t>
      </w:r>
      <w:r>
        <w:rPr>
          <w:rFonts w:hint="eastAsia"/>
          <w:lang w:val="en-US" w:eastAsia="zh-CN"/>
        </w:rPr>
        <w:t>土地使用规划图</w:t>
      </w:r>
    </w:p>
    <w:p w14:paraId="5E752424">
      <w:pPr>
        <w:pStyle w:val="31"/>
        <w:adjustRightInd w:val="0"/>
        <w:snapToGrid w:val="0"/>
        <w:spacing w:after="0"/>
        <w:ind w:firstLine="480"/>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val="en-US" w:eastAsia="zh-CN"/>
        </w:rPr>
        <w:t>附图5 三江港经济区已建成企业</w:t>
      </w:r>
      <w:r>
        <w:rPr>
          <w:rFonts w:hint="eastAsia" w:cs="Times New Roman"/>
          <w:bCs/>
          <w:caps/>
          <w:color w:val="auto"/>
          <w:szCs w:val="24"/>
          <w:highlight w:val="none"/>
          <w:lang w:val="en-US" w:eastAsia="zh-CN"/>
        </w:rPr>
        <w:t>聚集区及典型企业</w:t>
      </w:r>
      <w:r>
        <w:rPr>
          <w:rFonts w:hint="default" w:ascii="Times New Roman" w:hAnsi="Times New Roman" w:cs="Times New Roman"/>
          <w:bCs/>
          <w:caps/>
          <w:color w:val="auto"/>
          <w:szCs w:val="24"/>
          <w:highlight w:val="none"/>
          <w:lang w:val="en-US" w:eastAsia="zh-CN"/>
        </w:rPr>
        <w:t>分布图</w:t>
      </w:r>
    </w:p>
    <w:p w14:paraId="39FF33E9">
      <w:pPr>
        <w:pStyle w:val="31"/>
        <w:adjustRightInd w:val="0"/>
        <w:snapToGrid w:val="0"/>
        <w:spacing w:after="0"/>
        <w:ind w:firstLine="480"/>
        <w:rPr>
          <w:rFonts w:hint="default" w:ascii="Times New Roman" w:hAnsi="Times New Roman" w:cs="Times New Roman"/>
          <w:bCs/>
          <w:caps/>
          <w:color w:val="auto"/>
          <w:szCs w:val="24"/>
          <w:highlight w:val="none"/>
          <w:lang w:val="en-US" w:eastAsia="zh-CN"/>
        </w:rPr>
      </w:pPr>
      <w:r>
        <w:rPr>
          <w:rFonts w:hint="default" w:ascii="Times New Roman" w:hAnsi="Times New Roman" w:cs="Times New Roman"/>
          <w:bCs/>
          <w:caps/>
          <w:color w:val="auto"/>
          <w:szCs w:val="24"/>
          <w:highlight w:val="none"/>
          <w:lang w:val="en-US" w:eastAsia="zh-CN"/>
        </w:rPr>
        <w:t>附图6 土壤和地下水实际采样点位分布图</w:t>
      </w:r>
    </w:p>
    <w:p w14:paraId="78FAAE0C">
      <w:pPr>
        <w:pStyle w:val="31"/>
        <w:adjustRightInd w:val="0"/>
        <w:snapToGrid w:val="0"/>
        <w:spacing w:after="0"/>
        <w:ind w:left="0" w:leftChars="0" w:firstLine="0" w:firstLineChars="0"/>
        <w:rPr>
          <w:rFonts w:hint="default" w:ascii="Times New Roman" w:hAnsi="Times New Roman" w:cs="Times New Roman"/>
          <w:bCs/>
          <w:caps/>
          <w:color w:val="auto"/>
          <w:szCs w:val="24"/>
          <w:highlight w:val="none"/>
          <w:lang w:eastAsia="zh-CN"/>
        </w:rPr>
        <w:sectPr>
          <w:headerReference r:id="rId6" w:type="default"/>
          <w:footerReference r:id="rId7"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51F3C95A">
      <w:pPr>
        <w:pStyle w:val="31"/>
        <w:adjustRightInd w:val="0"/>
        <w:snapToGrid w:val="0"/>
        <w:spacing w:after="0"/>
        <w:ind w:left="0" w:leftChars="0" w:firstLine="0" w:firstLineChars="0"/>
        <w:rPr>
          <w:rFonts w:hint="default" w:ascii="Times New Roman" w:hAnsi="Times New Roman" w:cs="Times New Roman"/>
          <w:bCs/>
          <w:caps/>
          <w:color w:val="auto"/>
          <w:szCs w:val="24"/>
          <w:highlight w:val="none"/>
          <w:lang w:eastAsia="zh-CN"/>
        </w:rPr>
        <w:sectPr>
          <w:headerReference r:id="rId8"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28994982">
      <w:pPr>
        <w:pStyle w:val="31"/>
        <w:adjustRightInd w:val="0"/>
        <w:snapToGrid w:val="0"/>
        <w:spacing w:after="0"/>
        <w:ind w:firstLine="480"/>
        <w:rPr>
          <w:rFonts w:hint="default" w:ascii="Times New Roman" w:hAnsi="Times New Roman" w:cs="Times New Roman"/>
          <w:bCs/>
          <w:caps/>
          <w:color w:val="auto"/>
          <w:szCs w:val="24"/>
          <w:highlight w:val="none"/>
          <w:lang w:eastAsia="zh-CN"/>
        </w:rPr>
      </w:pPr>
    </w:p>
    <w:p w14:paraId="78218ED8">
      <w:pPr>
        <w:pStyle w:val="3"/>
        <w:pageBreakBefore w:val="0"/>
        <w:numPr>
          <w:ilvl w:val="0"/>
          <w:numId w:val="1"/>
        </w:numPr>
        <w:tabs>
          <w:tab w:val="clear" w:pos="425"/>
        </w:tabs>
        <w:rPr>
          <w:rFonts w:hint="default" w:ascii="Times New Roman" w:hAnsi="Times New Roman" w:cs="Times New Roman"/>
          <w:color w:val="auto"/>
          <w:highlight w:val="none"/>
        </w:rPr>
      </w:pPr>
      <w:bookmarkStart w:id="0" w:name="_Toc27455"/>
      <w:bookmarkStart w:id="1" w:name="_Toc28265"/>
      <w:r>
        <w:rPr>
          <w:rFonts w:hint="default" w:ascii="Times New Roman" w:hAnsi="Times New Roman" w:cs="Times New Roman"/>
          <w:color w:val="auto"/>
          <w:highlight w:val="none"/>
          <w:lang w:eastAsia="zh-CN"/>
        </w:rPr>
        <w:t>概述</w:t>
      </w:r>
      <w:bookmarkEnd w:id="0"/>
      <w:bookmarkEnd w:id="1"/>
    </w:p>
    <w:p w14:paraId="6EA3D4A7">
      <w:pPr>
        <w:pStyle w:val="4"/>
        <w:tabs>
          <w:tab w:val="left" w:leader="dot" w:pos="0"/>
          <w:tab w:val="clear" w:pos="567"/>
        </w:tabs>
        <w:rPr>
          <w:rFonts w:hint="default" w:ascii="Times New Roman" w:hAnsi="Times New Roman" w:cs="Times New Roman"/>
          <w:color w:val="auto"/>
          <w:highlight w:val="none"/>
        </w:rPr>
      </w:pPr>
      <w:bookmarkStart w:id="2" w:name="_Toc21653"/>
      <w:bookmarkStart w:id="3" w:name="_Toc10642668"/>
      <w:bookmarkStart w:id="4" w:name="_Toc9767"/>
      <w:r>
        <w:rPr>
          <w:rFonts w:hint="default" w:ascii="Times New Roman" w:hAnsi="Times New Roman" w:cs="Times New Roman"/>
          <w:color w:val="auto"/>
          <w:highlight w:val="none"/>
        </w:rPr>
        <w:t>项目由来</w:t>
      </w:r>
      <w:bookmarkEnd w:id="2"/>
      <w:bookmarkEnd w:id="3"/>
      <w:bookmarkEnd w:id="4"/>
    </w:p>
    <w:p w14:paraId="4F317E90">
      <w:pPr>
        <w:ind w:left="1" w:firstLine="480" w:firstLineChars="200"/>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为贯彻落实《中华人民共和国土壤污染防治法》、《国务院关于印发土壤污染防治行动计划的通知》（国发〔2016〕31号）、《省人民政府关于印发湖北省土壤污染防治行动计划工作方案的通知》（鄂政发〔2016〕85号）、《市人民政府关于印发鄂州市土壤污染防治工作方案的通知</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lang w:val="en-US" w:eastAsia="zh-CN"/>
        </w:rPr>
        <w:t>2017年5月</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》、《鄂州市土壤污染治理与修复规划（2018-2020）》</w:t>
      </w:r>
      <w:r>
        <w:rPr>
          <w:rFonts w:hint="default" w:ascii="Times New Roman" w:hAnsi="Times New Roman" w:cs="Times New Roman" w:eastAsiaTheme="minorEastAsia"/>
          <w:highlight w:val="none"/>
          <w:lang w:eastAsia="zh-CN"/>
        </w:rPr>
        <w:t>中</w:t>
      </w:r>
      <w:r>
        <w:rPr>
          <w:rFonts w:hint="default" w:ascii="Times New Roman" w:hAnsi="Times New Roman" w:cs="Times New Roman" w:eastAsiaTheme="minorEastAsia"/>
          <w:highlight w:val="none"/>
        </w:rPr>
        <w:t>“有关环境保护部门要定期对重点监管企业和工业园区周边开展监测”</w:t>
      </w:r>
      <w:r>
        <w:rPr>
          <w:rFonts w:hint="default" w:ascii="Times New Roman" w:hAnsi="Times New Roman" w:cs="Times New Roman" w:eastAsiaTheme="minorEastAsia"/>
          <w:highlight w:val="none"/>
          <w:lang w:eastAsia="zh-CN"/>
        </w:rPr>
        <w:t>的</w:t>
      </w:r>
      <w:r>
        <w:rPr>
          <w:rFonts w:hint="default" w:ascii="Times New Roman" w:hAnsi="Times New Roman" w:cs="Times New Roman" w:eastAsiaTheme="minorEastAsia"/>
          <w:highlight w:val="none"/>
        </w:rPr>
        <w:t>要求，</w:t>
      </w:r>
      <w:r>
        <w:rPr>
          <w:rFonts w:hint="default" w:ascii="Times New Roman" w:hAnsi="Times New Roman" w:cs="Times New Roman" w:eastAsiaTheme="minorEastAsia"/>
          <w:highlight w:val="none"/>
          <w:lang w:eastAsia="zh-CN"/>
        </w:rPr>
        <w:t>切</w:t>
      </w:r>
      <w:r>
        <w:rPr>
          <w:rFonts w:hint="default" w:ascii="Times New Roman" w:hAnsi="Times New Roman" w:cs="Times New Roman" w:eastAsiaTheme="minorEastAsia"/>
          <w:highlight w:val="none"/>
        </w:rPr>
        <w:t>实推进鄂州市土壤污染防治工作，摸清重点监管单位及工业园区土壤污染状况，将调查结果作为环境执法和风险预警的重要依据</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2020年9月，鄂州市生态环境局委托湖北君邦环境技术有限责任公司开展鄂州市</w:t>
      </w:r>
      <w:r>
        <w:rPr>
          <w:rFonts w:hint="default" w:ascii="Times New Roman" w:hAnsi="Times New Roman" w:cs="Times New Roman"/>
          <w:snapToGrid w:val="0"/>
          <w:color w:val="000000"/>
          <w:kern w:val="0"/>
          <w:highlight w:val="none"/>
        </w:rPr>
        <w:t>华容创业园、三江港</w:t>
      </w:r>
      <w:r>
        <w:rPr>
          <w:rFonts w:hint="default" w:ascii="Times New Roman" w:hAnsi="Times New Roman" w:cs="Times New Roman"/>
          <w:snapToGrid w:val="0"/>
          <w:color w:val="000000"/>
          <w:kern w:val="0"/>
          <w:highlight w:val="none"/>
          <w:lang w:val="en-US" w:eastAsia="zh-CN"/>
        </w:rPr>
        <w:t>经济</w:t>
      </w:r>
      <w:r>
        <w:rPr>
          <w:rFonts w:hint="default" w:ascii="Times New Roman" w:hAnsi="Times New Roman" w:cs="Times New Roman"/>
          <w:snapToGrid w:val="0"/>
          <w:color w:val="000000"/>
          <w:kern w:val="0"/>
          <w:highlight w:val="none"/>
        </w:rPr>
        <w:t>区、</w:t>
      </w:r>
      <w:r>
        <w:rPr>
          <w:rFonts w:hint="default" w:ascii="Times New Roman" w:hAnsi="Times New Roman" w:cs="Times New Roman"/>
          <w:snapToGrid w:val="0"/>
          <w:color w:val="000000"/>
          <w:kern w:val="0"/>
          <w:highlight w:val="none"/>
          <w:lang w:eastAsia="zh-CN"/>
        </w:rPr>
        <w:t>城东产业园（鄂城新区）</w:t>
      </w:r>
      <w:r>
        <w:rPr>
          <w:rFonts w:hint="default" w:ascii="Times New Roman" w:hAnsi="Times New Roman" w:cs="Times New Roman"/>
          <w:snapToGrid w:val="0"/>
          <w:color w:val="000000"/>
          <w:kern w:val="0"/>
          <w:highlight w:val="none"/>
        </w:rPr>
        <w:t>、鄂州经济开发区、花湖开发区共五个工业园</w:t>
      </w:r>
      <w:r>
        <w:rPr>
          <w:rFonts w:hint="default" w:ascii="Times New Roman" w:hAnsi="Times New Roman" w:cs="Times New Roman" w:eastAsiaTheme="minorEastAsia"/>
          <w:highlight w:val="none"/>
        </w:rPr>
        <w:t>周边土壤环境质量调查工作。接受委托后，湖北君邦环境技术有限责任公司（以下简称“我公司”）于2020年10月至12月开展了现场调查和样品采集工作，结合园区现场情况及前期收集的相关资料，基于现场采集送检样品的检测数据开展数据分析及报告编制工作。</w:t>
      </w:r>
    </w:p>
    <w:p w14:paraId="75B88148">
      <w:pPr>
        <w:spacing w:line="360" w:lineRule="auto"/>
        <w:ind w:left="1" w:firstLine="480" w:firstLineChars="200"/>
        <w:rPr>
          <w:rFonts w:hint="default" w:ascii="Times New Roman" w:hAnsi="Times New Roman" w:cs="Times New Roman" w:eastAsiaTheme="minorEastAsia"/>
          <w:b/>
          <w:bCs/>
          <w:color w:val="auto"/>
          <w:sz w:val="24"/>
          <w:szCs w:val="24"/>
          <w:highlight w:val="none"/>
          <w:shd w:val="clear" w:color="auto" w:fill="auto"/>
          <w:lang w:val="en-US" w:eastAsia="zh-CN"/>
        </w:rPr>
      </w:pPr>
      <w:r>
        <w:rPr>
          <w:rFonts w:hint="default" w:ascii="Times New Roman" w:hAnsi="Times New Roman" w:cs="Times New Roman" w:eastAsiaTheme="minorEastAsia"/>
          <w:color w:val="auto"/>
          <w:sz w:val="24"/>
          <w:szCs w:val="24"/>
          <w:highlight w:val="none"/>
          <w:shd w:val="clear" w:color="auto" w:fill="auto"/>
          <w:lang w:val="en-US" w:eastAsia="zh-CN"/>
        </w:rPr>
        <w:t>其中，三江港经济区位于鄂州市华容区，与鄂州市华容创业园、鄂州经济开发区毗邻，调查面积为</w:t>
      </w:r>
      <w:r>
        <w:rPr>
          <w:rFonts w:hint="eastAsia" w:cs="Times New Roman" w:eastAsiaTheme="minorEastAsia"/>
          <w:color w:val="auto"/>
          <w:sz w:val="24"/>
          <w:szCs w:val="24"/>
          <w:highlight w:val="none"/>
          <w:shd w:val="clear" w:color="auto" w:fill="auto"/>
          <w:lang w:val="en-US" w:eastAsia="zh-CN"/>
        </w:rPr>
        <w:t>190</w:t>
      </w:r>
      <w:r>
        <w:rPr>
          <w:rFonts w:hint="default" w:ascii="Times New Roman" w:hAnsi="Times New Roman" w:cs="Times New Roman" w:eastAsiaTheme="minorEastAsia"/>
          <w:color w:val="auto"/>
          <w:sz w:val="24"/>
          <w:szCs w:val="24"/>
          <w:highlight w:val="none"/>
          <w:shd w:val="clear" w:color="auto" w:fill="auto"/>
          <w:lang w:val="en-US" w:eastAsia="zh-CN"/>
        </w:rPr>
        <w:t>.32km</w:t>
      </w:r>
      <w:r>
        <w:rPr>
          <w:rFonts w:hint="default" w:ascii="Times New Roman" w:hAnsi="Times New Roman" w:cs="Times New Roman" w:eastAsiaTheme="minorEastAsia"/>
          <w:color w:val="auto"/>
          <w:sz w:val="24"/>
          <w:szCs w:val="24"/>
          <w:highlight w:val="none"/>
          <w:shd w:val="clear" w:color="auto" w:fill="auto"/>
          <w:vertAlign w:val="superscript"/>
          <w:lang w:val="en-US" w:eastAsia="zh-CN"/>
        </w:rPr>
        <w:t>2</w:t>
      </w:r>
      <w:r>
        <w:rPr>
          <w:rFonts w:hint="default" w:ascii="Times New Roman" w:hAnsi="Times New Roman" w:cs="Times New Roman" w:eastAsiaTheme="minorEastAsia"/>
          <w:color w:val="auto"/>
          <w:sz w:val="24"/>
          <w:szCs w:val="24"/>
          <w:highlight w:val="none"/>
          <w:shd w:val="clear" w:color="auto" w:fill="auto"/>
          <w:vertAlign w:val="baseline"/>
          <w:lang w:val="en-US" w:eastAsia="zh-CN"/>
        </w:rPr>
        <w:t>。我公司</w:t>
      </w:r>
      <w:r>
        <w:rPr>
          <w:rFonts w:hint="default" w:ascii="Times New Roman" w:hAnsi="Times New Roman" w:cs="Times New Roman" w:eastAsiaTheme="minorEastAsia"/>
          <w:color w:val="auto"/>
          <w:sz w:val="24"/>
          <w:szCs w:val="24"/>
          <w:highlight w:val="none"/>
          <w:shd w:val="clear" w:color="auto" w:fill="auto"/>
          <w:lang w:val="en-US" w:eastAsia="zh-CN"/>
        </w:rPr>
        <w:t>于2021年</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月编制完成了《鄂州市工业园区周边土壤质量调查评估报告（2020年）——三江港经济区（送审稿）》</w:t>
      </w:r>
      <w:r>
        <w:rPr>
          <w:rFonts w:hint="eastAsia" w:cs="Times New Roman" w:eastAsiaTheme="minorEastAsia"/>
          <w:color w:val="auto"/>
          <w:sz w:val="24"/>
          <w:szCs w:val="24"/>
          <w:highlight w:val="none"/>
          <w:shd w:val="clear" w:color="auto" w:fill="auto"/>
          <w:lang w:val="en-US" w:eastAsia="zh-CN"/>
        </w:rPr>
        <w:t>并于2021年2月7日通过了专家评审会（专家意见见附件7）。现将</w:t>
      </w:r>
      <w:r>
        <w:rPr>
          <w:rFonts w:hint="default" w:ascii="Times New Roman" w:hAnsi="Times New Roman" w:cs="Times New Roman" w:eastAsiaTheme="minorEastAsia"/>
          <w:color w:val="auto"/>
          <w:sz w:val="24"/>
          <w:szCs w:val="24"/>
          <w:highlight w:val="none"/>
          <w:shd w:val="clear" w:color="auto" w:fill="auto"/>
          <w:lang w:val="en-US" w:eastAsia="zh-CN"/>
        </w:rPr>
        <w:t>《鄂州市工业园区周边土壤质量调查评估报告（2020年）——三江港经济区（送审稿）》</w:t>
      </w:r>
      <w:r>
        <w:rPr>
          <w:rFonts w:hint="eastAsia" w:cs="Times New Roman" w:eastAsiaTheme="minorEastAsia"/>
          <w:color w:val="auto"/>
          <w:sz w:val="24"/>
          <w:szCs w:val="24"/>
          <w:highlight w:val="none"/>
          <w:shd w:val="clear" w:color="auto" w:fill="auto"/>
          <w:lang w:val="en-US" w:eastAsia="zh-CN"/>
        </w:rPr>
        <w:t>交由鄂州市生态环境局备案</w:t>
      </w:r>
      <w:r>
        <w:rPr>
          <w:rFonts w:hint="default" w:ascii="Times New Roman" w:hAnsi="Times New Roman" w:cs="Times New Roman" w:eastAsiaTheme="minorEastAsia"/>
          <w:color w:val="auto"/>
          <w:sz w:val="24"/>
          <w:szCs w:val="24"/>
          <w:highlight w:val="none"/>
          <w:shd w:val="clear" w:color="auto" w:fill="auto"/>
          <w:lang w:val="en-US" w:eastAsia="zh-CN"/>
        </w:rPr>
        <w:t>。</w:t>
      </w:r>
    </w:p>
    <w:p w14:paraId="69DC6F61">
      <w:pPr>
        <w:pStyle w:val="4"/>
        <w:tabs>
          <w:tab w:val="left" w:leader="dot" w:pos="0"/>
          <w:tab w:val="clear" w:pos="567"/>
        </w:tabs>
        <w:rPr>
          <w:rFonts w:hint="default" w:ascii="Times New Roman" w:hAnsi="Times New Roman" w:cs="Times New Roman"/>
          <w:color w:val="auto"/>
          <w:highlight w:val="none"/>
        </w:rPr>
      </w:pPr>
      <w:bookmarkStart w:id="5" w:name="_Toc20454"/>
      <w:bookmarkStart w:id="6" w:name="_Toc29937"/>
      <w:bookmarkStart w:id="7" w:name="_Toc15371849"/>
      <w:r>
        <w:rPr>
          <w:rFonts w:hint="default" w:ascii="Times New Roman" w:hAnsi="Times New Roman" w:cs="Times New Roman"/>
          <w:color w:val="auto"/>
          <w:highlight w:val="none"/>
        </w:rPr>
        <w:t>调查目的和原则</w:t>
      </w:r>
      <w:bookmarkEnd w:id="5"/>
      <w:bookmarkEnd w:id="6"/>
      <w:bookmarkEnd w:id="7"/>
    </w:p>
    <w:p w14:paraId="5D145309">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调查目的</w:t>
      </w:r>
    </w:p>
    <w:p w14:paraId="2C1F8473">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eastAsia="zh-CN"/>
        </w:rPr>
        <w:t>本次调查的</w:t>
      </w:r>
      <w:r>
        <w:rPr>
          <w:rFonts w:hint="default" w:ascii="Times New Roman" w:hAnsi="Times New Roman" w:cs="Times New Roman"/>
          <w:color w:val="auto"/>
          <w:kern w:val="0"/>
          <w:sz w:val="24"/>
          <w:highlight w:val="none"/>
        </w:rPr>
        <w:t>目的为：</w:t>
      </w:r>
    </w:p>
    <w:p w14:paraId="051B2FC0">
      <w:pPr>
        <w:numPr>
          <w:ilvl w:val="0"/>
          <w:numId w:val="4"/>
        </w:num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eastAsia="zh-CN"/>
        </w:rPr>
        <w:t>初步了解工业园区周边是否存在</w:t>
      </w:r>
      <w:r>
        <w:rPr>
          <w:rFonts w:hint="default" w:ascii="Times New Roman" w:hAnsi="Times New Roman" w:cs="Times New Roman"/>
          <w:color w:val="auto"/>
          <w:kern w:val="0"/>
          <w:sz w:val="24"/>
          <w:highlight w:val="none"/>
        </w:rPr>
        <w:t>土壤和</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污染；</w:t>
      </w:r>
    </w:p>
    <w:p w14:paraId="78FFDF2E">
      <w:pPr>
        <w:numPr>
          <w:ilvl w:val="0"/>
          <w:numId w:val="4"/>
        </w:num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eastAsia="zh-CN"/>
        </w:rPr>
        <w:t>了解工业园区内已建成企业分布情况，调查工业园内已建成企业聚集区周边是否存在</w:t>
      </w:r>
      <w:r>
        <w:rPr>
          <w:rFonts w:hint="default" w:ascii="Times New Roman" w:hAnsi="Times New Roman" w:cs="Times New Roman"/>
          <w:color w:val="auto"/>
          <w:kern w:val="0"/>
          <w:sz w:val="24"/>
          <w:highlight w:val="none"/>
        </w:rPr>
        <w:t>土壤和</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污染；</w:t>
      </w:r>
    </w:p>
    <w:p w14:paraId="4281FA73">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rPr>
        <w:t>）若存在污染，</w:t>
      </w:r>
      <w:r>
        <w:rPr>
          <w:rFonts w:hint="default" w:ascii="Times New Roman" w:hAnsi="Times New Roman" w:cs="Times New Roman"/>
          <w:color w:val="auto"/>
          <w:kern w:val="0"/>
          <w:sz w:val="24"/>
          <w:highlight w:val="none"/>
          <w:lang w:eastAsia="zh-CN"/>
        </w:rPr>
        <w:t>明确调查范围内</w:t>
      </w:r>
      <w:r>
        <w:rPr>
          <w:rFonts w:hint="default" w:ascii="Times New Roman" w:hAnsi="Times New Roman" w:cs="Times New Roman"/>
          <w:color w:val="auto"/>
          <w:kern w:val="0"/>
          <w:sz w:val="24"/>
          <w:highlight w:val="none"/>
        </w:rPr>
        <w:t>土壤和</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中</w:t>
      </w:r>
      <w:r>
        <w:rPr>
          <w:rFonts w:hint="default" w:ascii="Times New Roman" w:hAnsi="Times New Roman" w:cs="Times New Roman"/>
          <w:color w:val="auto"/>
          <w:kern w:val="0"/>
          <w:sz w:val="24"/>
          <w:highlight w:val="none"/>
          <w:lang w:eastAsia="zh-CN"/>
        </w:rPr>
        <w:t>污染物类别，初步分析污染成因</w:t>
      </w:r>
      <w:r>
        <w:rPr>
          <w:rFonts w:hint="default" w:ascii="Times New Roman" w:hAnsi="Times New Roman" w:cs="Times New Roman"/>
          <w:color w:val="auto"/>
          <w:kern w:val="0"/>
          <w:sz w:val="24"/>
          <w:highlight w:val="none"/>
        </w:rPr>
        <w:t>；</w:t>
      </w:r>
    </w:p>
    <w:p w14:paraId="6591BAF6">
      <w:pPr>
        <w:spacing w:line="360" w:lineRule="auto"/>
        <w:ind w:left="1"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4</w:t>
      </w:r>
      <w:r>
        <w:rPr>
          <w:rFonts w:hint="default" w:ascii="Times New Roman" w:hAnsi="Times New Roman" w:cs="Times New Roman"/>
          <w:color w:val="auto"/>
          <w:kern w:val="0"/>
          <w:sz w:val="24"/>
          <w:highlight w:val="none"/>
        </w:rPr>
        <w:t>）对土壤及</w:t>
      </w:r>
      <w:r>
        <w:rPr>
          <w:rFonts w:hint="default" w:ascii="Times New Roman" w:hAnsi="Times New Roman" w:cs="Times New Roman"/>
          <w:color w:val="auto"/>
          <w:kern w:val="0"/>
          <w:sz w:val="24"/>
          <w:highlight w:val="none"/>
          <w:lang w:eastAsia="zh-CN"/>
        </w:rPr>
        <w:t>地下水</w:t>
      </w:r>
      <w:r>
        <w:rPr>
          <w:rFonts w:hint="default" w:ascii="Times New Roman" w:hAnsi="Times New Roman" w:cs="Times New Roman"/>
          <w:color w:val="auto"/>
          <w:kern w:val="0"/>
          <w:sz w:val="24"/>
          <w:highlight w:val="none"/>
        </w:rPr>
        <w:t>环境质量</w:t>
      </w:r>
      <w:r>
        <w:rPr>
          <w:rFonts w:hint="default" w:ascii="Times New Roman" w:hAnsi="Times New Roman" w:cs="Times New Roman"/>
          <w:color w:val="auto"/>
          <w:kern w:val="0"/>
          <w:sz w:val="24"/>
          <w:highlight w:val="none"/>
          <w:lang w:eastAsia="zh-CN"/>
        </w:rPr>
        <w:t>现状</w:t>
      </w:r>
      <w:r>
        <w:rPr>
          <w:rFonts w:hint="default" w:ascii="Times New Roman" w:hAnsi="Times New Roman" w:cs="Times New Roman"/>
          <w:color w:val="auto"/>
          <w:kern w:val="0"/>
          <w:sz w:val="24"/>
          <w:highlight w:val="none"/>
        </w:rPr>
        <w:t>进行评价，为环境风险预警</w:t>
      </w:r>
      <w:r>
        <w:rPr>
          <w:rFonts w:hint="default" w:ascii="Times New Roman" w:hAnsi="Times New Roman" w:cs="Times New Roman"/>
          <w:color w:val="auto"/>
          <w:kern w:val="0"/>
          <w:sz w:val="24"/>
          <w:highlight w:val="none"/>
          <w:lang w:eastAsia="zh-CN"/>
        </w:rPr>
        <w:t>提供</w:t>
      </w:r>
      <w:r>
        <w:rPr>
          <w:rFonts w:hint="default" w:ascii="Times New Roman" w:hAnsi="Times New Roman" w:cs="Times New Roman"/>
          <w:color w:val="auto"/>
          <w:kern w:val="0"/>
          <w:sz w:val="24"/>
          <w:highlight w:val="none"/>
        </w:rPr>
        <w:t>重要依据。</w:t>
      </w:r>
    </w:p>
    <w:p w14:paraId="23D4E216">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调查原则</w:t>
      </w:r>
    </w:p>
    <w:p w14:paraId="79F01C11">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（1）针对性原则</w:t>
      </w:r>
    </w:p>
    <w:p w14:paraId="58C73DB9">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w:t>
      </w:r>
      <w:r>
        <w:rPr>
          <w:rFonts w:hint="default" w:ascii="Times New Roman" w:hAnsi="Times New Roman" w:cs="Times New Roman"/>
          <w:color w:val="auto"/>
          <w:kern w:val="0"/>
          <w:sz w:val="24"/>
          <w:highlight w:val="none"/>
          <w:lang w:eastAsia="zh-CN"/>
        </w:rPr>
        <w:t>鄂州市</w:t>
      </w:r>
      <w:r>
        <w:rPr>
          <w:rFonts w:hint="default" w:ascii="Times New Roman" w:hAnsi="Times New Roman" w:cs="Times New Roman"/>
          <w:color w:val="auto"/>
          <w:kern w:val="0"/>
          <w:sz w:val="24"/>
          <w:highlight w:val="none"/>
          <w:lang w:val="en-US" w:eastAsia="zh-CN"/>
        </w:rPr>
        <w:t>三江港经济区</w:t>
      </w:r>
      <w:r>
        <w:rPr>
          <w:rFonts w:hint="default" w:ascii="Times New Roman" w:hAnsi="Times New Roman" w:cs="Times New Roman"/>
          <w:color w:val="auto"/>
          <w:kern w:val="0"/>
          <w:sz w:val="24"/>
          <w:highlight w:val="none"/>
          <w:lang w:eastAsia="zh-CN"/>
        </w:rPr>
        <w:t>工业园区的土地利用现状、已建成企业分布情况</w:t>
      </w:r>
      <w:r>
        <w:rPr>
          <w:rFonts w:hint="default" w:ascii="Times New Roman" w:hAnsi="Times New Roman" w:cs="Times New Roman"/>
          <w:color w:val="auto"/>
          <w:kern w:val="0"/>
          <w:sz w:val="24"/>
          <w:highlight w:val="none"/>
        </w:rPr>
        <w:t>，将</w:t>
      </w:r>
      <w:r>
        <w:rPr>
          <w:rFonts w:hint="default" w:ascii="Times New Roman" w:hAnsi="Times New Roman" w:cs="Times New Roman"/>
          <w:color w:val="auto"/>
          <w:kern w:val="0"/>
          <w:sz w:val="24"/>
          <w:highlight w:val="none"/>
          <w:lang w:eastAsia="zh-CN"/>
        </w:rPr>
        <w:t>整个工业园</w:t>
      </w:r>
      <w:r>
        <w:rPr>
          <w:rFonts w:hint="eastAsia" w:cs="Times New Roman"/>
          <w:color w:val="auto"/>
          <w:kern w:val="0"/>
          <w:sz w:val="24"/>
          <w:highlight w:val="none"/>
          <w:lang w:eastAsia="zh-CN"/>
        </w:rPr>
        <w:t>、</w:t>
      </w:r>
      <w:r>
        <w:rPr>
          <w:rFonts w:hint="default" w:ascii="Times New Roman" w:hAnsi="Times New Roman" w:cs="Times New Roman"/>
          <w:color w:val="auto"/>
          <w:kern w:val="0"/>
          <w:sz w:val="24"/>
          <w:highlight w:val="none"/>
          <w:lang w:eastAsia="zh-CN"/>
        </w:rPr>
        <w:t>园区</w:t>
      </w:r>
      <w:r>
        <w:rPr>
          <w:rFonts w:hint="eastAsia" w:cs="Times New Roman"/>
          <w:color w:val="auto"/>
          <w:kern w:val="0"/>
          <w:sz w:val="24"/>
          <w:highlight w:val="none"/>
          <w:lang w:eastAsia="zh-CN"/>
        </w:rPr>
        <w:t>主要已建成企业聚集区</w:t>
      </w:r>
      <w:r>
        <w:rPr>
          <w:rFonts w:hint="default" w:ascii="Times New Roman" w:hAnsi="Times New Roman" w:cs="Times New Roman"/>
          <w:color w:val="auto"/>
          <w:kern w:val="0"/>
          <w:sz w:val="24"/>
          <w:highlight w:val="none"/>
          <w:lang w:eastAsia="zh-CN"/>
        </w:rPr>
        <w:t>域</w:t>
      </w:r>
      <w:r>
        <w:rPr>
          <w:rFonts w:hint="default" w:ascii="Times New Roman" w:hAnsi="Times New Roman" w:cs="Times New Roman"/>
          <w:color w:val="auto"/>
          <w:kern w:val="0"/>
          <w:sz w:val="24"/>
          <w:highlight w:val="none"/>
        </w:rPr>
        <w:t>作为调查重点；根据</w:t>
      </w:r>
      <w:r>
        <w:rPr>
          <w:rFonts w:hint="default" w:ascii="Times New Roman" w:hAnsi="Times New Roman" w:cs="Times New Roman"/>
          <w:color w:val="auto"/>
          <w:kern w:val="0"/>
          <w:sz w:val="24"/>
          <w:highlight w:val="none"/>
          <w:lang w:eastAsia="zh-CN"/>
        </w:rPr>
        <w:t>园区产业功能定位、</w:t>
      </w:r>
      <w:r>
        <w:rPr>
          <w:rFonts w:hint="eastAsia" w:cs="Times New Roman"/>
          <w:color w:val="auto"/>
          <w:kern w:val="0"/>
          <w:sz w:val="24"/>
          <w:highlight w:val="none"/>
          <w:lang w:val="en-US" w:eastAsia="zh-CN"/>
        </w:rPr>
        <w:t>典型企业</w:t>
      </w:r>
      <w:r>
        <w:rPr>
          <w:rFonts w:hint="default" w:ascii="Times New Roman" w:hAnsi="Times New Roman" w:cs="Times New Roman"/>
          <w:color w:val="auto"/>
          <w:kern w:val="0"/>
          <w:sz w:val="24"/>
          <w:highlight w:val="none"/>
          <w:lang w:eastAsia="zh-CN"/>
        </w:rPr>
        <w:t>的产排污环节</w:t>
      </w:r>
      <w:r>
        <w:rPr>
          <w:rFonts w:hint="default" w:ascii="Times New Roman" w:hAnsi="Times New Roman" w:cs="Times New Roman"/>
          <w:color w:val="auto"/>
          <w:kern w:val="0"/>
          <w:sz w:val="24"/>
          <w:highlight w:val="none"/>
        </w:rPr>
        <w:t>，有针对性地设定调查项目。</w:t>
      </w:r>
    </w:p>
    <w:p w14:paraId="73867085">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（2）规范性原则</w:t>
      </w:r>
    </w:p>
    <w:p w14:paraId="78AF7314">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eastAsia="zh-CN"/>
        </w:rPr>
        <w:t>参考</w:t>
      </w:r>
      <w:r>
        <w:rPr>
          <w:rFonts w:hint="default" w:ascii="Times New Roman" w:hAnsi="Times New Roman" w:cs="Times New Roman"/>
          <w:color w:val="auto"/>
          <w:kern w:val="0"/>
          <w:sz w:val="24"/>
          <w:highlight w:val="none"/>
        </w:rPr>
        <w:t>目前国内及国际上</w:t>
      </w:r>
      <w:r>
        <w:rPr>
          <w:rFonts w:hint="eastAsia" w:cs="Times New Roman"/>
          <w:color w:val="auto"/>
          <w:kern w:val="0"/>
          <w:sz w:val="24"/>
          <w:highlight w:val="none"/>
          <w:lang w:eastAsia="zh-CN"/>
        </w:rPr>
        <w:t>地块</w:t>
      </w:r>
      <w:r>
        <w:rPr>
          <w:rFonts w:hint="default" w:ascii="Times New Roman" w:hAnsi="Times New Roman" w:cs="Times New Roman"/>
          <w:color w:val="auto"/>
          <w:kern w:val="0"/>
          <w:sz w:val="24"/>
          <w:highlight w:val="none"/>
          <w:lang w:eastAsia="zh-CN"/>
        </w:rPr>
        <w:t>土壤及地下水</w:t>
      </w:r>
      <w:r>
        <w:rPr>
          <w:rFonts w:hint="default" w:ascii="Times New Roman" w:hAnsi="Times New Roman" w:cs="Times New Roman"/>
          <w:color w:val="auto"/>
          <w:kern w:val="0"/>
          <w:sz w:val="24"/>
          <w:highlight w:val="none"/>
        </w:rPr>
        <w:t>调查的相关技术规范，对</w:t>
      </w:r>
      <w:r>
        <w:rPr>
          <w:rFonts w:hint="eastAsia" w:cs="Times New Roman"/>
          <w:color w:val="auto"/>
          <w:kern w:val="0"/>
          <w:sz w:val="24"/>
          <w:highlight w:val="none"/>
          <w:lang w:eastAsia="zh-CN"/>
        </w:rPr>
        <w:t>园区</w:t>
      </w:r>
      <w:r>
        <w:rPr>
          <w:rFonts w:hint="default" w:ascii="Times New Roman" w:hAnsi="Times New Roman" w:cs="Times New Roman"/>
          <w:color w:val="auto"/>
          <w:kern w:val="0"/>
          <w:sz w:val="24"/>
          <w:highlight w:val="none"/>
        </w:rPr>
        <w:t>现场调查采样、样品保存运输、样品分析等一系列过程进行严格的质量控制，保证调查和评估结果的科学性、准确性和客观性。</w:t>
      </w:r>
    </w:p>
    <w:p w14:paraId="1C832D9B">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（3）可操作性原则</w:t>
      </w:r>
    </w:p>
    <w:p w14:paraId="40302E17">
      <w:pPr>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综合考虑</w:t>
      </w:r>
      <w:r>
        <w:rPr>
          <w:rFonts w:hint="default" w:ascii="Times New Roman" w:hAnsi="Times New Roman" w:cs="Times New Roman"/>
          <w:color w:val="auto"/>
          <w:kern w:val="0"/>
          <w:sz w:val="24"/>
          <w:highlight w:val="none"/>
          <w:lang w:eastAsia="zh-CN"/>
        </w:rPr>
        <w:t>调查园区</w:t>
      </w:r>
      <w:r>
        <w:rPr>
          <w:rFonts w:hint="default" w:ascii="Times New Roman" w:hAnsi="Times New Roman" w:cs="Times New Roman"/>
          <w:color w:val="auto"/>
          <w:kern w:val="0"/>
          <w:sz w:val="24"/>
          <w:highlight w:val="none"/>
        </w:rPr>
        <w:t>复杂性、污染特点和环境条件等因素，制定可操作的调查方案和采样计划，确保调查评估工作顺利完成。</w:t>
      </w:r>
    </w:p>
    <w:p w14:paraId="317806A9">
      <w:pPr>
        <w:pStyle w:val="4"/>
        <w:tabs>
          <w:tab w:val="left" w:leader="dot" w:pos="0"/>
          <w:tab w:val="clear" w:pos="567"/>
        </w:tabs>
        <w:rPr>
          <w:rFonts w:hint="default" w:ascii="Times New Roman" w:hAnsi="Times New Roman" w:cs="Times New Roman"/>
          <w:color w:val="auto"/>
          <w:highlight w:val="none"/>
        </w:rPr>
      </w:pPr>
      <w:bookmarkStart w:id="8" w:name="_Toc15371850"/>
      <w:bookmarkStart w:id="9" w:name="_Toc18023"/>
      <w:bookmarkStart w:id="10" w:name="_Toc13311"/>
      <w:r>
        <w:rPr>
          <w:rFonts w:hint="default" w:ascii="Times New Roman" w:hAnsi="Times New Roman" w:cs="Times New Roman"/>
          <w:color w:val="auto"/>
          <w:highlight w:val="none"/>
        </w:rPr>
        <w:t>调查</w:t>
      </w:r>
      <w:r>
        <w:rPr>
          <w:rFonts w:hint="default" w:ascii="Times New Roman" w:hAnsi="Times New Roman" w:cs="Times New Roman"/>
          <w:color w:val="auto"/>
          <w:highlight w:val="none"/>
          <w:lang w:eastAsia="zh-CN"/>
        </w:rPr>
        <w:t>对象和</w:t>
      </w:r>
      <w:r>
        <w:rPr>
          <w:rFonts w:hint="default" w:ascii="Times New Roman" w:hAnsi="Times New Roman" w:cs="Times New Roman"/>
          <w:color w:val="auto"/>
          <w:highlight w:val="none"/>
        </w:rPr>
        <w:t>范围</w:t>
      </w:r>
      <w:bookmarkEnd w:id="8"/>
      <w:bookmarkEnd w:id="9"/>
      <w:bookmarkEnd w:id="10"/>
    </w:p>
    <w:p w14:paraId="2B477A01">
      <w:pPr>
        <w:spacing w:line="360" w:lineRule="auto"/>
        <w:ind w:firstLine="480" w:firstLineChars="200"/>
        <w:rPr>
          <w:rFonts w:hint="default" w:ascii="Times New Roman" w:hAnsi="Times New Roman" w:cs="Times New Roman" w:eastAsiaTheme="minorEastAsia"/>
          <w:color w:val="auto"/>
          <w:sz w:val="24"/>
          <w:highlight w:val="none"/>
          <w:shd w:val="clear" w:color="auto" w:fill="auto"/>
          <w:lang w:eastAsia="zh-CN"/>
        </w:rPr>
      </w:pPr>
      <w:r>
        <w:rPr>
          <w:rFonts w:hint="default" w:ascii="Times New Roman" w:hAnsi="Times New Roman" w:cs="Times New Roman"/>
          <w:color w:val="auto"/>
          <w:kern w:val="0"/>
          <w:sz w:val="24"/>
          <w:highlight w:val="none"/>
        </w:rPr>
        <w:t>本次调查对象为</w:t>
      </w:r>
      <w:r>
        <w:rPr>
          <w:rFonts w:hint="default" w:ascii="Times New Roman" w:hAnsi="Times New Roman" w:cs="Times New Roman"/>
          <w:color w:val="auto"/>
          <w:kern w:val="0"/>
          <w:sz w:val="24"/>
          <w:highlight w:val="none"/>
          <w:lang w:eastAsia="zh-CN"/>
        </w:rPr>
        <w:t>鄂州市</w:t>
      </w:r>
      <w:r>
        <w:rPr>
          <w:rFonts w:hint="default" w:ascii="Times New Roman" w:hAnsi="Times New Roman" w:cs="Times New Roman"/>
          <w:color w:val="auto"/>
          <w:kern w:val="0"/>
          <w:sz w:val="24"/>
          <w:highlight w:val="none"/>
          <w:lang w:val="en-US" w:eastAsia="zh-CN"/>
        </w:rPr>
        <w:t>三江港经济区，主要针对工业园区周边、已建成企业聚集区周边土壤和地下水质量进行调查评估</w:t>
      </w:r>
      <w:r>
        <w:rPr>
          <w:rFonts w:hint="default" w:ascii="Times New Roman" w:hAnsi="Times New Roman" w:cs="Times New Roman" w:eastAsiaTheme="minorEastAsia"/>
          <w:color w:val="auto"/>
          <w:sz w:val="24"/>
          <w:highlight w:val="none"/>
          <w:shd w:val="clear" w:color="auto" w:fill="auto"/>
          <w:lang w:eastAsia="zh-CN"/>
        </w:rPr>
        <w:t>。</w:t>
      </w:r>
    </w:p>
    <w:p w14:paraId="6BF557D4">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eastAsiaTheme="minorEastAsia"/>
          <w:color w:val="auto"/>
          <w:sz w:val="24"/>
          <w:highlight w:val="none"/>
          <w:shd w:val="clear" w:color="auto" w:fill="auto"/>
          <w:lang w:val="en-US" w:eastAsia="zh-CN"/>
        </w:rPr>
        <w:t>三江港经济区位于鄂州市华容区，北、东</w:t>
      </w:r>
      <w:r>
        <w:rPr>
          <w:rFonts w:hint="eastAsia" w:cs="Times New Roman" w:eastAsiaTheme="minorEastAsia"/>
          <w:color w:val="auto"/>
          <w:sz w:val="24"/>
          <w:highlight w:val="none"/>
          <w:shd w:val="clear" w:color="auto" w:fill="auto"/>
          <w:lang w:val="en-US" w:eastAsia="zh-CN"/>
        </w:rPr>
        <w:t>临</w:t>
      </w:r>
      <w:r>
        <w:rPr>
          <w:rFonts w:hint="default" w:ascii="Times New Roman" w:hAnsi="Times New Roman" w:cs="Times New Roman" w:eastAsiaTheme="minorEastAsia"/>
          <w:color w:val="auto"/>
          <w:sz w:val="24"/>
          <w:highlight w:val="none"/>
          <w:shd w:val="clear" w:color="auto" w:fill="auto"/>
          <w:lang w:val="en-US" w:eastAsia="zh-CN"/>
        </w:rPr>
        <w:t>长江，南</w:t>
      </w:r>
      <w:r>
        <w:rPr>
          <w:rFonts w:hint="eastAsia" w:cs="Times New Roman" w:eastAsiaTheme="minorEastAsia"/>
          <w:color w:val="auto"/>
          <w:sz w:val="24"/>
          <w:highlight w:val="none"/>
          <w:shd w:val="clear" w:color="auto" w:fill="auto"/>
          <w:lang w:val="en-US" w:eastAsia="zh-CN"/>
        </w:rPr>
        <w:t>临</w:t>
      </w:r>
      <w:r>
        <w:rPr>
          <w:rFonts w:hint="default" w:ascii="Times New Roman" w:hAnsi="Times New Roman" w:cs="Times New Roman" w:eastAsiaTheme="minorEastAsia"/>
          <w:color w:val="auto"/>
          <w:sz w:val="24"/>
          <w:highlight w:val="none"/>
          <w:shd w:val="clear" w:color="auto" w:fill="auto"/>
          <w:lang w:val="en-US" w:eastAsia="zh-CN"/>
        </w:rPr>
        <w:t>鄂州市城西新区（开发区），西</w:t>
      </w:r>
      <w:r>
        <w:rPr>
          <w:rFonts w:hint="eastAsia" w:cs="Times New Roman" w:eastAsiaTheme="minorEastAsia"/>
          <w:color w:val="auto"/>
          <w:sz w:val="24"/>
          <w:highlight w:val="none"/>
          <w:shd w:val="clear" w:color="auto" w:fill="auto"/>
          <w:lang w:val="en-US" w:eastAsia="zh-CN"/>
        </w:rPr>
        <w:t>临</w:t>
      </w:r>
      <w:r>
        <w:rPr>
          <w:rFonts w:hint="default" w:ascii="Times New Roman" w:hAnsi="Times New Roman" w:cs="Times New Roman" w:eastAsiaTheme="minorEastAsia"/>
          <w:color w:val="auto"/>
          <w:sz w:val="24"/>
          <w:highlight w:val="none"/>
          <w:shd w:val="clear" w:color="auto" w:fill="auto"/>
          <w:lang w:val="en-US" w:eastAsia="zh-CN"/>
        </w:rPr>
        <w:t>鄂咸高速公路，根据</w:t>
      </w:r>
      <w:r>
        <w:rPr>
          <w:rFonts w:hint="default" w:ascii="Times New Roman" w:hAnsi="Times New Roman" w:cs="Times New Roman"/>
          <w:color w:val="auto"/>
          <w:sz w:val="24"/>
          <w:szCs w:val="24"/>
          <w:highlight w:val="none"/>
          <w:lang w:eastAsia="zh-CN"/>
        </w:rPr>
        <w:t>《鄂州市三江港新区总体规划（2013-2030）》（上海同济城市规划设计研究院，2014年10月）</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三江港经济区规划面积为207.32</w:t>
      </w:r>
      <w:r>
        <w:rPr>
          <w:rFonts w:hint="default" w:ascii="Times New Roman" w:hAnsi="Times New Roman" w:cs="Times New Roman" w:eastAsiaTheme="minorEastAsia"/>
          <w:color w:val="auto"/>
          <w:sz w:val="24"/>
          <w:highlight w:val="none"/>
          <w:shd w:val="clear" w:color="auto" w:fill="auto"/>
          <w:lang w:val="en-US" w:eastAsia="zh-CN"/>
        </w:rPr>
        <w:t>km</w:t>
      </w:r>
      <w:r>
        <w:rPr>
          <w:rFonts w:hint="default" w:ascii="Times New Roman" w:hAnsi="Times New Roman" w:cs="Times New Roman" w:eastAsiaTheme="minorEastAsia"/>
          <w:color w:val="auto"/>
          <w:sz w:val="24"/>
          <w:highlight w:val="none"/>
          <w:shd w:val="clear" w:color="auto" w:fill="auto"/>
          <w:vertAlign w:val="superscript"/>
          <w:lang w:val="en-US" w:eastAsia="zh-CN"/>
        </w:rPr>
        <w:t>2</w:t>
      </w:r>
      <w:r>
        <w:rPr>
          <w:rFonts w:hint="eastAsia" w:cs="Times New Roman" w:eastAsiaTheme="minorEastAsia"/>
          <w:color w:val="auto"/>
          <w:sz w:val="24"/>
          <w:highlight w:val="none"/>
          <w:shd w:val="clear" w:color="auto" w:fill="auto"/>
          <w:lang w:val="en-US" w:eastAsia="zh-CN"/>
        </w:rPr>
        <w:t>，其中本园区东南的17km</w:t>
      </w:r>
      <w:r>
        <w:rPr>
          <w:rFonts w:hint="eastAsia" w:cs="Times New Roman" w:eastAsiaTheme="minorEastAsia"/>
          <w:color w:val="auto"/>
          <w:sz w:val="24"/>
          <w:highlight w:val="none"/>
          <w:shd w:val="clear" w:color="auto" w:fill="auto"/>
          <w:vertAlign w:val="superscript"/>
          <w:lang w:val="en-US" w:eastAsia="zh-CN"/>
        </w:rPr>
        <w:t>2</w:t>
      </w:r>
      <w:r>
        <w:rPr>
          <w:rFonts w:hint="eastAsia" w:cs="Times New Roman" w:eastAsiaTheme="minorEastAsia"/>
          <w:color w:val="auto"/>
          <w:sz w:val="24"/>
          <w:highlight w:val="none"/>
          <w:shd w:val="clear" w:color="auto" w:fill="auto"/>
          <w:lang w:val="en-US" w:eastAsia="zh-CN"/>
        </w:rPr>
        <w:t>托管于鄂州经济开发区，故本次</w:t>
      </w:r>
      <w:r>
        <w:rPr>
          <w:rFonts w:hint="default" w:ascii="Times New Roman" w:hAnsi="Times New Roman" w:cs="Times New Roman" w:eastAsiaTheme="minorEastAsia"/>
          <w:color w:val="auto"/>
          <w:sz w:val="24"/>
          <w:highlight w:val="none"/>
          <w:shd w:val="clear" w:color="auto" w:fill="auto"/>
          <w:lang w:val="en-US" w:eastAsia="zh-CN"/>
        </w:rPr>
        <w:t>调查面积为</w:t>
      </w:r>
      <w:r>
        <w:rPr>
          <w:rFonts w:hint="eastAsia" w:cs="Times New Roman" w:eastAsiaTheme="minorEastAsia"/>
          <w:color w:val="auto"/>
          <w:sz w:val="24"/>
          <w:highlight w:val="none"/>
          <w:shd w:val="clear" w:color="auto" w:fill="auto"/>
          <w:lang w:val="en-US" w:eastAsia="zh-CN"/>
        </w:rPr>
        <w:t>190</w:t>
      </w:r>
      <w:r>
        <w:rPr>
          <w:rFonts w:hint="default" w:ascii="Times New Roman" w:hAnsi="Times New Roman" w:cs="Times New Roman" w:eastAsiaTheme="minorEastAsia"/>
          <w:color w:val="auto"/>
          <w:sz w:val="24"/>
          <w:highlight w:val="none"/>
          <w:shd w:val="clear" w:color="auto" w:fill="auto"/>
          <w:lang w:val="en-US" w:eastAsia="zh-CN"/>
        </w:rPr>
        <w:t>.32km</w:t>
      </w:r>
      <w:r>
        <w:rPr>
          <w:rFonts w:hint="default" w:ascii="Times New Roman" w:hAnsi="Times New Roman" w:cs="Times New Roman" w:eastAsiaTheme="minorEastAsia"/>
          <w:color w:val="auto"/>
          <w:sz w:val="24"/>
          <w:highlight w:val="none"/>
          <w:shd w:val="clear" w:color="auto" w:fill="auto"/>
          <w:vertAlign w:val="superscript"/>
          <w:lang w:val="en-US" w:eastAsia="zh-CN"/>
        </w:rPr>
        <w:t>2</w:t>
      </w:r>
      <w:r>
        <w:rPr>
          <w:rFonts w:hint="default" w:ascii="Times New Roman" w:hAnsi="Times New Roman" w:cs="Times New Roman" w:eastAsiaTheme="minorEastAsia"/>
          <w:color w:val="auto"/>
          <w:sz w:val="24"/>
          <w:highlight w:val="none"/>
          <w:shd w:val="clear" w:color="auto" w:fill="auto"/>
          <w:lang w:val="en-US" w:eastAsia="zh-CN"/>
        </w:rPr>
        <w:t>，</w:t>
      </w:r>
      <w:r>
        <w:rPr>
          <w:rFonts w:hint="default" w:ascii="Times New Roman" w:hAnsi="Times New Roman" w:cs="Times New Roman" w:eastAsiaTheme="minorEastAsia"/>
          <w:bCs/>
          <w:caps/>
          <w:color w:val="auto"/>
          <w:szCs w:val="24"/>
          <w:highlight w:val="none"/>
          <w:lang w:eastAsia="zh-CN"/>
        </w:rPr>
        <w:t>三江港经济区</w:t>
      </w:r>
      <w:r>
        <w:rPr>
          <w:rFonts w:hint="default" w:ascii="Times New Roman" w:hAnsi="Times New Roman" w:cs="Times New Roman"/>
          <w:bCs/>
          <w:caps/>
          <w:color w:val="auto"/>
          <w:szCs w:val="24"/>
          <w:highlight w:val="none"/>
        </w:rPr>
        <w:t>地理位置图</w:t>
      </w:r>
      <w:r>
        <w:rPr>
          <w:rFonts w:hint="default" w:ascii="Times New Roman" w:hAnsi="Times New Roman" w:cs="Times New Roman" w:eastAsiaTheme="minorEastAsia"/>
          <w:color w:val="auto"/>
          <w:sz w:val="24"/>
          <w:highlight w:val="none"/>
          <w:shd w:val="clear" w:color="auto" w:fill="auto"/>
          <w:lang w:val="en-US" w:eastAsia="zh-CN"/>
        </w:rPr>
        <w:t>见附图1，三江港经济区调查范</w:t>
      </w:r>
      <w:r>
        <w:rPr>
          <w:rFonts w:hint="default" w:ascii="Times New Roman" w:hAnsi="Times New Roman" w:cs="Times New Roman"/>
          <w:color w:val="auto"/>
          <w:kern w:val="0"/>
          <w:sz w:val="24"/>
          <w:highlight w:val="none"/>
          <w:lang w:eastAsia="zh-CN"/>
        </w:rPr>
        <w:t>围及周边情况图见附图</w:t>
      </w:r>
      <w:r>
        <w:rPr>
          <w:rFonts w:hint="default" w:ascii="Times New Roman" w:hAnsi="Times New Roman" w:cs="Times New Roman"/>
          <w:color w:val="auto"/>
          <w:kern w:val="0"/>
          <w:sz w:val="24"/>
          <w:highlight w:val="none"/>
          <w:lang w:val="en-US" w:eastAsia="zh-CN"/>
        </w:rPr>
        <w:t>2。</w:t>
      </w:r>
    </w:p>
    <w:p w14:paraId="259CB9BB">
      <w:pPr>
        <w:pStyle w:val="4"/>
        <w:tabs>
          <w:tab w:val="left" w:leader="dot" w:pos="0"/>
          <w:tab w:val="clear" w:pos="567"/>
        </w:tabs>
        <w:spacing w:before="240"/>
        <w:rPr>
          <w:rFonts w:hint="default" w:ascii="Times New Roman" w:hAnsi="Times New Roman" w:cs="Times New Roman"/>
          <w:color w:val="auto"/>
          <w:highlight w:val="none"/>
        </w:rPr>
      </w:pPr>
      <w:bookmarkStart w:id="11" w:name="_Toc5045"/>
      <w:bookmarkStart w:id="12" w:name="_Toc14019"/>
      <w:r>
        <w:rPr>
          <w:rFonts w:hint="default" w:ascii="Times New Roman" w:hAnsi="Times New Roman" w:cs="Times New Roman"/>
          <w:color w:val="auto"/>
          <w:highlight w:val="none"/>
          <w:lang w:eastAsia="zh-CN"/>
        </w:rPr>
        <w:t>调查依据</w:t>
      </w:r>
      <w:bookmarkEnd w:id="11"/>
      <w:bookmarkEnd w:id="12"/>
    </w:p>
    <w:p w14:paraId="1333EFDB">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法律法规</w:t>
      </w:r>
    </w:p>
    <w:p w14:paraId="2A5F85E4">
      <w:pPr>
        <w:spacing w:line="360" w:lineRule="auto"/>
        <w:ind w:left="24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（1）《中华人民共和国环境保护法》（2014年4月24日修订，2015年1月1日施行）</w:t>
      </w:r>
      <w:r>
        <w:rPr>
          <w:rFonts w:hint="default" w:ascii="Times New Roman" w:hAnsi="Times New Roman" w:cs="Times New Roman"/>
          <w:color w:val="auto"/>
          <w:sz w:val="24"/>
          <w:highlight w:val="none"/>
          <w:lang w:eastAsia="zh-CN"/>
        </w:rPr>
        <w:t>；</w:t>
      </w:r>
    </w:p>
    <w:p w14:paraId="4D384147">
      <w:pPr>
        <w:spacing w:line="360" w:lineRule="auto"/>
        <w:ind w:firstLine="240" w:firstLineChars="1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（2）《中华人民共和国土壤污染防治法》（2019年1月1日施行）</w:t>
      </w:r>
      <w:r>
        <w:rPr>
          <w:rFonts w:hint="default" w:ascii="Times New Roman" w:hAnsi="Times New Roman" w:cs="Times New Roman"/>
          <w:color w:val="auto"/>
          <w:sz w:val="24"/>
          <w:highlight w:val="none"/>
          <w:lang w:eastAsia="zh-CN"/>
        </w:rPr>
        <w:t>；</w:t>
      </w:r>
    </w:p>
    <w:p w14:paraId="21A875CC">
      <w:pPr>
        <w:spacing w:line="360" w:lineRule="auto"/>
        <w:ind w:firstLine="240" w:firstLineChars="1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（3）</w:t>
      </w:r>
      <w:r>
        <w:rPr>
          <w:rFonts w:hint="default" w:ascii="Times New Roman" w:hAnsi="Times New Roman" w:cs="Times New Roman"/>
          <w:color w:val="auto"/>
          <w:kern w:val="0"/>
          <w:sz w:val="24"/>
          <w:highlight w:val="none"/>
        </w:rPr>
        <w:t>《国务院关于印发土壤污染防治行动计划的通知》（国发[2016]31号）</w:t>
      </w:r>
      <w:r>
        <w:rPr>
          <w:rFonts w:hint="default" w:ascii="Times New Roman" w:hAnsi="Times New Roman" w:cs="Times New Roman"/>
          <w:color w:val="auto"/>
          <w:kern w:val="0"/>
          <w:sz w:val="24"/>
          <w:highlight w:val="none"/>
          <w:lang w:eastAsia="zh-CN"/>
        </w:rPr>
        <w:t>；</w:t>
      </w:r>
    </w:p>
    <w:p w14:paraId="2A77EFBB">
      <w:pPr>
        <w:spacing w:line="360" w:lineRule="auto"/>
        <w:ind w:firstLine="240" w:firstLineChars="1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sz w:val="24"/>
          <w:highlight w:val="none"/>
        </w:rPr>
        <w:t>（4）</w:t>
      </w:r>
      <w:r>
        <w:rPr>
          <w:rFonts w:hint="default" w:ascii="Times New Roman" w:hAnsi="Times New Roman" w:cs="Times New Roman"/>
          <w:color w:val="auto"/>
          <w:kern w:val="0"/>
          <w:sz w:val="24"/>
          <w:highlight w:val="none"/>
        </w:rPr>
        <w:t>《湖北省土壤污染防治行动计划工作方案》（鄂政发[2016]85号）</w:t>
      </w:r>
      <w:r>
        <w:rPr>
          <w:rFonts w:hint="default" w:ascii="Times New Roman" w:hAnsi="Times New Roman" w:cs="Times New Roman"/>
          <w:color w:val="auto"/>
          <w:kern w:val="0"/>
          <w:sz w:val="24"/>
          <w:highlight w:val="none"/>
          <w:lang w:eastAsia="zh-CN"/>
        </w:rPr>
        <w:t>；</w:t>
      </w:r>
    </w:p>
    <w:p w14:paraId="23A26BA2">
      <w:pPr>
        <w:spacing w:line="360" w:lineRule="auto"/>
        <w:ind w:firstLine="240" w:firstLineChars="100"/>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default" w:ascii="Times New Roman" w:hAnsi="Times New Roman" w:cs="Times New Roman"/>
          <w:color w:val="auto"/>
          <w:kern w:val="0"/>
          <w:sz w:val="24"/>
          <w:highlight w:val="none"/>
        </w:rPr>
        <w:t>《湖北省土壤污染防治条例》（2016年10月1日起施行）</w:t>
      </w:r>
      <w:r>
        <w:rPr>
          <w:rFonts w:hint="default" w:ascii="Times New Roman" w:hAnsi="Times New Roman" w:cs="Times New Roman"/>
          <w:color w:val="auto"/>
          <w:kern w:val="0"/>
          <w:sz w:val="24"/>
          <w:highlight w:val="none"/>
          <w:lang w:eastAsia="zh-CN"/>
        </w:rPr>
        <w:t>；</w:t>
      </w:r>
    </w:p>
    <w:p w14:paraId="24945CD2">
      <w:pPr>
        <w:spacing w:line="360" w:lineRule="auto"/>
        <w:ind w:firstLine="240" w:firstLineChars="100"/>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）《市人民政府关于印发鄂州市土壤污染防治工作方案的通知》</w:t>
      </w:r>
      <w:r>
        <w:rPr>
          <w:rFonts w:hint="default" w:ascii="Times New Roman" w:hAnsi="Times New Roman" w:cs="Times New Roman"/>
          <w:color w:val="auto"/>
          <w:sz w:val="24"/>
          <w:highlight w:val="none"/>
          <w:lang w:eastAsia="zh-CN"/>
        </w:rPr>
        <w:t>（鄂州市人民政府，</w:t>
      </w:r>
      <w:r>
        <w:rPr>
          <w:rFonts w:hint="default" w:ascii="Times New Roman" w:hAnsi="Times New Roman" w:cs="Times New Roman"/>
          <w:color w:val="auto"/>
          <w:sz w:val="24"/>
          <w:highlight w:val="none"/>
          <w:lang w:val="en-US" w:eastAsia="zh-CN"/>
        </w:rPr>
        <w:t>2017年5月</w:t>
      </w:r>
      <w:r>
        <w:rPr>
          <w:rFonts w:hint="default" w:ascii="Times New Roman" w:hAnsi="Times New Roman" w:cs="Times New Roman"/>
          <w:color w:val="auto"/>
          <w:sz w:val="24"/>
          <w:highlight w:val="none"/>
          <w:lang w:eastAsia="zh-CN"/>
        </w:rPr>
        <w:t>）；</w:t>
      </w:r>
    </w:p>
    <w:p w14:paraId="5B2C5E0D">
      <w:pPr>
        <w:spacing w:line="360" w:lineRule="auto"/>
        <w:ind w:firstLine="240" w:firstLineChars="100"/>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7</w:t>
      </w:r>
      <w:r>
        <w:rPr>
          <w:rFonts w:hint="default" w:ascii="Times New Roman" w:hAnsi="Times New Roman" w:cs="Times New Roman"/>
          <w:color w:val="auto"/>
          <w:sz w:val="24"/>
          <w:highlight w:val="none"/>
        </w:rPr>
        <w:t>）《鄂州市土壤污染治理与修复规划（2018-2020）》</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2018年8月</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eastAsia="zh-CN"/>
        </w:rPr>
        <w:t>。</w:t>
      </w:r>
    </w:p>
    <w:p w14:paraId="283F908A">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规章及规范性文件</w:t>
      </w:r>
    </w:p>
    <w:p w14:paraId="7C5E2DDD">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《国家重点监控企业污染源监督性监测及信息公开办法》（环发〔2013〕81号）；</w:t>
      </w:r>
    </w:p>
    <w:p w14:paraId="03DF1613">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《土壤环境监测技术规范》（HJ/T 166-2004）</w:t>
      </w:r>
      <w:r>
        <w:rPr>
          <w:rFonts w:hint="default" w:ascii="Times New Roman" w:hAnsi="Times New Roman" w:cs="Times New Roman"/>
          <w:color w:val="auto"/>
          <w:sz w:val="24"/>
          <w:highlight w:val="none"/>
          <w:lang w:eastAsia="zh-CN"/>
        </w:rPr>
        <w:t>；</w:t>
      </w:r>
    </w:p>
    <w:p w14:paraId="5F255752">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《地下水环境监测技术规范》（HJ/T 164-2004）</w:t>
      </w:r>
      <w:r>
        <w:rPr>
          <w:rFonts w:hint="default" w:ascii="Times New Roman" w:hAnsi="Times New Roman" w:cs="Times New Roman"/>
          <w:color w:val="auto"/>
          <w:sz w:val="24"/>
          <w:highlight w:val="none"/>
          <w:lang w:eastAsia="zh-CN"/>
        </w:rPr>
        <w:t>；</w:t>
      </w:r>
    </w:p>
    <w:p w14:paraId="1A6FB069">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《地下水污染地质调查评价规范》（DD 2008-01）</w:t>
      </w:r>
      <w:r>
        <w:rPr>
          <w:rFonts w:hint="default" w:ascii="Times New Roman" w:hAnsi="Times New Roman" w:cs="Times New Roman"/>
          <w:color w:val="auto"/>
          <w:sz w:val="24"/>
          <w:highlight w:val="none"/>
          <w:lang w:eastAsia="zh-CN"/>
        </w:rPr>
        <w:t>；</w:t>
      </w:r>
    </w:p>
    <w:p w14:paraId="382F9327">
      <w:pPr>
        <w:numPr>
          <w:ilvl w:val="0"/>
          <w:numId w:val="5"/>
        </w:num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《水文水井地质钻探规程》（</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"http://www.so.com/link?m=a1YwI%2F0%2BYRdYzN9gH7AmoqYK0k5XBBQ78EfoPvN0C4ul1lgOU9LQ344m3y4zBz4X3YodIVcvYWhFCmPmSM2fsLAihDFhW9dXJC9SLZBwYouE0I0sc4EX9UF8hHzXRC7H8AqIQVVp0GP2RJumPi%2BgnsPozumplTOe17J5HHAXiZn2ne2ju3870nRiZ14Q4j7Xnz%2ByMu7ICSioTJkDBWn%2BFqg%3D%3D" \t "_blank"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sz w:val="24"/>
          <w:highlight w:val="none"/>
        </w:rPr>
        <w:t>DZ/T 0148-2014 </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p>
    <w:p w14:paraId="5BA25C82">
      <w:pPr>
        <w:numPr>
          <w:ilvl w:val="0"/>
          <w:numId w:val="5"/>
        </w:numPr>
        <w:spacing w:line="360" w:lineRule="auto"/>
        <w:ind w:firstLine="360" w:firstLineChars="15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sz w:val="24"/>
          <w:highlight w:val="none"/>
        </w:rPr>
        <w:t>《岩土工程勘查规范》（GB 50021-2001）</w:t>
      </w:r>
      <w:r>
        <w:rPr>
          <w:rFonts w:hint="default" w:ascii="Times New Roman" w:hAnsi="Times New Roman" w:cs="Times New Roman"/>
          <w:color w:val="auto"/>
          <w:sz w:val="24"/>
          <w:highlight w:val="none"/>
          <w:lang w:eastAsia="zh-CN"/>
        </w:rPr>
        <w:t>。</w:t>
      </w:r>
    </w:p>
    <w:p w14:paraId="12BA1ED5">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技术标准</w:t>
      </w:r>
      <w:r>
        <w:rPr>
          <w:rFonts w:hint="default" w:ascii="Times New Roman" w:hAnsi="Times New Roman" w:cs="Times New Roman"/>
          <w:color w:val="auto"/>
          <w:highlight w:val="none"/>
          <w:lang w:eastAsia="zh-CN"/>
        </w:rPr>
        <w:t>和导则</w:t>
      </w:r>
      <w:r>
        <w:rPr>
          <w:rFonts w:hint="default" w:ascii="Times New Roman" w:hAnsi="Times New Roman" w:cs="Times New Roman"/>
          <w:color w:val="auto"/>
          <w:highlight w:val="none"/>
          <w:lang w:val="en-US" w:eastAsia="zh-CN"/>
        </w:rPr>
        <w:t xml:space="preserve"> </w:t>
      </w:r>
    </w:p>
    <w:p w14:paraId="5F88A40A">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《土壤环境质量 建设用地土壤污染风险管控标准（试行）》（GB36600-2018）；</w:t>
      </w:r>
    </w:p>
    <w:p w14:paraId="74AA365A">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《土壤环境质量 农用地土壤污染风险管控标准（试行）》（GB15618-2018）；</w:t>
      </w:r>
    </w:p>
    <w:p w14:paraId="42DF5D8A">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《地下水质量标准》（GB/T 14848-2017）；</w:t>
      </w:r>
    </w:p>
    <w:p w14:paraId="6BE051A4">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《地表水环境质量标准》（GB3838-2002）；</w:t>
      </w:r>
    </w:p>
    <w:p w14:paraId="11BEB439">
      <w:pPr>
        <w:numPr>
          <w:ilvl w:val="0"/>
          <w:numId w:val="6"/>
        </w:numPr>
        <w:ind w:firstLine="360" w:firstLineChars="150"/>
        <w:rPr>
          <w:rFonts w:hint="default" w:ascii="Times New Roman" w:hAnsi="Times New Roman" w:cs="Times New Roman"/>
          <w:highlight w:val="none"/>
        </w:rPr>
      </w:pPr>
      <w:r>
        <w:rPr>
          <w:rFonts w:hint="default" w:ascii="Times New Roman" w:hAnsi="Times New Roman" w:cs="Times New Roman"/>
          <w:highlight w:val="none"/>
        </w:rPr>
        <w:t>《建设</w:t>
      </w:r>
      <w:r>
        <w:rPr>
          <w:rFonts w:hint="default" w:ascii="Times New Roman" w:hAnsi="Times New Roman" w:eastAsia="宋体" w:cs="Times New Roman"/>
          <w:color w:val="000000" w:themeColor="text1"/>
          <w:highlight w:val="none"/>
          <w14:textFill>
            <w14:solidFill>
              <w14:schemeClr w14:val="tx1"/>
            </w14:solidFill>
          </w14:textFill>
        </w:rPr>
        <w:t>用地</w:t>
      </w:r>
      <w:r>
        <w:rPr>
          <w:rFonts w:hint="default" w:ascii="Times New Roman" w:hAnsi="Times New Roman" w:cs="Times New Roman"/>
          <w:highlight w:val="none"/>
        </w:rPr>
        <w:t>土壤污染风险筛选值》（DB13_T 5216-2020）</w:t>
      </w:r>
      <w:r>
        <w:rPr>
          <w:rFonts w:hint="default" w:ascii="Times New Roman" w:hAnsi="Times New Roman" w:cs="Times New Roman"/>
          <w:highlight w:val="none"/>
          <w:lang w:eastAsia="zh-CN"/>
        </w:rPr>
        <w:t>；</w:t>
      </w:r>
    </w:p>
    <w:p w14:paraId="52373D79">
      <w:pPr>
        <w:numPr>
          <w:ilvl w:val="0"/>
          <w:numId w:val="6"/>
        </w:numPr>
        <w:ind w:firstLine="360" w:firstLineChars="150"/>
        <w:rPr>
          <w:rFonts w:hint="default" w:ascii="Times New Roman" w:hAnsi="Times New Roman" w:eastAsia="宋体" w:cs="Times New Roman"/>
          <w:highlight w:val="none"/>
        </w:rPr>
      </w:pPr>
      <w:r>
        <w:rPr>
          <w:rFonts w:hint="default" w:ascii="Times New Roman" w:hAnsi="Times New Roman" w:eastAsia="宋体" w:cs="Times New Roman"/>
          <w:highlight w:val="none"/>
        </w:rPr>
        <w:t>《建设用地土壤污染风险筛选值和管制值</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rPr>
        <w:t>（DB4403_T 67-2020）</w:t>
      </w:r>
      <w:r>
        <w:rPr>
          <w:rFonts w:hint="default" w:ascii="Times New Roman" w:hAnsi="Times New Roman" w:cs="Times New Roman"/>
          <w:highlight w:val="none"/>
          <w:lang w:eastAsia="zh-CN"/>
        </w:rPr>
        <w:t>；</w:t>
      </w:r>
    </w:p>
    <w:p w14:paraId="173517B0">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highlight w:val="none"/>
        </w:rPr>
        <w:t>建设用地土壤污染状况调查技术导则</w:t>
      </w:r>
      <w:r>
        <w:rPr>
          <w:rFonts w:hint="default" w:ascii="Times New Roman" w:hAnsi="Times New Roman" w:cs="Times New Roman"/>
          <w:color w:val="000000" w:themeColor="text1"/>
          <w:highlight w:val="none"/>
          <w14:textFill>
            <w14:solidFill>
              <w14:schemeClr w14:val="tx1"/>
            </w14:solidFill>
          </w14:textFill>
        </w:rPr>
        <w:t>》（HJ 25.1-2019）；</w:t>
      </w:r>
    </w:p>
    <w:p w14:paraId="0BEB293D">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highlight w:val="none"/>
        </w:rPr>
        <w:t>建设用地土壤污染风险管控和修复监测技术导则</w:t>
      </w:r>
      <w:r>
        <w:rPr>
          <w:rFonts w:hint="default" w:ascii="Times New Roman" w:hAnsi="Times New Roman" w:cs="Times New Roman"/>
          <w:color w:val="000000" w:themeColor="text1"/>
          <w:highlight w:val="none"/>
          <w14:textFill>
            <w14:solidFill>
              <w14:schemeClr w14:val="tx1"/>
            </w14:solidFill>
          </w14:textFill>
        </w:rPr>
        <w:t>》（HJ 25.2-2019）；</w:t>
      </w:r>
    </w:p>
    <w:p w14:paraId="3F3DE77A">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《建设用地土壤污染风险管控和修复术语》（HJ 682-2019）；</w:t>
      </w:r>
    </w:p>
    <w:p w14:paraId="48036621">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《工业企业场地环境调查评估与修复工作指南（试行）》（环境保护部公告2014年第78号）；</w:t>
      </w:r>
    </w:p>
    <w:p w14:paraId="132EEAD1">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《地块土壤和地下水中挥发性有机物采样技术导则》（HJ 1019-2019）；</w:t>
      </w:r>
    </w:p>
    <w:p w14:paraId="21C47770">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《地下水环境状况调查评价工作指南》（2019年9月）；</w:t>
      </w:r>
    </w:p>
    <w:p w14:paraId="18352790">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《重点区域土壤环境质量监测风险点位布设方法》（环办监测函（2016）1号）；</w:t>
      </w:r>
    </w:p>
    <w:p w14:paraId="6F3F5C8B">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《四川省土壤污染重点监管单位和工业园区周边土壤环境监督性监测工作方案》（川环办函〔2018〕547号）；</w:t>
      </w:r>
    </w:p>
    <w:p w14:paraId="110F19BE">
      <w:pPr>
        <w:numPr>
          <w:ilvl w:val="0"/>
          <w:numId w:val="6"/>
        </w:numPr>
        <w:ind w:firstLine="360" w:firstLineChars="15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《省级土壤污染状况详查实施方案编制指南》（环办土壤函[2017]1023号）;</w:t>
      </w:r>
    </w:p>
    <w:p w14:paraId="55BA7BDB">
      <w:pPr>
        <w:numPr>
          <w:ilvl w:val="0"/>
          <w:numId w:val="6"/>
        </w:numPr>
        <w:ind w:firstLine="360" w:firstLineChars="150"/>
        <w:rPr>
          <w:rFonts w:hint="default" w:ascii="Times New Roman" w:hAnsi="Times New Roman" w:cs="Times New Roman"/>
          <w:highlight w:val="none"/>
        </w:rPr>
      </w:pPr>
      <w:r>
        <w:rPr>
          <w:rFonts w:hint="default" w:ascii="Times New Roman" w:hAnsi="Times New Roman" w:cs="Times New Roman"/>
          <w:color w:val="000000" w:themeColor="text1"/>
          <w:highlight w:val="none"/>
          <w14:textFill>
            <w14:solidFill>
              <w14:schemeClr w14:val="tx1"/>
            </w14:solidFill>
          </w14:textFill>
        </w:rPr>
        <w:t>《全国土</w:t>
      </w:r>
      <w:r>
        <w:rPr>
          <w:rFonts w:hint="default" w:ascii="Times New Roman" w:hAnsi="Times New Roman" w:cs="Times New Roman"/>
          <w:color w:val="000000" w:themeColor="text1"/>
          <w:kern w:val="0"/>
          <w:highlight w:val="none"/>
          <w14:textFill>
            <w14:solidFill>
              <w14:schemeClr w14:val="tx1"/>
            </w14:solidFill>
          </w14:textFill>
        </w:rPr>
        <w:t>壤污染状况评价技术</w:t>
      </w:r>
      <w:r>
        <w:rPr>
          <w:rFonts w:hint="default" w:ascii="Times New Roman" w:hAnsi="Times New Roman" w:cs="Times New Roman"/>
          <w:color w:val="000000" w:themeColor="text1"/>
          <w:highlight w:val="none"/>
          <w14:textFill>
            <w14:solidFill>
              <w14:schemeClr w14:val="tx1"/>
            </w14:solidFill>
          </w14:textFill>
        </w:rPr>
        <w:t>规定》（环发[2008]39号）</w:t>
      </w:r>
      <w:r>
        <w:rPr>
          <w:rFonts w:hint="default" w:ascii="Times New Roman" w:hAnsi="Times New Roman" w:cs="Times New Roman"/>
          <w:color w:val="000000" w:themeColor="text1"/>
          <w:highlight w:val="none"/>
          <w:lang w:eastAsia="zh-CN"/>
          <w14:textFill>
            <w14:solidFill>
              <w14:schemeClr w14:val="tx1"/>
            </w14:solidFill>
          </w14:textFill>
        </w:rPr>
        <w:t>；</w:t>
      </w:r>
    </w:p>
    <w:p w14:paraId="16D15915">
      <w:pPr>
        <w:pStyle w:val="2"/>
        <w:keepNext w:val="0"/>
        <w:keepLines w:val="0"/>
        <w:pageBreakBefore w:val="0"/>
        <w:widowControl w:val="0"/>
        <w:kinsoku/>
        <w:wordWrap/>
        <w:overflowPunct/>
        <w:topLinePunct w:val="0"/>
        <w:autoSpaceDE/>
        <w:autoSpaceDN/>
        <w:bidi w:val="0"/>
        <w:adjustRightInd/>
        <w:snapToGrid/>
        <w:spacing w:after="0"/>
        <w:ind w:firstLine="357" w:firstLineChars="0"/>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18</w:t>
      </w:r>
      <w:r>
        <w:rPr>
          <w:rFonts w:hint="default" w:ascii="Times New Roman" w:hAnsi="Times New Roman" w:cs="Times New Roman"/>
          <w:highlight w:val="none"/>
          <w:lang w:eastAsia="zh-CN"/>
        </w:rPr>
        <w:t>）</w:t>
      </w:r>
      <w:r>
        <w:rPr>
          <w:rFonts w:hint="default" w:ascii="Times New Roman" w:hAnsi="Times New Roman" w:cs="Times New Roman"/>
          <w:highlight w:val="none"/>
        </w:rPr>
        <w:t>《上海市建设用地土壤污染状况调查、风险评估、风险管控与修复方案编制、风险管控与修复效果评估工作的补充规定（试行）》</w:t>
      </w:r>
      <w:r>
        <w:rPr>
          <w:rFonts w:hint="default" w:ascii="Times New Roman" w:hAnsi="Times New Roman" w:cs="Times New Roman"/>
          <w:highlight w:val="none"/>
          <w:lang w:eastAsia="zh-CN"/>
        </w:rPr>
        <w:t>（沪环土（</w:t>
      </w:r>
      <w:r>
        <w:rPr>
          <w:rFonts w:hint="default" w:ascii="Times New Roman" w:hAnsi="Times New Roman" w:cs="Times New Roman"/>
          <w:highlight w:val="none"/>
          <w:lang w:val="en-US" w:eastAsia="zh-CN"/>
        </w:rPr>
        <w:t>2020</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62号</w:t>
      </w:r>
      <w:r>
        <w:rPr>
          <w:rFonts w:hint="default" w:ascii="Times New Roman" w:hAnsi="Times New Roman" w:cs="Times New Roman"/>
          <w:highlight w:val="none"/>
          <w:lang w:eastAsia="zh-CN"/>
        </w:rPr>
        <w:t>）。</w:t>
      </w:r>
    </w:p>
    <w:p w14:paraId="60E898D0">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参考资料</w:t>
      </w:r>
    </w:p>
    <w:p w14:paraId="150605D8">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《鄂州市城乡总体规划</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2011-2020年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w:t>
      </w:r>
    </w:p>
    <w:p w14:paraId="76E64FA0">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《鄂州市三江港新区总体规划（2013-2030）》（上海同济城市规划设计研究院，2014年10月）；</w:t>
      </w:r>
    </w:p>
    <w:p w14:paraId="6B06B741">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鄂州力兴建材有限公司岩土工程勘察报告</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武汉地质工程勘察院，</w:t>
      </w:r>
      <w:r>
        <w:rPr>
          <w:rFonts w:hint="default" w:ascii="Times New Roman" w:hAnsi="Times New Roman" w:cs="Times New Roman"/>
          <w:color w:val="auto"/>
          <w:sz w:val="24"/>
          <w:highlight w:val="none"/>
          <w:lang w:val="en-US" w:eastAsia="zh-CN"/>
        </w:rPr>
        <w:t>2010年8月1日</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p>
    <w:p w14:paraId="16D78588">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highlight w:val="none"/>
          <w:lang w:eastAsia="zh-CN"/>
        </w:rPr>
        <w:t>《湖北鸿昇矿业有限公司</w:t>
      </w:r>
      <w:r>
        <w:rPr>
          <w:rFonts w:hint="default" w:ascii="Times New Roman" w:hAnsi="Times New Roman" w:cs="Times New Roman"/>
          <w:color w:val="auto"/>
          <w:sz w:val="24"/>
          <w:highlight w:val="none"/>
          <w:lang w:val="en-US" w:eastAsia="zh-CN"/>
        </w:rPr>
        <w:t>150万t/d选矿厂岩土工程勘察报告</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黄石市佳境建筑设计有限公司，</w:t>
      </w:r>
      <w:r>
        <w:rPr>
          <w:rFonts w:hint="default" w:ascii="Times New Roman" w:hAnsi="Times New Roman" w:cs="Times New Roman"/>
          <w:color w:val="auto"/>
          <w:sz w:val="24"/>
          <w:highlight w:val="none"/>
          <w:lang w:val="en-US" w:eastAsia="zh-CN"/>
        </w:rPr>
        <w:t>2012年4月</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p>
    <w:p w14:paraId="2DD9F2C2">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eastAsiaTheme="minorEastAsia"/>
          <w:b w:val="0"/>
          <w:bCs/>
          <w:color w:val="auto"/>
          <w:sz w:val="24"/>
          <w:szCs w:val="24"/>
          <w:highlight w:val="none"/>
          <w:vertAlign w:val="baseline"/>
          <w:lang w:val="en-US" w:eastAsia="zh-CN"/>
        </w:rPr>
        <w:t>《中国土壤元素背景值》（国家环境保护局 主持, 中国环境监测总站 主编. 中国土壤元素背景值[J]. 1990.）</w:t>
      </w:r>
      <w:r>
        <w:rPr>
          <w:rFonts w:hint="eastAsia" w:cs="Times New Roman" w:eastAsiaTheme="minorEastAsia"/>
          <w:b w:val="0"/>
          <w:bCs/>
          <w:color w:val="auto"/>
          <w:sz w:val="24"/>
          <w:szCs w:val="24"/>
          <w:highlight w:val="none"/>
          <w:vertAlign w:val="baseline"/>
          <w:lang w:val="en-US" w:eastAsia="zh-CN"/>
        </w:rPr>
        <w:t>；</w:t>
      </w:r>
    </w:p>
    <w:p w14:paraId="4525A749">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eastAsia="宋体" w:cs="Times New Roman"/>
          <w:sz w:val="24"/>
          <w:szCs w:val="24"/>
        </w:rPr>
        <w:t>湖北省地下水污染防治规划实施方案（2011-2020年）》</w:t>
      </w:r>
      <w:r>
        <w:rPr>
          <w:rFonts w:hint="eastAsia" w:cs="Times New Roman"/>
          <w:sz w:val="24"/>
          <w:szCs w:val="24"/>
          <w:lang w:eastAsia="zh-CN"/>
        </w:rPr>
        <w:t>；</w:t>
      </w:r>
    </w:p>
    <w:p w14:paraId="3D3518DD">
      <w:pPr>
        <w:numPr>
          <w:ilvl w:val="0"/>
          <w:numId w:val="7"/>
        </w:numPr>
        <w:spacing w:line="360" w:lineRule="auto"/>
        <w:ind w:firstLine="480" w:firstLineChars="200"/>
        <w:rPr>
          <w:rFonts w:hint="default" w:ascii="Times New Roman" w:hAnsi="Times New Roman" w:cs="Times New Roman"/>
          <w:color w:val="auto"/>
          <w:sz w:val="24"/>
          <w:szCs w:val="24"/>
          <w:highlight w:val="none"/>
          <w:lang w:eastAsia="zh-CN"/>
        </w:rPr>
      </w:pPr>
      <w:r>
        <w:rPr>
          <w:rFonts w:hint="eastAsia" w:cs="Times New Roman"/>
          <w:sz w:val="24"/>
          <w:szCs w:val="24"/>
          <w:lang w:val="en-US" w:eastAsia="zh-CN"/>
        </w:rPr>
        <w:t>其他资料。</w:t>
      </w:r>
    </w:p>
    <w:p w14:paraId="6679EA66">
      <w:pPr>
        <w:pStyle w:val="4"/>
        <w:tabs>
          <w:tab w:val="left" w:leader="dot" w:pos="0"/>
          <w:tab w:val="clear" w:pos="567"/>
        </w:tabs>
        <w:rPr>
          <w:rFonts w:hint="default" w:ascii="Times New Roman" w:hAnsi="Times New Roman" w:cs="Times New Roman"/>
          <w:color w:val="auto"/>
          <w:highlight w:val="none"/>
        </w:rPr>
      </w:pPr>
      <w:bookmarkStart w:id="13" w:name="_Toc6856"/>
      <w:bookmarkStart w:id="14" w:name="_Toc26649"/>
      <w:r>
        <w:rPr>
          <w:rFonts w:hint="default" w:ascii="Times New Roman" w:hAnsi="Times New Roman" w:cs="Times New Roman"/>
          <w:color w:val="auto"/>
          <w:highlight w:val="none"/>
          <w:lang w:eastAsia="zh-CN"/>
        </w:rPr>
        <w:t>调查方法</w:t>
      </w:r>
      <w:bookmarkEnd w:id="13"/>
      <w:bookmarkEnd w:id="14"/>
    </w:p>
    <w:p w14:paraId="7A0303DF">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sz w:val="24"/>
          <w:highlight w:val="none"/>
          <w:lang w:eastAsia="zh-CN"/>
        </w:rPr>
        <w:t>参考</w:t>
      </w:r>
      <w:r>
        <w:rPr>
          <w:rFonts w:hint="default" w:ascii="Times New Roman" w:hAnsi="Times New Roman" w:cs="Times New Roman"/>
          <w:color w:val="auto"/>
          <w:sz w:val="24"/>
          <w:highlight w:val="none"/>
        </w:rPr>
        <w:t>《建设用地土壤污染状况调查技术导则》（HJ25.1-2019）、</w:t>
      </w:r>
      <w:r>
        <w:rPr>
          <w:rFonts w:hint="default" w:ascii="Times New Roman" w:hAnsi="Times New Roman" w:cs="Times New Roman"/>
          <w:color w:val="auto"/>
          <w:kern w:val="0"/>
          <w:sz w:val="24"/>
          <w:highlight w:val="none"/>
          <w:lang w:eastAsia="zh-CN"/>
        </w:rPr>
        <w:t>《重点区域土壤环境质量监测风险点位布设方法》（环办监测函（</w:t>
      </w:r>
      <w:r>
        <w:rPr>
          <w:rFonts w:hint="default" w:ascii="Times New Roman" w:hAnsi="Times New Roman" w:cs="Times New Roman"/>
          <w:color w:val="auto"/>
          <w:kern w:val="0"/>
          <w:sz w:val="24"/>
          <w:highlight w:val="none"/>
          <w:lang w:val="en-US" w:eastAsia="zh-CN"/>
        </w:rPr>
        <w:t>2016</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1号</w:t>
      </w:r>
      <w:r>
        <w:rPr>
          <w:rFonts w:hint="default" w:ascii="Times New Roman" w:hAnsi="Times New Roman"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eastAsia="zh-CN"/>
        </w:rPr>
        <w:t>《四川省土壤污染重点监管单位和工业园区周边土壤环境监督性监测工作方案》（川环办函〔2018〕547号），本次调查</w:t>
      </w:r>
      <w:r>
        <w:rPr>
          <w:rFonts w:hint="default" w:ascii="Times New Roman" w:hAnsi="Times New Roman" w:cs="Times New Roman"/>
          <w:color w:val="auto"/>
          <w:kern w:val="0"/>
          <w:sz w:val="24"/>
          <w:highlight w:val="none"/>
          <w:lang w:eastAsia="zh-CN"/>
        </w:rPr>
        <w:t>主要分为两个阶段。</w:t>
      </w:r>
    </w:p>
    <w:p w14:paraId="508F6F2A">
      <w:pPr>
        <w:spacing w:line="360" w:lineRule="auto"/>
        <w:ind w:firstLine="480" w:firstLineChars="200"/>
        <w:rPr>
          <w:rFonts w:hint="default" w:ascii="Times New Roman" w:hAnsi="Times New Roman" w:cs="Times New Roman" w:eastAsiaTheme="minorEastAsia"/>
          <w:color w:val="auto"/>
          <w:sz w:val="24"/>
          <w:highlight w:val="none"/>
          <w:shd w:val="clear" w:color="auto" w:fill="auto"/>
          <w:lang w:eastAsia="zh-CN"/>
        </w:rPr>
      </w:pPr>
      <w:r>
        <w:rPr>
          <w:rFonts w:hint="default" w:ascii="Times New Roman" w:hAnsi="Times New Roman" w:cs="Times New Roman"/>
          <w:color w:val="auto"/>
          <w:sz w:val="24"/>
          <w:highlight w:val="none"/>
          <w:lang w:eastAsia="zh-CN"/>
        </w:rPr>
        <w:t>第一阶段，前期准备阶段，是以资料收集、现场踏勘为主的前期调研阶段。主要针对</w:t>
      </w:r>
      <w:r>
        <w:rPr>
          <w:rFonts w:hint="default" w:ascii="Times New Roman" w:hAnsi="Times New Roman" w:cs="Times New Roman" w:eastAsiaTheme="minorEastAsia"/>
          <w:color w:val="auto"/>
          <w:sz w:val="24"/>
          <w:szCs w:val="24"/>
          <w:highlight w:val="none"/>
          <w:shd w:val="clear" w:color="auto" w:fill="auto"/>
          <w:lang w:val="en-US" w:eastAsia="zh-CN"/>
        </w:rPr>
        <w:t>三江港经济区</w:t>
      </w:r>
      <w:r>
        <w:rPr>
          <w:rFonts w:hint="default" w:ascii="Times New Roman" w:hAnsi="Times New Roman" w:cs="Times New Roman" w:eastAsiaTheme="minorEastAsia"/>
          <w:color w:val="auto"/>
          <w:sz w:val="24"/>
          <w:highlight w:val="none"/>
          <w:shd w:val="clear" w:color="auto" w:fill="auto"/>
          <w:lang w:eastAsia="zh-CN"/>
        </w:rPr>
        <w:t>的规划定位、产业结构及布局、开发情况进行调查分析，初步判断工业园和园区内</w:t>
      </w:r>
      <w:r>
        <w:rPr>
          <w:rFonts w:hint="default" w:ascii="Times New Roman" w:hAnsi="Times New Roman" w:cs="Times New Roman"/>
          <w:color w:val="auto"/>
          <w:kern w:val="0"/>
          <w:sz w:val="24"/>
          <w:highlight w:val="none"/>
          <w:lang w:eastAsia="zh-CN"/>
        </w:rPr>
        <w:t>已建成企业聚集区</w:t>
      </w:r>
      <w:r>
        <w:rPr>
          <w:rFonts w:hint="eastAsia" w:cs="Times New Roman"/>
          <w:color w:val="auto"/>
          <w:kern w:val="0"/>
          <w:sz w:val="24"/>
          <w:highlight w:val="none"/>
          <w:lang w:val="en-US" w:eastAsia="zh-CN"/>
        </w:rPr>
        <w:t>是否存在</w:t>
      </w:r>
      <w:r>
        <w:rPr>
          <w:rFonts w:hint="default" w:ascii="Times New Roman" w:hAnsi="Times New Roman" w:cs="Times New Roman" w:eastAsiaTheme="minorEastAsia"/>
          <w:color w:val="auto"/>
          <w:sz w:val="24"/>
          <w:highlight w:val="none"/>
          <w:shd w:val="clear" w:color="auto" w:fill="auto"/>
          <w:lang w:eastAsia="zh-CN"/>
        </w:rPr>
        <w:t>对周边土壤产生污染的</w:t>
      </w:r>
      <w:r>
        <w:rPr>
          <w:rFonts w:hint="eastAsia" w:cs="Times New Roman" w:eastAsiaTheme="minorEastAsia"/>
          <w:color w:val="auto"/>
          <w:sz w:val="24"/>
          <w:highlight w:val="none"/>
          <w:shd w:val="clear" w:color="auto" w:fill="auto"/>
          <w:lang w:val="en-US" w:eastAsia="zh-CN"/>
        </w:rPr>
        <w:t>污染源，若有</w:t>
      </w:r>
      <w:r>
        <w:rPr>
          <w:rFonts w:ascii="宋体" w:hAnsi="宋体" w:eastAsia="宋体" w:cs="宋体"/>
          <w:sz w:val="24"/>
          <w:szCs w:val="24"/>
        </w:rPr>
        <w:t>说明可能的污染类型、污染状况和来源</w:t>
      </w:r>
      <w:r>
        <w:rPr>
          <w:rFonts w:hint="default" w:ascii="Times New Roman" w:hAnsi="Times New Roman" w:cs="Times New Roman" w:eastAsiaTheme="minorEastAsia"/>
          <w:color w:val="auto"/>
          <w:sz w:val="24"/>
          <w:highlight w:val="none"/>
          <w:shd w:val="clear" w:color="auto" w:fill="auto"/>
          <w:lang w:eastAsia="zh-CN"/>
        </w:rPr>
        <w:t>。</w:t>
      </w:r>
    </w:p>
    <w:p w14:paraId="6E192D6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eastAsiaTheme="minorEastAsia"/>
          <w:color w:val="auto"/>
          <w:sz w:val="24"/>
          <w:highlight w:val="none"/>
          <w:shd w:val="clear" w:color="auto" w:fill="auto"/>
          <w:lang w:eastAsia="zh-CN"/>
        </w:rPr>
        <w:t>第二阶段，</w:t>
      </w:r>
      <w:r>
        <w:rPr>
          <w:rFonts w:hint="default" w:ascii="Times New Roman" w:hAnsi="Times New Roman" w:cs="Times New Roman" w:eastAsiaTheme="minorEastAsia"/>
          <w:color w:val="auto"/>
          <w:sz w:val="24"/>
          <w:highlight w:val="none"/>
          <w:lang w:eastAsia="zh-CN"/>
        </w:rPr>
        <w:t>工业园周边土壤</w:t>
      </w:r>
      <w:r>
        <w:rPr>
          <w:rFonts w:hint="default" w:ascii="Times New Roman" w:hAnsi="Times New Roman" w:cs="Times New Roman"/>
          <w:color w:val="auto"/>
          <w:sz w:val="24"/>
          <w:highlight w:val="none"/>
        </w:rPr>
        <w:t>环境初步调查</w:t>
      </w:r>
      <w:r>
        <w:rPr>
          <w:rFonts w:hint="default" w:ascii="Times New Roman" w:hAnsi="Times New Roman" w:cs="Times New Roman"/>
          <w:color w:val="auto"/>
          <w:sz w:val="24"/>
          <w:highlight w:val="none"/>
          <w:lang w:eastAsia="zh-CN"/>
        </w:rPr>
        <w:t>阶段</w:t>
      </w:r>
      <w:r>
        <w:rPr>
          <w:rFonts w:hint="default" w:ascii="Times New Roman" w:hAnsi="Times New Roman" w:cs="Times New Roman"/>
          <w:color w:val="auto"/>
          <w:sz w:val="24"/>
          <w:highlight w:val="none"/>
        </w:rPr>
        <w:t>，是以采样与分析为主的污染证实阶段</w:t>
      </w:r>
      <w:r>
        <w:rPr>
          <w:rFonts w:hint="default" w:ascii="Times New Roman" w:hAnsi="Times New Roman" w:cs="Times New Roman" w:eastAsiaTheme="minorEastAsia"/>
          <w:color w:val="auto"/>
          <w:sz w:val="24"/>
          <w:highlight w:val="none"/>
          <w:shd w:val="clear" w:color="auto" w:fill="auto"/>
          <w:lang w:eastAsia="zh-CN"/>
        </w:rPr>
        <w:t>。</w:t>
      </w:r>
      <w:r>
        <w:rPr>
          <w:rFonts w:hint="default" w:ascii="Times New Roman" w:hAnsi="Times New Roman" w:cs="Times New Roman"/>
          <w:color w:val="auto"/>
          <w:sz w:val="24"/>
          <w:highlight w:val="none"/>
        </w:rPr>
        <w:t>将在第一阶段查表明</w:t>
      </w:r>
      <w:r>
        <w:rPr>
          <w:rFonts w:hint="default" w:ascii="Times New Roman" w:hAnsi="Times New Roman" w:cs="Times New Roman"/>
          <w:color w:val="auto"/>
          <w:sz w:val="24"/>
          <w:highlight w:val="none"/>
          <w:lang w:eastAsia="zh-CN"/>
        </w:rPr>
        <w:t>工业园和园内</w:t>
      </w:r>
      <w:r>
        <w:rPr>
          <w:rFonts w:hint="eastAsia" w:cs="Times New Roman"/>
          <w:color w:val="auto"/>
          <w:sz w:val="24"/>
          <w:highlight w:val="none"/>
          <w:lang w:eastAsia="zh-CN"/>
        </w:rPr>
        <w:t>主要已建成企业聚集区</w:t>
      </w:r>
      <w:r>
        <w:rPr>
          <w:rFonts w:hint="default" w:ascii="Times New Roman" w:hAnsi="Times New Roman" w:cs="Times New Roman"/>
          <w:color w:val="auto"/>
          <w:sz w:val="24"/>
          <w:highlight w:val="none"/>
          <w:lang w:eastAsia="zh-CN"/>
        </w:rPr>
        <w:t>的</w:t>
      </w:r>
      <w:r>
        <w:rPr>
          <w:rFonts w:hint="default" w:ascii="Times New Roman" w:hAnsi="Times New Roman" w:cs="Times New Roman"/>
          <w:color w:val="auto"/>
          <w:sz w:val="24"/>
          <w:highlight w:val="none"/>
        </w:rPr>
        <w:t>周围区域存在可能的污染源的基础上</w:t>
      </w:r>
      <w:r>
        <w:rPr>
          <w:rFonts w:hint="default" w:ascii="Times New Roman" w:hAnsi="Times New Roman" w:cs="Times New Roman"/>
          <w:color w:val="auto"/>
          <w:sz w:val="24"/>
          <w:highlight w:val="none"/>
          <w:lang w:eastAsia="zh-CN"/>
        </w:rPr>
        <w:t>，进行现场采样和实验室分析，</w:t>
      </w:r>
      <w:r>
        <w:rPr>
          <w:rFonts w:hint="default" w:ascii="Times New Roman" w:hAnsi="Times New Roman" w:cs="Times New Roman"/>
          <w:color w:val="auto"/>
          <w:sz w:val="24"/>
          <w:highlight w:val="none"/>
        </w:rPr>
        <w:t>以确定污染种类</w:t>
      </w:r>
      <w:r>
        <w:rPr>
          <w:rFonts w:hint="default" w:ascii="Times New Roman" w:hAnsi="Times New Roman" w:cs="Times New Roman"/>
          <w:color w:val="auto"/>
          <w:sz w:val="24"/>
          <w:highlight w:val="none"/>
          <w:lang w:eastAsia="zh-CN"/>
        </w:rPr>
        <w:t>和程度，并对土壤污染状况进行分析评估，提出下一步污染防治工作建议。</w:t>
      </w:r>
    </w:p>
    <w:p w14:paraId="4A6231CE">
      <w:pPr>
        <w:spacing w:line="360" w:lineRule="auto"/>
        <w:ind w:firstLine="480" w:firstLineChars="200"/>
        <w:rPr>
          <w:rFonts w:hint="default" w:ascii="Times New Roman" w:hAnsi="Times New Roman" w:cs="Times New Roman"/>
          <w:color w:val="auto"/>
          <w:sz w:val="24"/>
          <w:highlight w:val="none"/>
        </w:rPr>
      </w:pPr>
    </w:p>
    <w:p w14:paraId="26A867CA">
      <w:pPr>
        <w:spacing w:line="36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4556760" cy="6229350"/>
            <wp:effectExtent l="19050" t="19050" r="34290" b="19050"/>
            <wp:docPr id="10" name="图片 10" descr="未命名文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未命名文件(1)"/>
                    <pic:cNvPicPr>
                      <a:picLocks noChangeAspect="1"/>
                    </pic:cNvPicPr>
                  </pic:nvPicPr>
                  <pic:blipFill>
                    <a:blip r:embed="rId25"/>
                    <a:stretch>
                      <a:fillRect/>
                    </a:stretch>
                  </pic:blipFill>
                  <pic:spPr>
                    <a:xfrm>
                      <a:off x="0" y="0"/>
                      <a:ext cx="4556760" cy="6229350"/>
                    </a:xfrm>
                    <a:prstGeom prst="rect">
                      <a:avLst/>
                    </a:prstGeom>
                    <a:ln w="19050" cmpd="sng">
                      <a:solidFill>
                        <a:schemeClr val="tx1"/>
                      </a:solidFill>
                      <a:prstDash val="solid"/>
                    </a:ln>
                  </pic:spPr>
                </pic:pic>
              </a:graphicData>
            </a:graphic>
          </wp:inline>
        </w:drawing>
      </w:r>
    </w:p>
    <w:p w14:paraId="0C9F1582">
      <w:pPr>
        <w:spacing w:line="360" w:lineRule="auto"/>
        <w:jc w:val="center"/>
        <w:rPr>
          <w:rFonts w:hint="default" w:ascii="Times New Roman" w:hAnsi="Times New Roman" w:eastAsia="黑体" w:cs="Times New Roman"/>
          <w:b/>
          <w:color w:val="auto"/>
          <w:sz w:val="24"/>
          <w:highlight w:val="none"/>
          <w:lang w:eastAsia="zh-CN"/>
        </w:rPr>
        <w:sectPr>
          <w:headerReference r:id="rId9" w:type="default"/>
          <w:footerReference r:id="rId10"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default" w:ascii="Times New Roman" w:hAnsi="Times New Roman" w:eastAsia="黑体" w:cs="Times New Roman"/>
          <w:b/>
          <w:color w:val="auto"/>
          <w:sz w:val="24"/>
          <w:highlight w:val="none"/>
        </w:rPr>
        <w:t>图1-</w:t>
      </w:r>
      <w:r>
        <w:rPr>
          <w:rFonts w:hint="default" w:ascii="Times New Roman" w:hAnsi="Times New Roman" w:eastAsia="黑体" w:cs="Times New Roman"/>
          <w:b/>
          <w:color w:val="auto"/>
          <w:sz w:val="24"/>
          <w:highlight w:val="none"/>
          <w:lang w:val="en-US" w:eastAsia="zh-CN"/>
        </w:rPr>
        <w:t>5</w:t>
      </w:r>
      <w:r>
        <w:rPr>
          <w:rFonts w:hint="default" w:ascii="Times New Roman" w:hAnsi="Times New Roman" w:eastAsia="黑体" w:cs="Times New Roman"/>
          <w:b/>
          <w:color w:val="auto"/>
          <w:sz w:val="24"/>
          <w:highlight w:val="none"/>
        </w:rPr>
        <w:t xml:space="preserve">-1 </w:t>
      </w:r>
      <w:r>
        <w:rPr>
          <w:rFonts w:hint="default" w:ascii="Times New Roman" w:hAnsi="Times New Roman" w:eastAsia="黑体" w:cs="Times New Roman"/>
          <w:b/>
          <w:color w:val="auto"/>
          <w:sz w:val="24"/>
          <w:highlight w:val="none"/>
          <w:lang w:eastAsia="zh-CN"/>
        </w:rPr>
        <w:t>调查方法流程示意图</w:t>
      </w:r>
    </w:p>
    <w:p w14:paraId="435F75F0">
      <w:pPr>
        <w:pStyle w:val="3"/>
        <w:numPr>
          <w:ilvl w:val="0"/>
          <w:numId w:val="1"/>
        </w:numPr>
        <w:rPr>
          <w:rFonts w:hint="default" w:ascii="Times New Roman" w:hAnsi="Times New Roman" w:cs="Times New Roman"/>
          <w:color w:val="auto"/>
          <w:highlight w:val="none"/>
        </w:rPr>
      </w:pPr>
      <w:bookmarkStart w:id="15" w:name="_Toc31460"/>
      <w:bookmarkStart w:id="16" w:name="_Toc29773"/>
      <w:r>
        <w:rPr>
          <w:rFonts w:hint="default" w:ascii="Times New Roman" w:hAnsi="Times New Roman" w:cs="Times New Roman"/>
          <w:color w:val="auto"/>
          <w:highlight w:val="none"/>
          <w:lang w:eastAsia="zh-CN"/>
        </w:rPr>
        <w:t>调查区域概况</w:t>
      </w:r>
      <w:bookmarkEnd w:id="15"/>
      <w:bookmarkEnd w:id="16"/>
    </w:p>
    <w:p w14:paraId="75D775F9">
      <w:pPr>
        <w:pStyle w:val="4"/>
        <w:rPr>
          <w:rFonts w:hint="default" w:ascii="Times New Roman" w:hAnsi="Times New Roman" w:cs="Times New Roman"/>
          <w:color w:val="auto"/>
          <w:highlight w:val="none"/>
        </w:rPr>
      </w:pPr>
      <w:bookmarkStart w:id="17" w:name="_Toc10355"/>
      <w:bookmarkStart w:id="18" w:name="_Toc4878"/>
      <w:bookmarkStart w:id="19" w:name="_Toc15371854"/>
      <w:r>
        <w:rPr>
          <w:rFonts w:hint="default" w:ascii="Times New Roman" w:hAnsi="Times New Roman" w:cs="Times New Roman"/>
          <w:color w:val="auto"/>
          <w:highlight w:val="none"/>
          <w:lang w:eastAsia="zh-CN"/>
        </w:rPr>
        <w:t>区域环境概况</w:t>
      </w:r>
      <w:bookmarkEnd w:id="17"/>
      <w:bookmarkEnd w:id="18"/>
    </w:p>
    <w:p w14:paraId="7E7B7F6B">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地理位置</w:t>
      </w:r>
    </w:p>
    <w:p w14:paraId="0A1FF715">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000000" w:themeColor="text1"/>
          <w:kern w:val="0"/>
          <w:highlight w:val="none"/>
          <w14:textFill>
            <w14:solidFill>
              <w14:schemeClr w14:val="tx1"/>
            </w14:solidFill>
          </w14:textFill>
        </w:rPr>
        <w:t>鄂州市位于东经114</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-115</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05</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，北纬30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01</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36</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auto"/>
          <w:kern w:val="0"/>
          <w:sz w:val="24"/>
          <w:highlight w:val="none"/>
          <w:lang w:eastAsia="zh-CN"/>
        </w:rPr>
        <w:t>，湖北省东南部，长江中游南岸。西与武汉市的江夏区、洪山区接壤，东南与黄石市毗连，北临长江，自西向东分别与武汉市的新洲区和黄冈市的团风县、黄州区、浠水县等地隔江相望。整个地域在地图上近似“人”字形。全市地势东南高、西北低、中间较平，境内最高点四峰山海拔485.8m，最低点梁子湖海拔11.7m。</w:t>
      </w:r>
    </w:p>
    <w:p w14:paraId="610B3C4B">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地质地貌</w:t>
      </w:r>
    </w:p>
    <w:p w14:paraId="5A299BF7">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鄂州市属扬子准地台下扬子台坪中的三级构造单元－－大冶台褶带，跨太子庙台褶束和梁子湖凹陷两个四级构造单元。</w:t>
      </w:r>
    </w:p>
    <w:p w14:paraId="7A8918B9">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市域范围内出露的地层简单，分布的基岩地层，从下古生界志留系至新生界除缺失志留系上、下统、泥盆系中下统、石炭系下统、三叠系下统嘉陵江组和二叠系上统外，其余地层均有分布。侏罗系～白垩系下统主要出露在鄂州市的中部和梁子湖盆区，三叠系中至上统零星出露在南东部，志留系、泥盆系、石炭系和二叠系零星出露在市区的西山北侧临长江南侧一带。</w:t>
      </w:r>
    </w:p>
    <w:p w14:paraId="1ACB5F4C">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石炭系上统～二叠系下统、三叠系下统，为本区三套碳酸盐岩。二叠系上统为海相含煤建造；志留系及泥盆系上统为滨海相碎屑岩建造；三叠系中、上统～侏罗系中统为海湾～湖相碎屑岩建造；侏罗系上统和白垩系下统为陆相火山碎屑岩建造；上白垩～第三系为陆相砂页岩沉积。新生界以松散堆积物为主。第四系松散层广泛分布，其中湖区与沿江地带最发育。</w:t>
      </w:r>
    </w:p>
    <w:p w14:paraId="134177E0">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最高地势四峰山，海拔485.8m；最低梁子镇之梁子门，海拔11.7m。分布有四种类型的地貌单元：北侧白浒镇～临江、东侧燕矶～杨叶为长江冲积阶地；东部和南部之东侧，由白雉山、峰尖子山和早山组成了丘陵地貌之基本骨架；北部和南部之西侧，为岗状平原，岗丘标高多在90m左右；中部梁子湖、鸭儿湖、三山湖、洋澜湖横贯鄂州腹地，形成了滞水冲湖积平原。</w:t>
      </w:r>
    </w:p>
    <w:p w14:paraId="5AE2EC9C">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气象气候</w:t>
      </w:r>
    </w:p>
    <w:p w14:paraId="71812B03">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鄂州市属亚热带季风气候区，季风气候明显，气候受我国东亚季风环流支配。冬冷夏热，四季分明，气温偏高变幅大；雨量充沛，梅雨明显，降水分布均衡，春秋季多阴雨，夏季降水明显偏少，易暴雨成灾；光照充足，多集中于7月；年均无霜期长，为250~300天。</w:t>
      </w:r>
    </w:p>
    <w:p w14:paraId="705B29FC">
      <w:pPr>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highlight w:val="none"/>
        </w:rPr>
        <w:t>鄂州市秋、冬两季主导风向是偏北风，春、夏两季主导风向是偏东风。年均降雨量1282.8毫</w:t>
      </w:r>
      <w:r>
        <w:rPr>
          <w:rFonts w:hint="default" w:ascii="Times New Roman" w:hAnsi="Times New Roman" w:cs="Times New Roman"/>
          <w:color w:val="auto"/>
          <w:highlight w:val="none"/>
          <w:lang w:eastAsia="zh-CN"/>
        </w:rPr>
        <w:t>m</w:t>
      </w:r>
      <w:r>
        <w:rPr>
          <w:rFonts w:hint="default" w:ascii="Times New Roman" w:hAnsi="Times New Roman" w:cs="Times New Roman"/>
          <w:color w:val="auto"/>
          <w:highlight w:val="none"/>
        </w:rPr>
        <w:t>，年均日照2003.8小时，年均无霜期266天，平均气温17℃，最高气温40.7℃，最低气温-12.4℃。</w:t>
      </w:r>
    </w:p>
    <w:p w14:paraId="67B921BA">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水文水资源</w:t>
      </w:r>
    </w:p>
    <w:p w14:paraId="7A94103F">
      <w:pPr>
        <w:spacing w:line="360" w:lineRule="auto"/>
        <w:ind w:firstLine="480" w:firstLineChars="200"/>
        <w:jc w:val="left"/>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rPr>
        <w:t>鄂州市位于长江中游南岸，境内河流星罗棋布，河道交叉纵横，素有“百湖之市”的美称。城区为河流所环绕，地表水体主要有北面的长江、西面的新港、长港，城区内的洋澜湖及市内零星分布的湖、水塘，地表水资源相当丰富。</w:t>
      </w:r>
    </w:p>
    <w:p w14:paraId="2FF7B979">
      <w:pPr>
        <w:spacing w:line="360" w:lineRule="auto"/>
        <w:ind w:firstLine="480" w:firstLineChars="200"/>
        <w:jc w:val="left"/>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rPr>
        <w:t>长江自西依市境而东流，在城区过境长约9km，河道较直，水深量大，江面宽约2000m，年平均流量23331m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 17.37m</w:t>
      </w:r>
      <w:r>
        <w:rPr>
          <w:rFonts w:hint="eastAsia" w:cs="Times New Roman" w:eastAsiaTheme="minorEastAsia"/>
          <w:color w:val="auto"/>
          <w:sz w:val="24"/>
          <w:szCs w:val="24"/>
          <w:highlight w:val="none"/>
          <w:shd w:val="clear" w:color="auto" w:fill="auto"/>
          <w:lang w:eastAsia="zh-CN"/>
        </w:rPr>
        <w:t>；</w:t>
      </w:r>
      <w:r>
        <w:rPr>
          <w:rFonts w:hint="default" w:ascii="Times New Roman" w:hAnsi="Times New Roman" w:cs="Times New Roman" w:eastAsiaTheme="minorEastAsia"/>
          <w:color w:val="auto"/>
          <w:sz w:val="24"/>
          <w:szCs w:val="24"/>
          <w:highlight w:val="none"/>
          <w:shd w:val="clear" w:color="auto" w:fill="auto"/>
        </w:rPr>
        <w:t>丰水期流量39100m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/s，水位21.58m；枯水期平均流量 12076m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 14.03m。鄂州市境内长江窄宽相间，单一性和弯曲型河段较窄，最小河宽870</w:t>
      </w:r>
      <w:r>
        <w:rPr>
          <w:rFonts w:hint="default" w:ascii="Times New Roman" w:hAnsi="Times New Roman" w:cs="Times New Roman" w:eastAsiaTheme="minorEastAsia"/>
          <w:color w:val="auto"/>
          <w:sz w:val="24"/>
          <w:szCs w:val="24"/>
          <w:highlight w:val="none"/>
          <w:shd w:val="clear" w:color="auto" w:fill="auto"/>
          <w:lang w:eastAsia="zh-CN"/>
        </w:rPr>
        <w:t>m</w:t>
      </w:r>
      <w:r>
        <w:rPr>
          <w:rFonts w:hint="default" w:ascii="Times New Roman" w:hAnsi="Times New Roman" w:cs="Times New Roman" w:eastAsiaTheme="minorEastAsia"/>
          <w:color w:val="auto"/>
          <w:sz w:val="24"/>
          <w:szCs w:val="24"/>
          <w:highlight w:val="none"/>
          <w:shd w:val="clear" w:color="auto" w:fill="auto"/>
        </w:rPr>
        <w:t>，河宽最大达8000</w:t>
      </w:r>
      <w:r>
        <w:rPr>
          <w:rFonts w:hint="default" w:ascii="Times New Roman" w:hAnsi="Times New Roman" w:cs="Times New Roman" w:eastAsiaTheme="minorEastAsia"/>
          <w:color w:val="auto"/>
          <w:sz w:val="24"/>
          <w:szCs w:val="24"/>
          <w:highlight w:val="none"/>
          <w:shd w:val="clear" w:color="auto" w:fill="auto"/>
          <w:lang w:eastAsia="zh-CN"/>
        </w:rPr>
        <w:t>m</w:t>
      </w:r>
      <w:r>
        <w:rPr>
          <w:rFonts w:hint="default" w:ascii="Times New Roman" w:hAnsi="Times New Roman" w:cs="Times New Roman" w:eastAsiaTheme="minorEastAsia"/>
          <w:color w:val="auto"/>
          <w:sz w:val="24"/>
          <w:szCs w:val="24"/>
          <w:highlight w:val="none"/>
          <w:shd w:val="clear" w:color="auto" w:fill="auto"/>
        </w:rPr>
        <w:t>。由于长江水量丰沛，汛期时间长，在多年的平均情况下，每年 5~10月为汛期，2~3月为枯水期，境内长江年平均水位17.20</w:t>
      </w:r>
      <w:r>
        <w:rPr>
          <w:rFonts w:hint="default" w:ascii="Times New Roman" w:hAnsi="Times New Roman" w:cs="Times New Roman" w:eastAsiaTheme="minorEastAsia"/>
          <w:color w:val="auto"/>
          <w:sz w:val="24"/>
          <w:szCs w:val="24"/>
          <w:highlight w:val="none"/>
          <w:shd w:val="clear" w:color="auto" w:fill="auto"/>
          <w:lang w:eastAsia="zh-CN"/>
        </w:rPr>
        <w:t>m</w:t>
      </w:r>
      <w:r>
        <w:rPr>
          <w:rFonts w:hint="default" w:ascii="Times New Roman" w:hAnsi="Times New Roman" w:cs="Times New Roman" w:eastAsiaTheme="minorEastAsia"/>
          <w:color w:val="auto"/>
          <w:sz w:val="24"/>
          <w:szCs w:val="24"/>
          <w:highlight w:val="none"/>
          <w:shd w:val="clear" w:color="auto" w:fill="auto"/>
        </w:rPr>
        <w:t>，年平均流量为23800立方</w:t>
      </w:r>
      <w:r>
        <w:rPr>
          <w:rFonts w:hint="default" w:ascii="Times New Roman" w:hAnsi="Times New Roman" w:cs="Times New Roman" w:eastAsiaTheme="minorEastAsia"/>
          <w:color w:val="auto"/>
          <w:sz w:val="24"/>
          <w:szCs w:val="24"/>
          <w:highlight w:val="none"/>
          <w:shd w:val="clear" w:color="auto" w:fill="auto"/>
          <w:lang w:eastAsia="zh-CN"/>
        </w:rPr>
        <w:t>m</w:t>
      </w:r>
      <w:r>
        <w:rPr>
          <w:rFonts w:hint="default" w:ascii="Times New Roman" w:hAnsi="Times New Roman" w:cs="Times New Roman" w:eastAsiaTheme="minorEastAsia"/>
          <w:color w:val="auto"/>
          <w:sz w:val="24"/>
          <w:szCs w:val="24"/>
          <w:highlight w:val="none"/>
          <w:shd w:val="clear" w:color="auto" w:fill="auto"/>
        </w:rPr>
        <w:t>/秒，年平均含沙量为0.586公斤/立方</w:t>
      </w:r>
      <w:r>
        <w:rPr>
          <w:rFonts w:hint="default" w:ascii="Times New Roman" w:hAnsi="Times New Roman" w:cs="Times New Roman" w:eastAsiaTheme="minorEastAsia"/>
          <w:color w:val="auto"/>
          <w:sz w:val="24"/>
          <w:szCs w:val="24"/>
          <w:highlight w:val="none"/>
          <w:shd w:val="clear" w:color="auto" w:fill="auto"/>
          <w:lang w:eastAsia="zh-CN"/>
        </w:rPr>
        <w:t>m</w:t>
      </w:r>
      <w:r>
        <w:rPr>
          <w:rFonts w:hint="default" w:ascii="Times New Roman" w:hAnsi="Times New Roman" w:cs="Times New Roman" w:eastAsiaTheme="minorEastAsia"/>
          <w:color w:val="auto"/>
          <w:sz w:val="24"/>
          <w:szCs w:val="24"/>
          <w:highlight w:val="none"/>
          <w:shd w:val="clear" w:color="auto" w:fill="auto"/>
        </w:rPr>
        <w:t>，年平均输沙量为43000万吨。</w:t>
      </w:r>
    </w:p>
    <w:p w14:paraId="0B1329F9">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工程地质及水文地质概况</w:t>
      </w:r>
    </w:p>
    <w:p w14:paraId="0AC67CD6">
      <w:pPr>
        <w:autoSpaceDE w:val="0"/>
        <w:autoSpaceDN w:val="0"/>
        <w:adjustRightInd w:val="0"/>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鄂州力兴统领科技有限公司、湖北鸿昇矿业有限公司分别位于本园区的中西部和东侧红线内，</w:t>
      </w:r>
      <w:r>
        <w:rPr>
          <w:rFonts w:hint="default" w:ascii="Times New Roman" w:hAnsi="Times New Roman" w:cs="Times New Roman"/>
          <w:color w:val="auto"/>
          <w:sz w:val="24"/>
          <w:highlight w:val="none"/>
        </w:rPr>
        <w:t>本报告引用《</w:t>
      </w:r>
      <w:r>
        <w:rPr>
          <w:rFonts w:hint="default" w:ascii="Times New Roman" w:hAnsi="Times New Roman" w:cs="Times New Roman"/>
          <w:color w:val="auto"/>
          <w:sz w:val="24"/>
          <w:highlight w:val="none"/>
          <w:lang w:eastAsia="zh-CN"/>
        </w:rPr>
        <w:t>鄂州力兴建材有限公司岩土工程勘察报告</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武汉地质工程勘察院，</w:t>
      </w:r>
      <w:r>
        <w:rPr>
          <w:rFonts w:hint="default" w:ascii="Times New Roman" w:hAnsi="Times New Roman" w:cs="Times New Roman"/>
          <w:color w:val="auto"/>
          <w:sz w:val="24"/>
          <w:highlight w:val="none"/>
          <w:lang w:val="en-US" w:eastAsia="zh-CN"/>
        </w:rPr>
        <w:t>2010年8月1日</w:t>
      </w:r>
      <w:r>
        <w:rPr>
          <w:rFonts w:hint="default" w:ascii="Times New Roman" w:hAnsi="Times New Roman" w:cs="Times New Roman"/>
          <w:color w:val="auto"/>
          <w:sz w:val="24"/>
          <w:highlight w:val="none"/>
        </w:rPr>
        <w:t>）（以下简称</w:t>
      </w:r>
      <w:r>
        <w:rPr>
          <w:rFonts w:hint="default" w:ascii="Times New Roman" w:hAnsi="Times New Roman" w:cs="Times New Roman"/>
          <w:color w:val="auto"/>
          <w:sz w:val="24"/>
          <w:highlight w:val="none"/>
          <w:lang w:eastAsia="zh-CN"/>
        </w:rPr>
        <w:t>“力兴建材</w:t>
      </w:r>
      <w:r>
        <w:rPr>
          <w:rFonts w:hint="default" w:ascii="Times New Roman" w:hAnsi="Times New Roman" w:cs="Times New Roman"/>
          <w:color w:val="auto"/>
          <w:sz w:val="24"/>
          <w:highlight w:val="none"/>
        </w:rPr>
        <w:t>地勘报告</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和《湖北鸿昇矿业有限公司</w:t>
      </w:r>
      <w:r>
        <w:rPr>
          <w:rFonts w:hint="default" w:ascii="Times New Roman" w:hAnsi="Times New Roman" w:cs="Times New Roman"/>
          <w:color w:val="auto"/>
          <w:sz w:val="24"/>
          <w:highlight w:val="none"/>
          <w:lang w:val="en-US" w:eastAsia="zh-CN"/>
        </w:rPr>
        <w:t>150万t/d选矿厂岩土工程勘察报告</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黄石市佳境建筑设计有限公司，</w:t>
      </w:r>
      <w:r>
        <w:rPr>
          <w:rFonts w:hint="default" w:ascii="Times New Roman" w:hAnsi="Times New Roman" w:cs="Times New Roman"/>
          <w:color w:val="auto"/>
          <w:sz w:val="24"/>
          <w:highlight w:val="none"/>
          <w:lang w:val="en-US" w:eastAsia="zh-CN"/>
        </w:rPr>
        <w:t>2012年4月</w:t>
      </w:r>
      <w:r>
        <w:rPr>
          <w:rFonts w:hint="default" w:ascii="Times New Roman" w:hAnsi="Times New Roman" w:cs="Times New Roman"/>
          <w:color w:val="auto"/>
          <w:sz w:val="24"/>
          <w:highlight w:val="none"/>
        </w:rPr>
        <w:t>）（以下简称</w:t>
      </w:r>
      <w:r>
        <w:rPr>
          <w:rFonts w:hint="default" w:ascii="Times New Roman" w:hAnsi="Times New Roman" w:cs="Times New Roman"/>
          <w:color w:val="auto"/>
          <w:sz w:val="24"/>
          <w:highlight w:val="none"/>
          <w:lang w:eastAsia="zh-CN"/>
        </w:rPr>
        <w:t>“鸿昇矿业地勘</w:t>
      </w:r>
      <w:r>
        <w:rPr>
          <w:rFonts w:hint="default" w:ascii="Times New Roman" w:hAnsi="Times New Roman" w:cs="Times New Roman"/>
          <w:color w:val="auto"/>
          <w:sz w:val="24"/>
          <w:highlight w:val="none"/>
        </w:rPr>
        <w:t>报告</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）中相关内容进行分析。</w:t>
      </w:r>
    </w:p>
    <w:p w14:paraId="40455770">
      <w:pPr>
        <w:pStyle w:val="6"/>
        <w:numPr>
          <w:ilvl w:val="0"/>
          <w:numId w:val="0"/>
        </w:numPr>
        <w:bidi w:val="0"/>
        <w:ind w:leftChars="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2.1.</w:t>
      </w:r>
      <w:r>
        <w:rPr>
          <w:rFonts w:hint="default" w:ascii="Times New Roman" w:hAnsi="Times New Roman" w:cs="Times New Roman"/>
          <w:color w:val="auto"/>
          <w:highlight w:val="none"/>
          <w:lang w:val="en-US" w:eastAsia="zh-CN"/>
        </w:rPr>
        <w:t>5</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eastAsia="zh-CN"/>
        </w:rPr>
        <w:t>工程地质概况</w:t>
      </w:r>
    </w:p>
    <w:p w14:paraId="589E4EFA">
      <w:pPr>
        <w:autoSpaceDE w:val="0"/>
        <w:autoSpaceDN w:val="0"/>
        <w:adjustRightInd w:val="0"/>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w:t>
      </w:r>
      <w:r>
        <w:rPr>
          <w:rFonts w:hint="default" w:ascii="Times New Roman" w:hAnsi="Times New Roman" w:cs="Times New Roman"/>
          <w:color w:val="auto"/>
          <w:sz w:val="24"/>
          <w:highlight w:val="none"/>
          <w:lang w:eastAsia="zh-CN"/>
        </w:rPr>
        <w:t>力兴建材</w:t>
      </w:r>
      <w:r>
        <w:rPr>
          <w:rFonts w:hint="default" w:ascii="Times New Roman" w:hAnsi="Times New Roman" w:cs="Times New Roman"/>
          <w:color w:val="auto"/>
          <w:sz w:val="24"/>
          <w:highlight w:val="none"/>
        </w:rPr>
        <w:t>地勘报告</w:t>
      </w:r>
      <w:r>
        <w:rPr>
          <w:rFonts w:hint="default" w:ascii="Times New Roman" w:hAnsi="Times New Roman" w:cs="Times New Roman"/>
          <w:color w:val="auto"/>
          <w:sz w:val="24"/>
          <w:highlight w:val="none"/>
          <w:lang w:eastAsia="zh-CN"/>
        </w:rPr>
        <w:t>及鸿昇矿业地勘</w:t>
      </w:r>
      <w:r>
        <w:rPr>
          <w:rFonts w:hint="default" w:ascii="Times New Roman" w:hAnsi="Times New Roman" w:cs="Times New Roman"/>
          <w:color w:val="auto"/>
          <w:sz w:val="24"/>
          <w:highlight w:val="none"/>
        </w:rPr>
        <w:t>报告，调查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勘察范围内所分布的地层表层</w:t>
      </w:r>
      <w:r>
        <w:rPr>
          <w:rFonts w:hint="default" w:ascii="Times New Roman" w:hAnsi="Times New Roman" w:cs="Times New Roman"/>
          <w:color w:val="auto"/>
          <w:sz w:val="24"/>
          <w:highlight w:val="none"/>
          <w:lang w:eastAsia="zh-CN"/>
        </w:rPr>
        <w:t>大致一致，从上至下依次为素填土、粉质粘土、泥质粉砂岩</w:t>
      </w:r>
      <w:r>
        <w:rPr>
          <w:rFonts w:hint="default" w:ascii="Times New Roman" w:hAnsi="Times New Roman" w:cs="Times New Roman"/>
          <w:color w:val="auto"/>
          <w:sz w:val="24"/>
          <w:highlight w:val="none"/>
        </w:rPr>
        <w:t>。各岩土层分布情况及主要特征如下：</w:t>
      </w:r>
    </w:p>
    <w:p w14:paraId="46AA2A73">
      <w:pPr>
        <w:spacing w:line="360" w:lineRule="auto"/>
        <w:jc w:val="center"/>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表2-1-1 园区内部分地块工程地质情况</w:t>
      </w:r>
    </w:p>
    <w:tbl>
      <w:tblPr>
        <w:tblStyle w:val="22"/>
        <w:tblW w:w="985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3735"/>
        <w:gridCol w:w="4389"/>
      </w:tblGrid>
      <w:tr w14:paraId="24B600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730" w:type="dxa"/>
            <w:tcBorders>
              <w:top w:val="single" w:color="auto" w:sz="12" w:space="0"/>
              <w:bottom w:val="single" w:color="auto" w:sz="12" w:space="0"/>
            </w:tcBorders>
            <w:vAlign w:val="center"/>
            <mc:AlternateContent>
              <mc:Choice Requires="wpsCustomData">
                <wpsCustomData:diagonals>
                  <wpsCustomData:diagonal from="10000" to="30000">
                    <wpsCustomData:border w:val="single" w:color="auto" w:sz="12" w:space="0"/>
                  </wpsCustomData:diagonal>
                </wpsCustomData:diagonals>
              </mc:Choice>
            </mc:AlternateContent>
          </w:tcPr>
          <w:p w14:paraId="65691D58">
            <w:pPr>
              <w:pStyle w:val="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eastAsia="zh-CN"/>
              </w:rPr>
            </w:pPr>
          </w:p>
          <w:p w14:paraId="02F73C34">
            <w:pPr>
              <w:pStyle w:val="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mc:AlternateContent>
                <mc:Choice Requires="wpsCustomData">
                  <wpsCustomData:diagonalParaType/>
                </mc:Choice>
              </mc:AlternateContent>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地层</w:t>
            </w:r>
          </w:p>
          <w:p w14:paraId="75AE8ED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描述</w:t>
            </w:r>
          </w:p>
        </w:tc>
        <w:tc>
          <w:tcPr>
            <w:tcW w:w="3735" w:type="dxa"/>
            <w:tcBorders>
              <w:top w:val="single" w:color="auto" w:sz="12" w:space="0"/>
              <w:bottom w:val="single" w:color="auto" w:sz="12" w:space="0"/>
            </w:tcBorders>
            <w:vAlign w:val="center"/>
          </w:tcPr>
          <w:p w14:paraId="0934B46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rPr>
            </w:pPr>
            <w:r>
              <w:rPr>
                <w:rFonts w:hint="default" w:ascii="Times New Roman" w:hAnsi="Times New Roman" w:cs="Times New Roman"/>
                <w:b/>
                <w:bCs/>
                <w:color w:val="auto"/>
                <w:sz w:val="21"/>
                <w:szCs w:val="21"/>
                <w:highlight w:val="none"/>
                <w:lang w:eastAsia="zh-CN"/>
              </w:rPr>
              <w:t>力兴建材</w:t>
            </w:r>
            <w:r>
              <w:rPr>
                <w:rFonts w:hint="default" w:ascii="Times New Roman" w:hAnsi="Times New Roman" w:cs="Times New Roman"/>
                <w:b/>
                <w:bCs/>
                <w:color w:val="auto"/>
                <w:sz w:val="21"/>
                <w:szCs w:val="21"/>
                <w:highlight w:val="none"/>
              </w:rPr>
              <w:t>地勘报告</w:t>
            </w:r>
          </w:p>
        </w:tc>
        <w:tc>
          <w:tcPr>
            <w:tcW w:w="4389" w:type="dxa"/>
            <w:tcBorders>
              <w:top w:val="single" w:color="auto" w:sz="12" w:space="0"/>
              <w:bottom w:val="single" w:color="auto" w:sz="12" w:space="0"/>
            </w:tcBorders>
            <w:vAlign w:val="center"/>
          </w:tcPr>
          <w:p w14:paraId="4E7FA1D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rPr>
            </w:pPr>
            <w:r>
              <w:rPr>
                <w:rFonts w:hint="default" w:ascii="Times New Roman" w:hAnsi="Times New Roman" w:cs="Times New Roman"/>
                <w:b/>
                <w:bCs/>
                <w:color w:val="auto"/>
                <w:sz w:val="21"/>
                <w:szCs w:val="21"/>
                <w:highlight w:val="none"/>
                <w:lang w:eastAsia="zh-CN"/>
              </w:rPr>
              <w:t>鸿昇矿业地勘</w:t>
            </w:r>
            <w:r>
              <w:rPr>
                <w:rFonts w:hint="default" w:ascii="Times New Roman" w:hAnsi="Times New Roman" w:cs="Times New Roman"/>
                <w:b/>
                <w:bCs/>
                <w:color w:val="auto"/>
                <w:sz w:val="21"/>
                <w:szCs w:val="21"/>
                <w:highlight w:val="none"/>
              </w:rPr>
              <w:t>报告</w:t>
            </w:r>
          </w:p>
        </w:tc>
      </w:tr>
      <w:tr w14:paraId="66445E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tcBorders>
              <w:top w:val="single" w:color="auto" w:sz="12" w:space="0"/>
            </w:tcBorders>
            <w:vAlign w:val="center"/>
          </w:tcPr>
          <w:p w14:paraId="0D09E77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eastAsia="zh-CN"/>
              </w:rPr>
              <w:t>①素填土</w:t>
            </w:r>
          </w:p>
        </w:tc>
        <w:tc>
          <w:tcPr>
            <w:tcW w:w="3735" w:type="dxa"/>
            <w:tcBorders>
              <w:top w:val="single" w:color="auto" w:sz="12" w:space="0"/>
            </w:tcBorders>
            <w:vAlign w:val="center"/>
          </w:tcPr>
          <w:p w14:paraId="6554B1F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eastAsia="zh-CN"/>
              </w:rPr>
              <w:t>杂色，稍湿，主要成</w:t>
            </w:r>
            <w:r>
              <w:rPr>
                <w:rFonts w:hint="eastAsia" w:cs="Times New Roman"/>
                <w:color w:val="auto"/>
                <w:sz w:val="21"/>
                <w:szCs w:val="21"/>
                <w:highlight w:val="none"/>
                <w:vertAlign w:val="baseline"/>
                <w:lang w:val="en-US" w:eastAsia="zh-CN"/>
              </w:rPr>
              <w:t>分</w:t>
            </w:r>
            <w:r>
              <w:rPr>
                <w:rFonts w:hint="default" w:ascii="Times New Roman" w:hAnsi="Times New Roman" w:cs="Times New Roman"/>
                <w:color w:val="auto"/>
                <w:sz w:val="21"/>
                <w:szCs w:val="21"/>
                <w:highlight w:val="none"/>
                <w:vertAlign w:val="baseline"/>
                <w:lang w:eastAsia="zh-CN"/>
              </w:rPr>
              <w:t>粘性土、淤泥质土夹植物根茎和少量建筑垃圾组成，层厚0.3-2.9m， 平均厚度1.9m.</w:t>
            </w:r>
          </w:p>
        </w:tc>
        <w:tc>
          <w:tcPr>
            <w:tcW w:w="4389" w:type="dxa"/>
            <w:tcBorders>
              <w:top w:val="single" w:color="auto" w:sz="12" w:space="0"/>
            </w:tcBorders>
            <w:vAlign w:val="center"/>
          </w:tcPr>
          <w:p w14:paraId="6D542E0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eastAsia="zh-CN"/>
              </w:rPr>
              <w:t>灰色，湿，松散状态，以粘性土为主，见植物根，层厚</w:t>
            </w:r>
            <w:r>
              <w:rPr>
                <w:rFonts w:hint="default" w:ascii="Times New Roman" w:hAnsi="Times New Roman" w:cs="Times New Roman"/>
                <w:color w:val="auto"/>
                <w:sz w:val="21"/>
                <w:szCs w:val="21"/>
                <w:highlight w:val="none"/>
                <w:vertAlign w:val="baseline"/>
                <w:lang w:val="en-US" w:eastAsia="zh-CN"/>
              </w:rPr>
              <w:t>0.5-2.5m。</w:t>
            </w:r>
          </w:p>
        </w:tc>
      </w:tr>
      <w:tr w14:paraId="33128E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61A49A8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eastAsia="zh-CN"/>
              </w:rPr>
              <w:t>②粉质粘土</w:t>
            </w:r>
          </w:p>
        </w:tc>
        <w:tc>
          <w:tcPr>
            <w:tcW w:w="3735" w:type="dxa"/>
            <w:vAlign w:val="center"/>
          </w:tcPr>
          <w:p w14:paraId="532988C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eastAsia="zh-CN"/>
              </w:rPr>
              <w:t>黄色、可塑状态，含铁锰质及少量灰、灰绿高岭土团块，层厚0.8-2. 6m,平均厚度1.4m，层面埋深1.3-2. 7m，</w:t>
            </w:r>
          </w:p>
        </w:tc>
        <w:tc>
          <w:tcPr>
            <w:tcW w:w="4389" w:type="dxa"/>
            <w:vAlign w:val="center"/>
          </w:tcPr>
          <w:p w14:paraId="50F6ECB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eastAsia="zh-CN"/>
              </w:rPr>
              <w:t>灰黄色，可塑状态，含高岭土、铁锰质。为本场地“硬壳层"，层厚0.7-3. 0m，层项埋深0.5-2.1m。</w:t>
            </w:r>
          </w:p>
        </w:tc>
      </w:tr>
      <w:tr w14:paraId="40AA28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45AAD46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eastAsia="zh-CN"/>
              </w:rPr>
              <w:t>③粉质粘土</w:t>
            </w:r>
          </w:p>
        </w:tc>
        <w:tc>
          <w:tcPr>
            <w:tcW w:w="3735" w:type="dxa"/>
            <w:vAlign w:val="center"/>
          </w:tcPr>
          <w:p w14:paraId="50725F6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eastAsia="zh-CN"/>
              </w:rPr>
              <w:t>黄色一黄褐色，硬塑状态，含铁锰质及少量灰、灰绿高岭土团块，揭露层厚5.1-12. 0m，平均厚度8.7m，层面埋深0.5-5. 1m.</w:t>
            </w:r>
          </w:p>
        </w:tc>
        <w:tc>
          <w:tcPr>
            <w:tcW w:w="4389" w:type="dxa"/>
            <w:vAlign w:val="center"/>
          </w:tcPr>
          <w:p w14:paraId="3874216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rPr>
            </w:pPr>
            <w:r>
              <w:rPr>
                <w:rFonts w:hint="default" w:ascii="Times New Roman" w:hAnsi="Times New Roman" w:cs="Times New Roman"/>
                <w:color w:val="auto"/>
                <w:sz w:val="21"/>
                <w:szCs w:val="21"/>
                <w:highlight w:val="none"/>
                <w:vertAlign w:val="baseline"/>
                <w:lang w:eastAsia="zh-CN"/>
              </w:rPr>
              <w:t>灰黑色，饱和、流塑状态，含薄层状砂。层厚2.2-23.6m，层顶埋深1.0-3.7m。</w:t>
            </w:r>
          </w:p>
        </w:tc>
      </w:tr>
      <w:tr w14:paraId="71DE75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0CF6666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eastAsia="zh-CN"/>
              </w:rPr>
              <w:t>④</w:t>
            </w:r>
            <w:r>
              <w:rPr>
                <w:rFonts w:hint="default" w:ascii="Times New Roman" w:hAnsi="Times New Roman" w:cs="Times New Roman"/>
                <w:color w:val="auto"/>
                <w:sz w:val="21"/>
                <w:szCs w:val="21"/>
                <w:highlight w:val="none"/>
                <w:vertAlign w:val="baseline"/>
                <w:lang w:val="en-US" w:eastAsia="zh-CN"/>
              </w:rPr>
              <w:t xml:space="preserve">-1 </w:t>
            </w:r>
            <w:r>
              <w:rPr>
                <w:rFonts w:hint="default" w:ascii="Times New Roman" w:hAnsi="Times New Roman" w:cs="Times New Roman"/>
                <w:color w:val="auto"/>
                <w:sz w:val="21"/>
                <w:szCs w:val="21"/>
                <w:highlight w:val="none"/>
                <w:vertAlign w:val="baseline"/>
                <w:lang w:eastAsia="zh-CN"/>
              </w:rPr>
              <w:t>粉质粘土</w:t>
            </w:r>
          </w:p>
        </w:tc>
        <w:tc>
          <w:tcPr>
            <w:tcW w:w="3735" w:type="dxa"/>
            <w:vAlign w:val="center"/>
          </w:tcPr>
          <w:p w14:paraId="0EF3467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389" w:type="dxa"/>
            <w:vAlign w:val="center"/>
          </w:tcPr>
          <w:p w14:paraId="0B684E2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eastAsia="zh-CN"/>
              </w:rPr>
              <w:t>灰色，可塑状态，含高岭土、铁锰质、少量砂。层厚</w:t>
            </w:r>
            <w:r>
              <w:rPr>
                <w:rFonts w:hint="default" w:ascii="Times New Roman" w:hAnsi="Times New Roman" w:cs="Times New Roman"/>
                <w:color w:val="auto"/>
                <w:sz w:val="21"/>
                <w:szCs w:val="21"/>
                <w:highlight w:val="none"/>
                <w:vertAlign w:val="baseline"/>
                <w:lang w:val="en-US" w:eastAsia="zh-CN"/>
              </w:rPr>
              <w:t>0.9-15.2m，层顶埋深1.2-18.1m。</w:t>
            </w:r>
          </w:p>
        </w:tc>
      </w:tr>
      <w:tr w14:paraId="4C0DF9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6EC4B9E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eastAsia="zh-CN"/>
              </w:rPr>
              <w:t>④</w:t>
            </w:r>
            <w:r>
              <w:rPr>
                <w:rFonts w:hint="default" w:ascii="Times New Roman" w:hAnsi="Times New Roman" w:cs="Times New Roman"/>
                <w:color w:val="auto"/>
                <w:sz w:val="21"/>
                <w:szCs w:val="21"/>
                <w:highlight w:val="none"/>
                <w:vertAlign w:val="baseline"/>
                <w:lang w:val="en-US" w:eastAsia="zh-CN"/>
              </w:rPr>
              <w:t xml:space="preserve">-2 </w:t>
            </w:r>
            <w:r>
              <w:rPr>
                <w:rFonts w:hint="default" w:ascii="Times New Roman" w:hAnsi="Times New Roman" w:cs="Times New Roman"/>
                <w:color w:val="auto"/>
                <w:sz w:val="21"/>
                <w:szCs w:val="21"/>
                <w:highlight w:val="none"/>
                <w:vertAlign w:val="baseline"/>
                <w:lang w:eastAsia="zh-CN"/>
              </w:rPr>
              <w:t>粉质粘土</w:t>
            </w:r>
          </w:p>
        </w:tc>
        <w:tc>
          <w:tcPr>
            <w:tcW w:w="3735" w:type="dxa"/>
            <w:vAlign w:val="center"/>
          </w:tcPr>
          <w:p w14:paraId="32BEA30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389" w:type="dxa"/>
            <w:vAlign w:val="center"/>
          </w:tcPr>
          <w:p w14:paraId="3CFB79B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灰色。可硬塑状态。含高岭土、铁锰质结核。层厚4.1-17.9m，层项埋深6.0-20.1m。</w:t>
            </w:r>
          </w:p>
        </w:tc>
      </w:tr>
      <w:tr w14:paraId="0C3F3D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30" w:type="dxa"/>
            <w:vAlign w:val="center"/>
          </w:tcPr>
          <w:p w14:paraId="19ED07B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eastAsia="zh-CN"/>
              </w:rPr>
              <w:t>④</w:t>
            </w:r>
            <w:r>
              <w:rPr>
                <w:rFonts w:hint="default" w:ascii="Times New Roman" w:hAnsi="Times New Roman" w:cs="Times New Roman"/>
                <w:color w:val="auto"/>
                <w:sz w:val="21"/>
                <w:szCs w:val="21"/>
                <w:highlight w:val="none"/>
                <w:vertAlign w:val="baseline"/>
                <w:lang w:val="en-US" w:eastAsia="zh-CN"/>
              </w:rPr>
              <w:t xml:space="preserve">-3 </w:t>
            </w:r>
            <w:r>
              <w:rPr>
                <w:rFonts w:hint="default" w:ascii="Times New Roman" w:hAnsi="Times New Roman" w:cs="Times New Roman"/>
                <w:color w:val="auto"/>
                <w:sz w:val="21"/>
                <w:szCs w:val="21"/>
                <w:highlight w:val="none"/>
                <w:vertAlign w:val="baseline"/>
                <w:lang w:eastAsia="zh-CN"/>
              </w:rPr>
              <w:t>粉质粘土</w:t>
            </w:r>
          </w:p>
        </w:tc>
        <w:tc>
          <w:tcPr>
            <w:tcW w:w="3735" w:type="dxa"/>
            <w:vAlign w:val="center"/>
          </w:tcPr>
          <w:p w14:paraId="0EE4FF1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389" w:type="dxa"/>
            <w:vAlign w:val="center"/>
          </w:tcPr>
          <w:p w14:paraId="6CBC213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灰色，软可塑状态，含高岭土、铁锰质、少量砂。层厚1.5-17.2m，顶埋深69-23.5m。</w:t>
            </w:r>
          </w:p>
        </w:tc>
      </w:tr>
      <w:tr w14:paraId="5FEDF5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13D57CC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val="en-US" w:eastAsia="zh-CN"/>
              </w:rPr>
              <w:t>⑤-1强风化泥质粉砂岩</w:t>
            </w:r>
          </w:p>
        </w:tc>
        <w:tc>
          <w:tcPr>
            <w:tcW w:w="3735" w:type="dxa"/>
            <w:vAlign w:val="center"/>
          </w:tcPr>
          <w:p w14:paraId="1583A80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389" w:type="dxa"/>
            <w:vAlign w:val="center"/>
          </w:tcPr>
          <w:p w14:paraId="5D4CD53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紫红色、紫色，岩芯呈砂土状、碎块状，残留岩块手可折断。层厚2. 1-7.1m.层项埋21.6-28. 2m。</w:t>
            </w:r>
          </w:p>
        </w:tc>
      </w:tr>
      <w:tr w14:paraId="5518C1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tcBorders>
              <w:bottom w:val="single" w:color="auto" w:sz="12" w:space="0"/>
            </w:tcBorders>
            <w:vAlign w:val="center"/>
          </w:tcPr>
          <w:p w14:paraId="22A4CC9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val="en-US" w:eastAsia="zh-CN"/>
              </w:rPr>
              <w:t>⑤-2中风化泥质粉砂岩</w:t>
            </w:r>
          </w:p>
        </w:tc>
        <w:tc>
          <w:tcPr>
            <w:tcW w:w="3735" w:type="dxa"/>
            <w:tcBorders>
              <w:bottom w:val="single" w:color="auto" w:sz="12" w:space="0"/>
            </w:tcBorders>
            <w:vAlign w:val="center"/>
          </w:tcPr>
          <w:p w14:paraId="5D0CE3E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389" w:type="dxa"/>
            <w:tcBorders>
              <w:bottom w:val="single" w:color="auto" w:sz="12" w:space="0"/>
            </w:tcBorders>
            <w:vAlign w:val="center"/>
          </w:tcPr>
          <w:p w14:paraId="2915F6C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紫红色、紫色，岩芯呈柱状、长柱状。岩芯采取率较低，为软岩、岩体完整程度为较破碎、基本质量等级为V类。层厚未揭穿，层顶埋深24.7-32.0m。</w:t>
            </w:r>
          </w:p>
        </w:tc>
      </w:tr>
    </w:tbl>
    <w:p w14:paraId="26F8BD68">
      <w:pPr>
        <w:pStyle w:val="6"/>
        <w:numPr>
          <w:ilvl w:val="0"/>
          <w:numId w:val="0"/>
        </w:numPr>
        <w:bidi w:val="0"/>
        <w:ind w:leftChars="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2.1.5.2</w:t>
      </w:r>
      <w:r>
        <w:rPr>
          <w:rFonts w:hint="default" w:ascii="Times New Roman" w:hAnsi="Times New Roman" w:cs="Times New Roman"/>
          <w:color w:val="auto"/>
          <w:highlight w:val="none"/>
          <w:lang w:eastAsia="zh-CN"/>
        </w:rPr>
        <w:t>水文地质概况</w:t>
      </w:r>
    </w:p>
    <w:p w14:paraId="6B73458B">
      <w:pPr>
        <w:spacing w:line="360" w:lineRule="auto"/>
        <w:ind w:firstLine="56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根据</w:t>
      </w:r>
      <w:r>
        <w:rPr>
          <w:rFonts w:hint="default" w:ascii="Times New Roman" w:hAnsi="Times New Roman" w:cs="Times New Roman"/>
          <w:color w:val="auto"/>
          <w:sz w:val="24"/>
          <w:highlight w:val="none"/>
          <w:lang w:eastAsia="zh-CN"/>
        </w:rPr>
        <w:t>力兴建材</w:t>
      </w:r>
      <w:r>
        <w:rPr>
          <w:rFonts w:hint="default" w:ascii="Times New Roman" w:hAnsi="Times New Roman" w:cs="Times New Roman"/>
          <w:color w:val="auto"/>
          <w:sz w:val="24"/>
          <w:highlight w:val="none"/>
        </w:rPr>
        <w:t>地勘报告</w:t>
      </w:r>
      <w:r>
        <w:rPr>
          <w:rFonts w:hint="default" w:ascii="Times New Roman" w:hAnsi="Times New Roman" w:cs="Times New Roman"/>
          <w:color w:val="auto"/>
          <w:sz w:val="24"/>
          <w:highlight w:val="none"/>
          <w:lang w:eastAsia="zh-CN"/>
        </w:rPr>
        <w:t>及鸿昇矿业地勘</w:t>
      </w:r>
      <w:r>
        <w:rPr>
          <w:rFonts w:hint="default" w:ascii="Times New Roman" w:hAnsi="Times New Roman" w:cs="Times New Roman"/>
          <w:color w:val="auto"/>
          <w:sz w:val="24"/>
          <w:highlight w:val="none"/>
        </w:rPr>
        <w:t>报告</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eastAsia="zh-CN"/>
        </w:rPr>
        <w:t>勘察范围内和钻孔所达深度内地下水类型主要为潜水，主要补给源为大气降水和地表水。地下水水量较小、受季节影响较大，</w:t>
      </w:r>
      <w:r>
        <w:rPr>
          <w:rFonts w:hint="default" w:ascii="Times New Roman" w:hAnsi="Times New Roman" w:cs="Times New Roman"/>
          <w:color w:val="auto"/>
          <w:kern w:val="0"/>
          <w:sz w:val="24"/>
          <w:highlight w:val="none"/>
          <w:lang w:val="en-US" w:eastAsia="zh-CN"/>
        </w:rPr>
        <w:t>勘察期间测得其水位埋深为1.50-2.30m。</w:t>
      </w:r>
    </w:p>
    <w:bookmarkEnd w:id="19"/>
    <w:p w14:paraId="6CA25873">
      <w:pPr>
        <w:pStyle w:val="4"/>
        <w:rPr>
          <w:rFonts w:hint="default" w:ascii="Times New Roman" w:hAnsi="Times New Roman" w:cs="Times New Roman"/>
          <w:color w:val="auto"/>
          <w:highlight w:val="none"/>
        </w:rPr>
      </w:pPr>
      <w:bookmarkStart w:id="20" w:name="_Toc18975"/>
      <w:bookmarkStart w:id="21" w:name="_Toc25362"/>
      <w:r>
        <w:rPr>
          <w:rFonts w:hint="default" w:ascii="Times New Roman" w:hAnsi="Times New Roman" w:cs="Times New Roman"/>
          <w:color w:val="auto"/>
          <w:highlight w:val="none"/>
          <w:lang w:eastAsia="zh-CN"/>
        </w:rPr>
        <w:t>园区概况</w:t>
      </w:r>
      <w:bookmarkEnd w:id="20"/>
      <w:bookmarkEnd w:id="21"/>
    </w:p>
    <w:p w14:paraId="7EF57F92">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园区地理位置及周边情况</w:t>
      </w:r>
    </w:p>
    <w:p w14:paraId="35E514EB">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eastAsiaTheme="minorEastAsia"/>
          <w:color w:val="auto"/>
          <w:sz w:val="24"/>
          <w:highlight w:val="none"/>
          <w:shd w:val="clear" w:color="auto" w:fill="auto"/>
          <w:lang w:val="en-US" w:eastAsia="zh-CN"/>
        </w:rPr>
        <w:t>三江港经济区位于鄂州市华容区，调查面积为</w:t>
      </w:r>
      <w:r>
        <w:rPr>
          <w:rFonts w:hint="eastAsia" w:cs="Times New Roman" w:eastAsiaTheme="minorEastAsia"/>
          <w:color w:val="auto"/>
          <w:sz w:val="24"/>
          <w:highlight w:val="none"/>
          <w:shd w:val="clear" w:color="auto" w:fill="auto"/>
          <w:lang w:val="en-US" w:eastAsia="zh-CN"/>
        </w:rPr>
        <w:t>190</w:t>
      </w:r>
      <w:r>
        <w:rPr>
          <w:rFonts w:hint="default" w:ascii="Times New Roman" w:hAnsi="Times New Roman" w:cs="Times New Roman" w:eastAsiaTheme="minorEastAsia"/>
          <w:color w:val="auto"/>
          <w:sz w:val="24"/>
          <w:highlight w:val="none"/>
          <w:shd w:val="clear" w:color="auto" w:fill="auto"/>
          <w:lang w:val="en-US" w:eastAsia="zh-CN"/>
        </w:rPr>
        <w:t>.32km</w:t>
      </w:r>
      <w:r>
        <w:rPr>
          <w:rFonts w:hint="default" w:ascii="Times New Roman" w:hAnsi="Times New Roman" w:cs="Times New Roman" w:eastAsiaTheme="minorEastAsia"/>
          <w:color w:val="auto"/>
          <w:sz w:val="24"/>
          <w:highlight w:val="none"/>
          <w:shd w:val="clear" w:color="auto" w:fill="auto"/>
          <w:vertAlign w:val="superscript"/>
          <w:lang w:val="en-US" w:eastAsia="zh-CN"/>
        </w:rPr>
        <w:t>2</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eastAsiaTheme="minorEastAsia"/>
          <w:color w:val="auto"/>
          <w:sz w:val="24"/>
          <w:highlight w:val="none"/>
          <w:shd w:val="clear" w:color="auto" w:fill="auto"/>
          <w:lang w:val="en-US" w:eastAsia="zh-CN"/>
        </w:rPr>
        <w:t>调查范</w:t>
      </w:r>
      <w:r>
        <w:rPr>
          <w:rFonts w:hint="default" w:ascii="Times New Roman" w:hAnsi="Times New Roman" w:cs="Times New Roman"/>
          <w:color w:val="auto"/>
          <w:kern w:val="0"/>
          <w:sz w:val="24"/>
          <w:highlight w:val="none"/>
          <w:lang w:eastAsia="zh-CN"/>
        </w:rPr>
        <w:t>围及周边情况图见附图</w:t>
      </w:r>
      <w:r>
        <w:rPr>
          <w:rFonts w:hint="default" w:ascii="Times New Roman" w:hAnsi="Times New Roman" w:cs="Times New Roman"/>
          <w:color w:val="auto"/>
          <w:kern w:val="0"/>
          <w:sz w:val="24"/>
          <w:highlight w:val="none"/>
          <w:lang w:val="en-US" w:eastAsia="zh-CN"/>
        </w:rPr>
        <w:t>2。</w:t>
      </w:r>
    </w:p>
    <w:p w14:paraId="58AE9168">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三江港经济区及周边地块现状卫片，三江港经济区西侧边界与华容创业园接壤，隔华蒲路分布有各类企业、村落等；三江港经济区北侧、东侧边界外为长江；三江港经济区南侧边界与鄂州经济开发区相邻，隔樊蒲大道分布有企业、村落、学校等。敏感点分布情况如下表所示：</w:t>
      </w:r>
    </w:p>
    <w:p w14:paraId="78AC32FB">
      <w:pPr>
        <w:spacing w:line="360" w:lineRule="auto"/>
        <w:jc w:val="center"/>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表2-2-1 三江港经济区周边敏感点分布情况</w:t>
      </w:r>
    </w:p>
    <w:tbl>
      <w:tblPr>
        <w:tblStyle w:val="2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2072"/>
        <w:gridCol w:w="1158"/>
        <w:gridCol w:w="2961"/>
        <w:gridCol w:w="2961"/>
      </w:tblGrid>
      <w:tr w14:paraId="3062D1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97" w:type="dxa"/>
            <w:tcBorders>
              <w:bottom w:val="single" w:color="auto" w:sz="12" w:space="0"/>
            </w:tcBorders>
            <w:vAlign w:val="center"/>
          </w:tcPr>
          <w:p w14:paraId="55E1719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编号</w:t>
            </w:r>
          </w:p>
        </w:tc>
        <w:tc>
          <w:tcPr>
            <w:tcW w:w="2072" w:type="dxa"/>
            <w:tcBorders>
              <w:bottom w:val="single" w:color="auto" w:sz="12" w:space="0"/>
            </w:tcBorders>
            <w:vAlign w:val="center"/>
          </w:tcPr>
          <w:p w14:paraId="79604B2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项目</w:t>
            </w:r>
          </w:p>
        </w:tc>
        <w:tc>
          <w:tcPr>
            <w:tcW w:w="1158" w:type="dxa"/>
            <w:tcBorders>
              <w:bottom w:val="single" w:color="auto" w:sz="12" w:space="0"/>
            </w:tcBorders>
            <w:vAlign w:val="center"/>
          </w:tcPr>
          <w:p w14:paraId="53BDAFE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cs="Times New Roman"/>
                <w:b/>
                <w:bCs/>
                <w:color w:val="auto"/>
                <w:sz w:val="21"/>
                <w:szCs w:val="21"/>
                <w:highlight w:val="none"/>
                <w:vertAlign w:val="baseline"/>
                <w:lang w:val="en-US" w:eastAsia="zh-CN"/>
              </w:rPr>
              <w:t>相对方位</w:t>
            </w:r>
          </w:p>
        </w:tc>
        <w:tc>
          <w:tcPr>
            <w:tcW w:w="2962" w:type="dxa"/>
            <w:tcBorders>
              <w:bottom w:val="single" w:color="auto" w:sz="12" w:space="0"/>
            </w:tcBorders>
            <w:vAlign w:val="center"/>
          </w:tcPr>
          <w:p w14:paraId="53BD124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与工业园区最近距离（m）</w:t>
            </w:r>
          </w:p>
        </w:tc>
        <w:tc>
          <w:tcPr>
            <w:tcW w:w="2962" w:type="dxa"/>
            <w:tcBorders>
              <w:bottom w:val="single" w:color="auto" w:sz="12" w:space="0"/>
            </w:tcBorders>
            <w:vAlign w:val="center"/>
          </w:tcPr>
          <w:p w14:paraId="6ECC123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备注</w:t>
            </w:r>
          </w:p>
        </w:tc>
      </w:tr>
      <w:tr w14:paraId="764F42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04EB9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072" w:type="dxa"/>
            <w:vAlign w:val="center"/>
          </w:tcPr>
          <w:p w14:paraId="42AAAA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泥矶村</w:t>
            </w:r>
          </w:p>
        </w:tc>
        <w:tc>
          <w:tcPr>
            <w:tcW w:w="1158" w:type="dxa"/>
            <w:vAlign w:val="center"/>
          </w:tcPr>
          <w:p w14:paraId="2F2907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3BCDFC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0</w:t>
            </w:r>
          </w:p>
        </w:tc>
        <w:tc>
          <w:tcPr>
            <w:tcW w:w="2962" w:type="dxa"/>
            <w:vAlign w:val="center"/>
          </w:tcPr>
          <w:p w14:paraId="2A426F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617725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C51AF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2072" w:type="dxa"/>
            <w:vAlign w:val="center"/>
          </w:tcPr>
          <w:p w14:paraId="1133C0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高家咀</w:t>
            </w:r>
          </w:p>
        </w:tc>
        <w:tc>
          <w:tcPr>
            <w:tcW w:w="1158" w:type="dxa"/>
            <w:vAlign w:val="center"/>
          </w:tcPr>
          <w:p w14:paraId="77D82F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4C1B0E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150</w:t>
            </w:r>
          </w:p>
        </w:tc>
        <w:tc>
          <w:tcPr>
            <w:tcW w:w="2962" w:type="dxa"/>
            <w:vAlign w:val="center"/>
          </w:tcPr>
          <w:p w14:paraId="1EC173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EEB9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40BB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072" w:type="dxa"/>
            <w:vAlign w:val="center"/>
          </w:tcPr>
          <w:p w14:paraId="68B9FB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刘弄村</w:t>
            </w:r>
          </w:p>
        </w:tc>
        <w:tc>
          <w:tcPr>
            <w:tcW w:w="1158" w:type="dxa"/>
            <w:vAlign w:val="center"/>
          </w:tcPr>
          <w:p w14:paraId="698E2C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2BEA2D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150</w:t>
            </w:r>
          </w:p>
        </w:tc>
        <w:tc>
          <w:tcPr>
            <w:tcW w:w="2962" w:type="dxa"/>
            <w:vAlign w:val="center"/>
          </w:tcPr>
          <w:p w14:paraId="14EF58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78A8F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BFB40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2072" w:type="dxa"/>
            <w:vAlign w:val="center"/>
          </w:tcPr>
          <w:p w14:paraId="0DE5C0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金家大湾</w:t>
            </w:r>
          </w:p>
        </w:tc>
        <w:tc>
          <w:tcPr>
            <w:tcW w:w="1158" w:type="dxa"/>
            <w:vAlign w:val="center"/>
          </w:tcPr>
          <w:p w14:paraId="0C720E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67DD35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240</w:t>
            </w:r>
          </w:p>
        </w:tc>
        <w:tc>
          <w:tcPr>
            <w:tcW w:w="2962" w:type="dxa"/>
            <w:vAlign w:val="center"/>
          </w:tcPr>
          <w:p w14:paraId="59444F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3B0CEC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1F246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2072" w:type="dxa"/>
            <w:vAlign w:val="center"/>
          </w:tcPr>
          <w:p w14:paraId="57A781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张后村</w:t>
            </w:r>
          </w:p>
        </w:tc>
        <w:tc>
          <w:tcPr>
            <w:tcW w:w="1158" w:type="dxa"/>
            <w:vAlign w:val="center"/>
          </w:tcPr>
          <w:p w14:paraId="424D04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049B89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125</w:t>
            </w:r>
          </w:p>
        </w:tc>
        <w:tc>
          <w:tcPr>
            <w:tcW w:w="2962" w:type="dxa"/>
            <w:vAlign w:val="center"/>
          </w:tcPr>
          <w:p w14:paraId="37FB81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4CF5B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6F8FD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2072" w:type="dxa"/>
            <w:vAlign w:val="center"/>
          </w:tcPr>
          <w:p w14:paraId="0112C1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朱家包</w:t>
            </w:r>
          </w:p>
        </w:tc>
        <w:tc>
          <w:tcPr>
            <w:tcW w:w="1158" w:type="dxa"/>
            <w:vAlign w:val="center"/>
          </w:tcPr>
          <w:p w14:paraId="0C013B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71CEC3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280</w:t>
            </w:r>
          </w:p>
        </w:tc>
        <w:tc>
          <w:tcPr>
            <w:tcW w:w="2962" w:type="dxa"/>
            <w:vAlign w:val="center"/>
          </w:tcPr>
          <w:p w14:paraId="2F4D02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7B5994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0F41F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2072" w:type="dxa"/>
            <w:vAlign w:val="center"/>
          </w:tcPr>
          <w:p w14:paraId="4B86A6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秦家咀</w:t>
            </w:r>
          </w:p>
        </w:tc>
        <w:tc>
          <w:tcPr>
            <w:tcW w:w="1158" w:type="dxa"/>
            <w:vAlign w:val="center"/>
          </w:tcPr>
          <w:p w14:paraId="29BDC3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2C345A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360</w:t>
            </w:r>
          </w:p>
        </w:tc>
        <w:tc>
          <w:tcPr>
            <w:tcW w:w="2962" w:type="dxa"/>
            <w:vAlign w:val="center"/>
          </w:tcPr>
          <w:p w14:paraId="03C3D0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FF3DE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ABE40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072" w:type="dxa"/>
            <w:vAlign w:val="center"/>
          </w:tcPr>
          <w:p w14:paraId="0D62CD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百席村</w:t>
            </w:r>
          </w:p>
        </w:tc>
        <w:tc>
          <w:tcPr>
            <w:tcW w:w="1158" w:type="dxa"/>
            <w:vAlign w:val="center"/>
          </w:tcPr>
          <w:p w14:paraId="4C77F3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3CBFAE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0</w:t>
            </w:r>
          </w:p>
        </w:tc>
        <w:tc>
          <w:tcPr>
            <w:tcW w:w="2962" w:type="dxa"/>
            <w:vAlign w:val="center"/>
          </w:tcPr>
          <w:p w14:paraId="218D68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06F59D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BC517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2072" w:type="dxa"/>
            <w:vAlign w:val="center"/>
          </w:tcPr>
          <w:p w14:paraId="7FD813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赵竹林</w:t>
            </w:r>
          </w:p>
        </w:tc>
        <w:tc>
          <w:tcPr>
            <w:tcW w:w="1158" w:type="dxa"/>
            <w:vAlign w:val="center"/>
          </w:tcPr>
          <w:p w14:paraId="24967B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1AEB5E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300</w:t>
            </w:r>
          </w:p>
        </w:tc>
        <w:tc>
          <w:tcPr>
            <w:tcW w:w="2962" w:type="dxa"/>
            <w:vAlign w:val="center"/>
          </w:tcPr>
          <w:p w14:paraId="67D5B6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3ADDC9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2CE30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072" w:type="dxa"/>
            <w:vAlign w:val="center"/>
          </w:tcPr>
          <w:p w14:paraId="2A8FAE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霍庄</w:t>
            </w:r>
          </w:p>
        </w:tc>
        <w:tc>
          <w:tcPr>
            <w:tcW w:w="1158" w:type="dxa"/>
            <w:vAlign w:val="center"/>
          </w:tcPr>
          <w:p w14:paraId="72EC73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3864B5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300</w:t>
            </w:r>
          </w:p>
        </w:tc>
        <w:tc>
          <w:tcPr>
            <w:tcW w:w="2962" w:type="dxa"/>
            <w:vAlign w:val="center"/>
          </w:tcPr>
          <w:p w14:paraId="35431D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0054EE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7498E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072" w:type="dxa"/>
            <w:vAlign w:val="center"/>
          </w:tcPr>
          <w:p w14:paraId="203941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竹林夏</w:t>
            </w:r>
          </w:p>
        </w:tc>
        <w:tc>
          <w:tcPr>
            <w:tcW w:w="1158" w:type="dxa"/>
            <w:vAlign w:val="center"/>
          </w:tcPr>
          <w:p w14:paraId="063329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2C4732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130</w:t>
            </w:r>
          </w:p>
        </w:tc>
        <w:tc>
          <w:tcPr>
            <w:tcW w:w="2962" w:type="dxa"/>
            <w:vAlign w:val="center"/>
          </w:tcPr>
          <w:p w14:paraId="204469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3872E5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2553F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072" w:type="dxa"/>
            <w:vAlign w:val="center"/>
          </w:tcPr>
          <w:p w14:paraId="3F8BE6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戴张</w:t>
            </w:r>
          </w:p>
        </w:tc>
        <w:tc>
          <w:tcPr>
            <w:tcW w:w="1158" w:type="dxa"/>
            <w:vAlign w:val="center"/>
          </w:tcPr>
          <w:p w14:paraId="6904E1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7FF303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130</w:t>
            </w:r>
          </w:p>
        </w:tc>
        <w:tc>
          <w:tcPr>
            <w:tcW w:w="2962" w:type="dxa"/>
            <w:vAlign w:val="center"/>
          </w:tcPr>
          <w:p w14:paraId="01B223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816E1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85026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2072" w:type="dxa"/>
            <w:vAlign w:val="center"/>
          </w:tcPr>
          <w:p w14:paraId="0AD0BE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赵家启</w:t>
            </w:r>
          </w:p>
        </w:tc>
        <w:tc>
          <w:tcPr>
            <w:tcW w:w="1158" w:type="dxa"/>
            <w:vAlign w:val="center"/>
          </w:tcPr>
          <w:p w14:paraId="20B4F5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06FABF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0</w:t>
            </w:r>
          </w:p>
        </w:tc>
        <w:tc>
          <w:tcPr>
            <w:tcW w:w="2962" w:type="dxa"/>
            <w:vAlign w:val="center"/>
          </w:tcPr>
          <w:p w14:paraId="08F89A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4F4375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D0CE8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2072" w:type="dxa"/>
            <w:vAlign w:val="center"/>
          </w:tcPr>
          <w:p w14:paraId="117F6B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新赵</w:t>
            </w:r>
          </w:p>
        </w:tc>
        <w:tc>
          <w:tcPr>
            <w:tcW w:w="1158" w:type="dxa"/>
            <w:vAlign w:val="center"/>
          </w:tcPr>
          <w:p w14:paraId="45F9F0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39E694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300</w:t>
            </w:r>
          </w:p>
        </w:tc>
        <w:tc>
          <w:tcPr>
            <w:tcW w:w="2962" w:type="dxa"/>
            <w:vAlign w:val="center"/>
          </w:tcPr>
          <w:p w14:paraId="2E26AC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23812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0ADFA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2072" w:type="dxa"/>
            <w:vAlign w:val="center"/>
          </w:tcPr>
          <w:p w14:paraId="072D86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蔡家湾</w:t>
            </w:r>
          </w:p>
        </w:tc>
        <w:tc>
          <w:tcPr>
            <w:tcW w:w="1158" w:type="dxa"/>
            <w:vAlign w:val="center"/>
          </w:tcPr>
          <w:p w14:paraId="0DB008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722E8C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380</w:t>
            </w:r>
          </w:p>
        </w:tc>
        <w:tc>
          <w:tcPr>
            <w:tcW w:w="2962" w:type="dxa"/>
            <w:vAlign w:val="center"/>
          </w:tcPr>
          <w:p w14:paraId="499DC4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752C52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09328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072" w:type="dxa"/>
            <w:vAlign w:val="center"/>
          </w:tcPr>
          <w:p w14:paraId="484657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蔡家塆</w:t>
            </w:r>
          </w:p>
        </w:tc>
        <w:tc>
          <w:tcPr>
            <w:tcW w:w="1158" w:type="dxa"/>
            <w:vAlign w:val="center"/>
          </w:tcPr>
          <w:p w14:paraId="377C12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4E44F6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0</w:t>
            </w:r>
          </w:p>
        </w:tc>
        <w:tc>
          <w:tcPr>
            <w:tcW w:w="2962" w:type="dxa"/>
            <w:vAlign w:val="center"/>
          </w:tcPr>
          <w:p w14:paraId="1E1083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34F020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09D93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17</w:t>
            </w:r>
          </w:p>
        </w:tc>
        <w:tc>
          <w:tcPr>
            <w:tcW w:w="2072" w:type="dxa"/>
            <w:vAlign w:val="center"/>
          </w:tcPr>
          <w:p w14:paraId="0208CF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刘林塘</w:t>
            </w:r>
          </w:p>
        </w:tc>
        <w:tc>
          <w:tcPr>
            <w:tcW w:w="1158" w:type="dxa"/>
            <w:vAlign w:val="center"/>
          </w:tcPr>
          <w:p w14:paraId="4CC00E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09FEE5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330</w:t>
            </w:r>
          </w:p>
        </w:tc>
        <w:tc>
          <w:tcPr>
            <w:tcW w:w="2962" w:type="dxa"/>
            <w:vAlign w:val="center"/>
          </w:tcPr>
          <w:p w14:paraId="7A7753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4DD32C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C86F8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2072" w:type="dxa"/>
            <w:vAlign w:val="center"/>
          </w:tcPr>
          <w:p w14:paraId="60CCA9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易家柘</w:t>
            </w:r>
          </w:p>
        </w:tc>
        <w:tc>
          <w:tcPr>
            <w:tcW w:w="1158" w:type="dxa"/>
            <w:vAlign w:val="center"/>
          </w:tcPr>
          <w:p w14:paraId="6FC69D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2C2AC2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0</w:t>
            </w:r>
          </w:p>
        </w:tc>
        <w:tc>
          <w:tcPr>
            <w:tcW w:w="2962" w:type="dxa"/>
            <w:vAlign w:val="center"/>
          </w:tcPr>
          <w:p w14:paraId="54BE36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230E28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66AB9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19</w:t>
            </w:r>
          </w:p>
        </w:tc>
        <w:tc>
          <w:tcPr>
            <w:tcW w:w="2072" w:type="dxa"/>
            <w:vAlign w:val="center"/>
          </w:tcPr>
          <w:p w14:paraId="5A8FAF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李闵村</w:t>
            </w:r>
          </w:p>
        </w:tc>
        <w:tc>
          <w:tcPr>
            <w:tcW w:w="1158" w:type="dxa"/>
            <w:vAlign w:val="center"/>
          </w:tcPr>
          <w:p w14:paraId="5B4886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339162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50</w:t>
            </w:r>
          </w:p>
        </w:tc>
        <w:tc>
          <w:tcPr>
            <w:tcW w:w="2962" w:type="dxa"/>
            <w:vAlign w:val="center"/>
          </w:tcPr>
          <w:p w14:paraId="32EF4E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6052B6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32527F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072" w:type="dxa"/>
            <w:vAlign w:val="center"/>
          </w:tcPr>
          <w:p w14:paraId="0F5030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赵咀廖</w:t>
            </w:r>
          </w:p>
        </w:tc>
        <w:tc>
          <w:tcPr>
            <w:tcW w:w="1158" w:type="dxa"/>
            <w:vAlign w:val="center"/>
          </w:tcPr>
          <w:p w14:paraId="37B892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西</w:t>
            </w:r>
          </w:p>
        </w:tc>
        <w:tc>
          <w:tcPr>
            <w:tcW w:w="2962" w:type="dxa"/>
            <w:vAlign w:val="center"/>
          </w:tcPr>
          <w:p w14:paraId="5EF721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150</w:t>
            </w:r>
          </w:p>
        </w:tc>
        <w:tc>
          <w:tcPr>
            <w:tcW w:w="2962" w:type="dxa"/>
            <w:vAlign w:val="center"/>
          </w:tcPr>
          <w:p w14:paraId="42282C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3128E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51B2A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2072" w:type="dxa"/>
            <w:vAlign w:val="center"/>
          </w:tcPr>
          <w:p w14:paraId="1F2E6E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汪家下塆</w:t>
            </w:r>
          </w:p>
        </w:tc>
        <w:tc>
          <w:tcPr>
            <w:tcW w:w="1158" w:type="dxa"/>
            <w:vAlign w:val="center"/>
          </w:tcPr>
          <w:p w14:paraId="1E7937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东</w:t>
            </w:r>
          </w:p>
        </w:tc>
        <w:tc>
          <w:tcPr>
            <w:tcW w:w="2962" w:type="dxa"/>
            <w:vAlign w:val="center"/>
          </w:tcPr>
          <w:p w14:paraId="611211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100</w:t>
            </w:r>
          </w:p>
        </w:tc>
        <w:tc>
          <w:tcPr>
            <w:tcW w:w="2962" w:type="dxa"/>
            <w:vAlign w:val="center"/>
          </w:tcPr>
          <w:p w14:paraId="08BE09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48D9A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3458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072" w:type="dxa"/>
            <w:vAlign w:val="center"/>
          </w:tcPr>
          <w:p w14:paraId="11E178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叶家河</w:t>
            </w:r>
          </w:p>
        </w:tc>
        <w:tc>
          <w:tcPr>
            <w:tcW w:w="1158" w:type="dxa"/>
            <w:vAlign w:val="center"/>
          </w:tcPr>
          <w:p w14:paraId="5D17C8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东</w:t>
            </w:r>
          </w:p>
        </w:tc>
        <w:tc>
          <w:tcPr>
            <w:tcW w:w="2962" w:type="dxa"/>
            <w:vAlign w:val="center"/>
          </w:tcPr>
          <w:p w14:paraId="0AC486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100</w:t>
            </w:r>
          </w:p>
        </w:tc>
        <w:tc>
          <w:tcPr>
            <w:tcW w:w="2962" w:type="dxa"/>
            <w:vAlign w:val="center"/>
          </w:tcPr>
          <w:p w14:paraId="76EB65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41B919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3F535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2072" w:type="dxa"/>
            <w:vAlign w:val="center"/>
          </w:tcPr>
          <w:p w14:paraId="1CC817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宋家塆</w:t>
            </w:r>
          </w:p>
        </w:tc>
        <w:tc>
          <w:tcPr>
            <w:tcW w:w="1158" w:type="dxa"/>
            <w:vAlign w:val="center"/>
          </w:tcPr>
          <w:p w14:paraId="0EF27F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东</w:t>
            </w:r>
          </w:p>
        </w:tc>
        <w:tc>
          <w:tcPr>
            <w:tcW w:w="2962" w:type="dxa"/>
            <w:vAlign w:val="center"/>
          </w:tcPr>
          <w:p w14:paraId="5937E8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400</w:t>
            </w:r>
          </w:p>
        </w:tc>
        <w:tc>
          <w:tcPr>
            <w:tcW w:w="2962" w:type="dxa"/>
            <w:vAlign w:val="center"/>
          </w:tcPr>
          <w:p w14:paraId="26269A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99C66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7AC01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2072" w:type="dxa"/>
            <w:vAlign w:val="center"/>
          </w:tcPr>
          <w:p w14:paraId="250776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毛家湾</w:t>
            </w:r>
          </w:p>
        </w:tc>
        <w:tc>
          <w:tcPr>
            <w:tcW w:w="1158" w:type="dxa"/>
            <w:vAlign w:val="center"/>
          </w:tcPr>
          <w:p w14:paraId="4BA7F5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东</w:t>
            </w:r>
          </w:p>
        </w:tc>
        <w:tc>
          <w:tcPr>
            <w:tcW w:w="2962" w:type="dxa"/>
            <w:vAlign w:val="center"/>
          </w:tcPr>
          <w:p w14:paraId="1003C5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350</w:t>
            </w:r>
          </w:p>
        </w:tc>
        <w:tc>
          <w:tcPr>
            <w:tcW w:w="2962" w:type="dxa"/>
            <w:vAlign w:val="center"/>
          </w:tcPr>
          <w:p w14:paraId="11BE5F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BD91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775E5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2072" w:type="dxa"/>
            <w:vAlign w:val="center"/>
          </w:tcPr>
          <w:p w14:paraId="26133A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郑家塆</w:t>
            </w:r>
          </w:p>
        </w:tc>
        <w:tc>
          <w:tcPr>
            <w:tcW w:w="1158" w:type="dxa"/>
            <w:vAlign w:val="center"/>
          </w:tcPr>
          <w:p w14:paraId="66261E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4CDE6E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0</w:t>
            </w:r>
          </w:p>
        </w:tc>
        <w:tc>
          <w:tcPr>
            <w:tcW w:w="2962" w:type="dxa"/>
            <w:vAlign w:val="center"/>
          </w:tcPr>
          <w:p w14:paraId="586ACA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373601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35FC2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072" w:type="dxa"/>
            <w:vAlign w:val="center"/>
          </w:tcPr>
          <w:p w14:paraId="375BA4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纽家墩</w:t>
            </w:r>
          </w:p>
        </w:tc>
        <w:tc>
          <w:tcPr>
            <w:tcW w:w="1158" w:type="dxa"/>
            <w:vAlign w:val="center"/>
          </w:tcPr>
          <w:p w14:paraId="35F7E4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09E24B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200</w:t>
            </w:r>
          </w:p>
        </w:tc>
        <w:tc>
          <w:tcPr>
            <w:tcW w:w="2962" w:type="dxa"/>
            <w:vAlign w:val="center"/>
          </w:tcPr>
          <w:p w14:paraId="415EF2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072859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054FE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2072" w:type="dxa"/>
            <w:vAlign w:val="center"/>
          </w:tcPr>
          <w:p w14:paraId="113D6A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纽墩小学</w:t>
            </w:r>
          </w:p>
        </w:tc>
        <w:tc>
          <w:tcPr>
            <w:tcW w:w="1158" w:type="dxa"/>
            <w:vAlign w:val="center"/>
          </w:tcPr>
          <w:p w14:paraId="2BE371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082953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200</w:t>
            </w:r>
          </w:p>
        </w:tc>
        <w:tc>
          <w:tcPr>
            <w:tcW w:w="2962" w:type="dxa"/>
            <w:vAlign w:val="center"/>
          </w:tcPr>
          <w:p w14:paraId="588AF2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文化教育</w:t>
            </w:r>
          </w:p>
        </w:tc>
      </w:tr>
      <w:tr w14:paraId="739F6D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5F267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2072" w:type="dxa"/>
            <w:vAlign w:val="center"/>
          </w:tcPr>
          <w:p w14:paraId="3200C0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小胡湾</w:t>
            </w:r>
          </w:p>
        </w:tc>
        <w:tc>
          <w:tcPr>
            <w:tcW w:w="1158" w:type="dxa"/>
            <w:vAlign w:val="center"/>
          </w:tcPr>
          <w:p w14:paraId="7A3863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6183D7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150</w:t>
            </w:r>
          </w:p>
        </w:tc>
        <w:tc>
          <w:tcPr>
            <w:tcW w:w="2962" w:type="dxa"/>
            <w:vAlign w:val="center"/>
          </w:tcPr>
          <w:p w14:paraId="3FC9C7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2553DB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D0509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2072" w:type="dxa"/>
            <w:vAlign w:val="center"/>
          </w:tcPr>
          <w:p w14:paraId="36A233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郭垱小学</w:t>
            </w:r>
          </w:p>
        </w:tc>
        <w:tc>
          <w:tcPr>
            <w:tcW w:w="1158" w:type="dxa"/>
            <w:vAlign w:val="center"/>
          </w:tcPr>
          <w:p w14:paraId="4B2732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3E90A6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50</w:t>
            </w:r>
          </w:p>
        </w:tc>
        <w:tc>
          <w:tcPr>
            <w:tcW w:w="2962" w:type="dxa"/>
            <w:vAlign w:val="center"/>
          </w:tcPr>
          <w:p w14:paraId="0690B4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文化教育</w:t>
            </w:r>
          </w:p>
        </w:tc>
      </w:tr>
      <w:tr w14:paraId="688AA4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772D5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2072" w:type="dxa"/>
            <w:vAlign w:val="center"/>
          </w:tcPr>
          <w:p w14:paraId="732F4E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郭垱村</w:t>
            </w:r>
          </w:p>
        </w:tc>
        <w:tc>
          <w:tcPr>
            <w:tcW w:w="1158" w:type="dxa"/>
            <w:vAlign w:val="center"/>
          </w:tcPr>
          <w:p w14:paraId="6F352F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1AB04E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150</w:t>
            </w:r>
          </w:p>
        </w:tc>
        <w:tc>
          <w:tcPr>
            <w:tcW w:w="2962" w:type="dxa"/>
            <w:vAlign w:val="center"/>
          </w:tcPr>
          <w:p w14:paraId="6EF2CF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7DD1F9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C4A73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31</w:t>
            </w:r>
          </w:p>
        </w:tc>
        <w:tc>
          <w:tcPr>
            <w:tcW w:w="2072" w:type="dxa"/>
            <w:vAlign w:val="center"/>
          </w:tcPr>
          <w:p w14:paraId="689DB4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王家塆</w:t>
            </w:r>
          </w:p>
        </w:tc>
        <w:tc>
          <w:tcPr>
            <w:tcW w:w="1158" w:type="dxa"/>
            <w:vAlign w:val="center"/>
          </w:tcPr>
          <w:p w14:paraId="567A72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622C12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380</w:t>
            </w:r>
          </w:p>
        </w:tc>
        <w:tc>
          <w:tcPr>
            <w:tcW w:w="2962" w:type="dxa"/>
            <w:vAlign w:val="center"/>
          </w:tcPr>
          <w:p w14:paraId="2DEEDB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57CA6C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E0F81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32</w:t>
            </w:r>
          </w:p>
        </w:tc>
        <w:tc>
          <w:tcPr>
            <w:tcW w:w="2072" w:type="dxa"/>
            <w:vAlign w:val="center"/>
          </w:tcPr>
          <w:p w14:paraId="5CC866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金家畈</w:t>
            </w:r>
          </w:p>
        </w:tc>
        <w:tc>
          <w:tcPr>
            <w:tcW w:w="1158" w:type="dxa"/>
            <w:vAlign w:val="center"/>
          </w:tcPr>
          <w:p w14:paraId="120622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23C6AB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310</w:t>
            </w:r>
          </w:p>
        </w:tc>
        <w:tc>
          <w:tcPr>
            <w:tcW w:w="2962" w:type="dxa"/>
            <w:vAlign w:val="center"/>
          </w:tcPr>
          <w:p w14:paraId="6A34BD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070D2E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268546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33</w:t>
            </w:r>
          </w:p>
        </w:tc>
        <w:tc>
          <w:tcPr>
            <w:tcW w:w="2072" w:type="dxa"/>
            <w:vAlign w:val="center"/>
          </w:tcPr>
          <w:p w14:paraId="2858F1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何桥村</w:t>
            </w:r>
          </w:p>
        </w:tc>
        <w:tc>
          <w:tcPr>
            <w:tcW w:w="1158" w:type="dxa"/>
            <w:vAlign w:val="center"/>
          </w:tcPr>
          <w:p w14:paraId="70A602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6A1472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120</w:t>
            </w:r>
          </w:p>
        </w:tc>
        <w:tc>
          <w:tcPr>
            <w:tcW w:w="2962" w:type="dxa"/>
            <w:vAlign w:val="center"/>
          </w:tcPr>
          <w:p w14:paraId="2CC2E2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196DB5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167C8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2072" w:type="dxa"/>
            <w:vAlign w:val="center"/>
          </w:tcPr>
          <w:p w14:paraId="043DC4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2"/>
                <w:szCs w:val="22"/>
                <w:highlight w:val="none"/>
                <w:u w:val="none"/>
                <w:lang w:val="en-US" w:eastAsia="zh-CN" w:bidi="ar"/>
              </w:rPr>
              <w:t>鄂州市经贸学校</w:t>
            </w:r>
          </w:p>
        </w:tc>
        <w:tc>
          <w:tcPr>
            <w:tcW w:w="1158" w:type="dxa"/>
            <w:vAlign w:val="center"/>
          </w:tcPr>
          <w:p w14:paraId="5460F7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473BB7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i w:val="0"/>
                <w:color w:val="auto"/>
                <w:kern w:val="0"/>
                <w:sz w:val="22"/>
                <w:szCs w:val="22"/>
                <w:highlight w:val="none"/>
                <w:u w:val="none"/>
                <w:lang w:val="en-US" w:eastAsia="zh-CN" w:bidi="ar"/>
              </w:rPr>
              <w:t>0</w:t>
            </w:r>
          </w:p>
        </w:tc>
        <w:tc>
          <w:tcPr>
            <w:tcW w:w="2962" w:type="dxa"/>
            <w:vAlign w:val="center"/>
          </w:tcPr>
          <w:p w14:paraId="77EF29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文化教育</w:t>
            </w:r>
          </w:p>
        </w:tc>
      </w:tr>
      <w:tr w14:paraId="31F210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0A2884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2072" w:type="dxa"/>
            <w:vAlign w:val="center"/>
          </w:tcPr>
          <w:p w14:paraId="692A84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横山社区</w:t>
            </w:r>
          </w:p>
        </w:tc>
        <w:tc>
          <w:tcPr>
            <w:tcW w:w="1158" w:type="dxa"/>
            <w:vAlign w:val="center"/>
          </w:tcPr>
          <w:p w14:paraId="280181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5EA655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150</w:t>
            </w:r>
          </w:p>
        </w:tc>
        <w:tc>
          <w:tcPr>
            <w:tcW w:w="2962" w:type="dxa"/>
            <w:vAlign w:val="center"/>
          </w:tcPr>
          <w:p w14:paraId="0DF209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居住</w:t>
            </w:r>
          </w:p>
        </w:tc>
      </w:tr>
      <w:tr w14:paraId="0F779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7DA117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36</w:t>
            </w:r>
          </w:p>
        </w:tc>
        <w:tc>
          <w:tcPr>
            <w:tcW w:w="2072" w:type="dxa"/>
            <w:vAlign w:val="center"/>
          </w:tcPr>
          <w:p w14:paraId="74408D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横山社区幼儿园</w:t>
            </w:r>
          </w:p>
        </w:tc>
        <w:tc>
          <w:tcPr>
            <w:tcW w:w="1158" w:type="dxa"/>
            <w:vAlign w:val="center"/>
          </w:tcPr>
          <w:p w14:paraId="57628C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南</w:t>
            </w:r>
          </w:p>
        </w:tc>
        <w:tc>
          <w:tcPr>
            <w:tcW w:w="2962" w:type="dxa"/>
            <w:vAlign w:val="center"/>
          </w:tcPr>
          <w:p w14:paraId="1F14CA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180</w:t>
            </w:r>
          </w:p>
        </w:tc>
        <w:tc>
          <w:tcPr>
            <w:tcW w:w="2962" w:type="dxa"/>
            <w:vAlign w:val="center"/>
          </w:tcPr>
          <w:p w14:paraId="15B914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文化教育</w:t>
            </w:r>
          </w:p>
        </w:tc>
      </w:tr>
      <w:tr w14:paraId="56763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5333B5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37</w:t>
            </w:r>
          </w:p>
        </w:tc>
        <w:tc>
          <w:tcPr>
            <w:tcW w:w="2072" w:type="dxa"/>
            <w:vAlign w:val="center"/>
          </w:tcPr>
          <w:p w14:paraId="228FCC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长江（鄂州段）</w:t>
            </w:r>
          </w:p>
        </w:tc>
        <w:tc>
          <w:tcPr>
            <w:tcW w:w="1158" w:type="dxa"/>
            <w:vAlign w:val="center"/>
          </w:tcPr>
          <w:p w14:paraId="42C417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东</w:t>
            </w:r>
          </w:p>
        </w:tc>
        <w:tc>
          <w:tcPr>
            <w:tcW w:w="2962" w:type="dxa"/>
            <w:vAlign w:val="center"/>
          </w:tcPr>
          <w:p w14:paraId="45BC72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0</w:t>
            </w:r>
          </w:p>
        </w:tc>
        <w:tc>
          <w:tcPr>
            <w:tcW w:w="2962" w:type="dxa"/>
            <w:vAlign w:val="center"/>
          </w:tcPr>
          <w:p w14:paraId="5E2BCE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地表水</w:t>
            </w:r>
          </w:p>
        </w:tc>
      </w:tr>
      <w:tr w14:paraId="3605E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D8710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38</w:t>
            </w:r>
          </w:p>
        </w:tc>
        <w:tc>
          <w:tcPr>
            <w:tcW w:w="2072" w:type="dxa"/>
            <w:vAlign w:val="center"/>
          </w:tcPr>
          <w:p w14:paraId="5EB9B7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长江（鄂州段）</w:t>
            </w:r>
          </w:p>
        </w:tc>
        <w:tc>
          <w:tcPr>
            <w:tcW w:w="1158" w:type="dxa"/>
            <w:vAlign w:val="center"/>
          </w:tcPr>
          <w:p w14:paraId="5D6FD7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北</w:t>
            </w:r>
          </w:p>
        </w:tc>
        <w:tc>
          <w:tcPr>
            <w:tcW w:w="2962" w:type="dxa"/>
            <w:vAlign w:val="center"/>
          </w:tcPr>
          <w:p w14:paraId="3EA491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0</w:t>
            </w:r>
          </w:p>
        </w:tc>
        <w:tc>
          <w:tcPr>
            <w:tcW w:w="2962" w:type="dxa"/>
            <w:vAlign w:val="center"/>
          </w:tcPr>
          <w:p w14:paraId="748861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地表水</w:t>
            </w:r>
          </w:p>
        </w:tc>
      </w:tr>
      <w:tr w14:paraId="033F11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6C8619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39</w:t>
            </w:r>
          </w:p>
        </w:tc>
        <w:tc>
          <w:tcPr>
            <w:tcW w:w="2072" w:type="dxa"/>
            <w:vAlign w:val="center"/>
          </w:tcPr>
          <w:p w14:paraId="7999B3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五四湖</w:t>
            </w:r>
          </w:p>
        </w:tc>
        <w:tc>
          <w:tcPr>
            <w:tcW w:w="1158" w:type="dxa"/>
            <w:vAlign w:val="center"/>
          </w:tcPr>
          <w:p w14:paraId="704637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西</w:t>
            </w:r>
          </w:p>
        </w:tc>
        <w:tc>
          <w:tcPr>
            <w:tcW w:w="2962" w:type="dxa"/>
            <w:vAlign w:val="center"/>
          </w:tcPr>
          <w:p w14:paraId="473721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0</w:t>
            </w:r>
          </w:p>
        </w:tc>
        <w:tc>
          <w:tcPr>
            <w:tcW w:w="2962" w:type="dxa"/>
            <w:vAlign w:val="center"/>
          </w:tcPr>
          <w:p w14:paraId="0101C4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地表水</w:t>
            </w:r>
          </w:p>
        </w:tc>
      </w:tr>
    </w:tbl>
    <w:p w14:paraId="4B869DED">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规划定位</w:t>
      </w:r>
    </w:p>
    <w:p w14:paraId="7FFCEEB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鄂州市城乡总体规划》（2011-2020），鄂州市通过多条通道的联接，形成西联东湖高新区、北湖化工区，东接黄石老工业基地的葛店开发区、华容创业园区、三江港经济区、鄂州经济开发区、城东产业园区（鄂城新区）、花湖开发区“一线串六园区”的沿江综合产业走廊。其中，三江港经济区重点发展冶金、机械制造、石化、建材。</w:t>
      </w:r>
    </w:p>
    <w:p w14:paraId="6224EF57">
      <w:pPr>
        <w:pStyle w:val="31"/>
        <w:keepNext w:val="0"/>
        <w:keepLines w:val="0"/>
        <w:pageBreakBefore w:val="0"/>
        <w:widowControl w:val="0"/>
        <w:kinsoku/>
        <w:wordWrap/>
        <w:overflowPunct/>
        <w:topLinePunct w:val="0"/>
        <w:autoSpaceDE/>
        <w:autoSpaceDN/>
        <w:bidi w:val="0"/>
        <w:adjustRightInd/>
        <w:snapToGrid/>
        <w:spacing w:after="0" w:line="360" w:lineRule="auto"/>
        <w:ind w:firstLine="48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kern w:val="0"/>
          <w:sz w:val="24"/>
          <w:highlight w:val="none"/>
          <w:lang w:val="en-US" w:eastAsia="zh-CN"/>
        </w:rPr>
        <w:t>鄂州市远景城乡产业结构图见附图3。</w:t>
      </w:r>
      <w:r>
        <w:rPr>
          <w:rFonts w:hint="default" w:ascii="Times New Roman" w:hAnsi="Times New Roman" w:cs="Times New Roman"/>
          <w:bCs/>
          <w:caps/>
          <w:color w:val="auto"/>
          <w:szCs w:val="24"/>
          <w:highlight w:val="none"/>
          <w:lang w:val="en-US" w:eastAsia="zh-CN"/>
        </w:rPr>
        <w:t>鄂州市三江港新区总体规划</w:t>
      </w:r>
      <w:r>
        <w:rPr>
          <w:rFonts w:hint="eastAsia"/>
          <w:lang w:eastAsia="zh-CN"/>
        </w:rPr>
        <w:t>（</w:t>
      </w:r>
      <w:r>
        <w:rPr>
          <w:rFonts w:hint="eastAsia"/>
          <w:lang w:val="en-US" w:eastAsia="zh-CN"/>
        </w:rPr>
        <w:t>2013-2030</w:t>
      </w:r>
      <w:r>
        <w:rPr>
          <w:rFonts w:hint="eastAsia"/>
          <w:lang w:eastAsia="zh-CN"/>
        </w:rPr>
        <w:t>）——</w:t>
      </w:r>
      <w:r>
        <w:rPr>
          <w:rFonts w:hint="eastAsia"/>
          <w:lang w:val="en-US" w:eastAsia="zh-CN"/>
        </w:rPr>
        <w:t>土地使用规划图</w:t>
      </w:r>
      <w:r>
        <w:rPr>
          <w:rFonts w:hint="default" w:ascii="Times New Roman" w:hAnsi="Times New Roman" w:cs="Times New Roman"/>
          <w:color w:val="auto"/>
          <w:kern w:val="0"/>
          <w:sz w:val="24"/>
          <w:highlight w:val="none"/>
          <w:lang w:val="en-US" w:eastAsia="zh-CN"/>
        </w:rPr>
        <w:t>见附图4。</w:t>
      </w:r>
    </w:p>
    <w:p w14:paraId="131860C7">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园区土地利用现状</w:t>
      </w:r>
    </w:p>
    <w:p w14:paraId="39C9FAA1">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现场踏勘和谷歌卫片图，园区内大部分范围尚未开发，主要为村落和农田、湖泊。企业主要在园区的中部沿S38黄鄂高速分布、园区东部沿江分布、园区南部沿S7武鄂高速分布。已建成企业聚集区内主要企业情况如表2-2-2所示，已建成企业</w:t>
      </w:r>
      <w:r>
        <w:rPr>
          <w:rFonts w:hint="eastAsia" w:cs="Times New Roman"/>
          <w:color w:val="auto"/>
          <w:kern w:val="0"/>
          <w:sz w:val="24"/>
          <w:highlight w:val="none"/>
          <w:lang w:val="en-US" w:eastAsia="zh-CN"/>
        </w:rPr>
        <w:t>聚集区及典型企业</w:t>
      </w:r>
      <w:r>
        <w:rPr>
          <w:rFonts w:hint="default" w:ascii="Times New Roman" w:hAnsi="Times New Roman" w:cs="Times New Roman"/>
          <w:color w:val="auto"/>
          <w:kern w:val="0"/>
          <w:sz w:val="24"/>
          <w:highlight w:val="none"/>
          <w:lang w:val="en-US" w:eastAsia="zh-CN"/>
        </w:rPr>
        <w:t>分布图见附图5。</w:t>
      </w:r>
    </w:p>
    <w:p w14:paraId="39E6281A">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表2-2-2 园区内主要已建成企业情况一览表</w:t>
      </w:r>
    </w:p>
    <w:tbl>
      <w:tblPr>
        <w:tblStyle w:val="2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760"/>
        <w:gridCol w:w="1744"/>
        <w:gridCol w:w="5632"/>
      </w:tblGrid>
      <w:tr w14:paraId="27FA0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64" w:type="pct"/>
            <w:tcBorders>
              <w:bottom w:val="single" w:color="auto" w:sz="12" w:space="0"/>
            </w:tcBorders>
            <w:vAlign w:val="center"/>
          </w:tcPr>
          <w:p w14:paraId="5F2FB86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编号</w:t>
            </w:r>
          </w:p>
        </w:tc>
        <w:tc>
          <w:tcPr>
            <w:tcW w:w="893" w:type="pct"/>
            <w:tcBorders>
              <w:bottom w:val="single" w:color="auto" w:sz="12" w:space="0"/>
            </w:tcBorders>
            <w:vAlign w:val="center"/>
          </w:tcPr>
          <w:p w14:paraId="19952F0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主要企业名称</w:t>
            </w:r>
          </w:p>
        </w:tc>
        <w:tc>
          <w:tcPr>
            <w:tcW w:w="885" w:type="pct"/>
            <w:tcBorders>
              <w:bottom w:val="single" w:color="auto" w:sz="12" w:space="0"/>
            </w:tcBorders>
            <w:vAlign w:val="center"/>
          </w:tcPr>
          <w:p w14:paraId="5B84FC7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企业位置</w:t>
            </w:r>
            <w:r>
              <w:rPr>
                <w:rFonts w:hint="default" w:ascii="Times New Roman" w:hAnsi="Times New Roman" w:cs="Times New Roman"/>
                <w:b/>
                <w:bCs/>
                <w:color w:val="auto"/>
                <w:sz w:val="21"/>
                <w:szCs w:val="21"/>
                <w:highlight w:val="none"/>
                <w:vertAlign w:val="superscript"/>
                <w:lang w:val="en-US" w:eastAsia="zh-CN"/>
              </w:rPr>
              <w:t>①</w:t>
            </w:r>
          </w:p>
        </w:tc>
        <w:tc>
          <w:tcPr>
            <w:tcW w:w="2857" w:type="pct"/>
            <w:tcBorders>
              <w:bottom w:val="single" w:color="auto" w:sz="12" w:space="0"/>
            </w:tcBorders>
            <w:vAlign w:val="center"/>
          </w:tcPr>
          <w:p w14:paraId="1299C75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主要经营范围</w:t>
            </w:r>
            <w:r>
              <w:rPr>
                <w:rFonts w:hint="default" w:ascii="Times New Roman" w:hAnsi="Times New Roman" w:cs="Times New Roman"/>
                <w:b/>
                <w:bCs/>
                <w:color w:val="auto"/>
                <w:sz w:val="21"/>
                <w:szCs w:val="21"/>
                <w:highlight w:val="none"/>
                <w:vertAlign w:val="superscript"/>
                <w:lang w:val="en-US" w:eastAsia="zh-CN"/>
              </w:rPr>
              <w:t>①</w:t>
            </w:r>
          </w:p>
        </w:tc>
      </w:tr>
      <w:tr w14:paraId="403BB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top w:val="single" w:color="auto" w:sz="12" w:space="0"/>
            </w:tcBorders>
            <w:vAlign w:val="center"/>
          </w:tcPr>
          <w:p w14:paraId="2425EC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893" w:type="pct"/>
            <w:tcBorders>
              <w:top w:val="single" w:color="auto" w:sz="12" w:space="0"/>
            </w:tcBorders>
            <w:vAlign w:val="center"/>
          </w:tcPr>
          <w:p w14:paraId="0A75526B">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鄂州市坤劲商贸有限公司</w:t>
            </w:r>
          </w:p>
        </w:tc>
        <w:tc>
          <w:tcPr>
            <w:tcW w:w="885" w:type="pct"/>
            <w:tcBorders>
              <w:top w:val="single" w:color="auto" w:sz="12" w:space="0"/>
            </w:tcBorders>
            <w:vAlign w:val="center"/>
          </w:tcPr>
          <w:p w14:paraId="77103AA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鄂州市华容区蒲团乡大庙村</w:t>
            </w:r>
          </w:p>
        </w:tc>
        <w:tc>
          <w:tcPr>
            <w:tcW w:w="2857" w:type="pct"/>
            <w:tcBorders>
              <w:top w:val="single" w:color="auto" w:sz="12" w:space="0"/>
            </w:tcBorders>
            <w:vAlign w:val="center"/>
          </w:tcPr>
          <w:p w14:paraId="0930A1E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粮食及其它初级农产品（含高粱、芝麻、黄豆）收购、储存、初加工、销售；油料及初级农产品收购、储存、销售；销售：大</w:t>
            </w:r>
            <w:r>
              <w:rPr>
                <w:rFonts w:hint="eastAsia" w:cs="Times New Roman"/>
                <w:i w:val="0"/>
                <w:color w:val="auto"/>
                <w:kern w:val="0"/>
                <w:sz w:val="21"/>
                <w:szCs w:val="21"/>
                <w:highlight w:val="none"/>
                <w:u w:val="none"/>
                <w:lang w:val="en-US" w:eastAsia="zh-CN" w:bidi="ar"/>
              </w:rPr>
              <w:t>米</w:t>
            </w:r>
            <w:r>
              <w:rPr>
                <w:rFonts w:hint="default" w:ascii="Times New Roman" w:hAnsi="Times New Roman" w:eastAsia="宋体" w:cs="Times New Roman"/>
                <w:i w:val="0"/>
                <w:color w:val="auto"/>
                <w:kern w:val="0"/>
                <w:sz w:val="21"/>
                <w:szCs w:val="21"/>
                <w:highlight w:val="none"/>
                <w:u w:val="none"/>
                <w:lang w:val="en-US" w:eastAsia="zh-CN" w:bidi="ar"/>
              </w:rPr>
              <w:t>、食用油、面粉、面条。</w:t>
            </w:r>
          </w:p>
        </w:tc>
      </w:tr>
      <w:tr w14:paraId="3A483B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6161D4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893" w:type="pct"/>
            <w:vAlign w:val="center"/>
          </w:tcPr>
          <w:p w14:paraId="4F128A2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中国电建集团山东电力管道工程有限公司湖北管片厂</w:t>
            </w:r>
          </w:p>
        </w:tc>
        <w:tc>
          <w:tcPr>
            <w:tcW w:w="885" w:type="pct"/>
            <w:vAlign w:val="center"/>
          </w:tcPr>
          <w:p w14:paraId="172BD82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鄂州市华容区蒲团乡大庙村</w:t>
            </w:r>
          </w:p>
        </w:tc>
        <w:tc>
          <w:tcPr>
            <w:tcW w:w="2857" w:type="pct"/>
            <w:vAlign w:val="center"/>
          </w:tcPr>
          <w:p w14:paraId="4B44EA70">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预应力钢筒混凝土管、普通混凝土管、输水管、顶管、套管</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制造管件预应力管桩、混凝土结构构件及混凝土制品</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地铁管片、轨枕、桥梁、综合管廊</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塑料管材、玻璃钢管、压力钢管及钢岔管、燃气管道、热力管道的制造、安装</w:t>
            </w:r>
            <w:r>
              <w:rPr>
                <w:rFonts w:hint="default" w:ascii="Times New Roman" w:hAnsi="Times New Roman" w:cs="Times New Roman"/>
                <w:i w:val="0"/>
                <w:color w:val="auto"/>
                <w:kern w:val="0"/>
                <w:sz w:val="21"/>
                <w:szCs w:val="21"/>
                <w:highlight w:val="none"/>
                <w:u w:val="none"/>
                <w:lang w:val="en-US" w:eastAsia="zh-CN" w:bidi="ar"/>
              </w:rPr>
              <w:t>。</w:t>
            </w:r>
          </w:p>
        </w:tc>
      </w:tr>
      <w:tr w14:paraId="10463F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2A090C6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893" w:type="pct"/>
            <w:vAlign w:val="center"/>
          </w:tcPr>
          <w:p w14:paraId="0F71AE61">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鄂州市泳拓工贸有限公司</w:t>
            </w:r>
          </w:p>
        </w:tc>
        <w:tc>
          <w:tcPr>
            <w:tcW w:w="885" w:type="pct"/>
            <w:vAlign w:val="center"/>
          </w:tcPr>
          <w:p w14:paraId="4948B38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鄂州市华容区蒲团乡小庙村九组</w:t>
            </w:r>
          </w:p>
        </w:tc>
        <w:tc>
          <w:tcPr>
            <w:tcW w:w="2857" w:type="pct"/>
            <w:vAlign w:val="center"/>
          </w:tcPr>
          <w:p w14:paraId="41E3EE2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金属结构件、五金配件、铁艺门窗加工、销售；废旧金属回收、销售；销售：建筑材料、金属材料。</w:t>
            </w:r>
          </w:p>
        </w:tc>
      </w:tr>
      <w:tr w14:paraId="505720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5503883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893" w:type="pct"/>
            <w:vAlign w:val="center"/>
          </w:tcPr>
          <w:p w14:paraId="7B2E639F">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鄂州市枫叶红新型建材厂</w:t>
            </w:r>
          </w:p>
        </w:tc>
        <w:tc>
          <w:tcPr>
            <w:tcW w:w="885" w:type="pct"/>
            <w:vAlign w:val="center"/>
          </w:tcPr>
          <w:p w14:paraId="17AFE42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鄂州市华容区临江乡崔汤村</w:t>
            </w:r>
          </w:p>
        </w:tc>
        <w:tc>
          <w:tcPr>
            <w:tcW w:w="2857" w:type="pct"/>
            <w:vAlign w:val="center"/>
          </w:tcPr>
          <w:p w14:paraId="5ACD582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混凝土路面砖、路缘石、墙面砖及人造文化石等建材的研发、生产、施工及销售。</w:t>
            </w:r>
          </w:p>
        </w:tc>
      </w:tr>
      <w:tr w14:paraId="5F94ED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auto"/>
            <w:vAlign w:val="center"/>
          </w:tcPr>
          <w:p w14:paraId="535968D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893" w:type="pct"/>
            <w:shd w:val="clear" w:color="auto" w:fill="auto"/>
            <w:vAlign w:val="center"/>
          </w:tcPr>
          <w:p w14:paraId="403D14E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湖北合力久盛混凝土有限公司</w:t>
            </w:r>
          </w:p>
        </w:tc>
        <w:tc>
          <w:tcPr>
            <w:tcW w:w="885" w:type="pct"/>
            <w:shd w:val="clear" w:color="auto" w:fill="auto"/>
            <w:vAlign w:val="center"/>
          </w:tcPr>
          <w:p w14:paraId="041AD95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鄂州市华容区临江乡崔汤村</w:t>
            </w:r>
          </w:p>
        </w:tc>
        <w:tc>
          <w:tcPr>
            <w:tcW w:w="2857" w:type="pct"/>
            <w:shd w:val="clear" w:color="auto" w:fill="auto"/>
            <w:vAlign w:val="center"/>
          </w:tcPr>
          <w:p w14:paraId="67ED24EF">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生产、销售：商品混凝土、混凝土外加剂（不含危险化学品）；销售：建筑材料、金属材料、机电产品、五金配件。</w:t>
            </w:r>
          </w:p>
        </w:tc>
      </w:tr>
      <w:tr w14:paraId="12742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47352C7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893" w:type="pct"/>
            <w:vAlign w:val="center"/>
          </w:tcPr>
          <w:p w14:paraId="25F7220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鄂州市华源商品混凝土有限公司</w:t>
            </w:r>
          </w:p>
        </w:tc>
        <w:tc>
          <w:tcPr>
            <w:tcW w:w="885" w:type="pct"/>
            <w:vAlign w:val="center"/>
          </w:tcPr>
          <w:p w14:paraId="441E5DF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鄂州市华容区临江乡崔汤村</w:t>
            </w:r>
          </w:p>
        </w:tc>
        <w:tc>
          <w:tcPr>
            <w:tcW w:w="2857" w:type="pct"/>
            <w:vAlign w:val="center"/>
          </w:tcPr>
          <w:p w14:paraId="0646884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商品混凝土、混凝土外加剂（不含危险化学品）；销售：建筑材料、金属材料、机电产品、五金配件。</w:t>
            </w:r>
          </w:p>
        </w:tc>
      </w:tr>
      <w:tr w14:paraId="0D73B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5E74AEE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893" w:type="pct"/>
            <w:vAlign w:val="center"/>
          </w:tcPr>
          <w:p w14:paraId="23960F1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湖北永浩铸业科技股份有限公司</w:t>
            </w:r>
          </w:p>
        </w:tc>
        <w:tc>
          <w:tcPr>
            <w:tcW w:w="885" w:type="pct"/>
            <w:vAlign w:val="center"/>
          </w:tcPr>
          <w:p w14:paraId="161BACF1">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鄂州市华容区临江乡新港村</w:t>
            </w:r>
          </w:p>
        </w:tc>
        <w:tc>
          <w:tcPr>
            <w:tcW w:w="2857" w:type="pct"/>
            <w:vAlign w:val="center"/>
          </w:tcPr>
          <w:p w14:paraId="292AB088">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铸造件加工、销售；铸业制造件技术研发；计算机软件产品开发及销售；机械设备及技术进出口业务（国家限定公司经营或禁止进出口的商品及技术除外）；普通机械设备零配件加工；销售：煤炭、矿产品、彩砖、化工产品（不含化学危险品）、钢渣、金属材料、建筑材料、焦碳、五金、交电、水暖器材、机电设备。</w:t>
            </w:r>
          </w:p>
        </w:tc>
      </w:tr>
      <w:tr w14:paraId="309C4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724EC1E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893" w:type="pct"/>
            <w:vAlign w:val="center"/>
          </w:tcPr>
          <w:p w14:paraId="4BA4672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湖北楚藩水泥制造有限公司</w:t>
            </w:r>
          </w:p>
        </w:tc>
        <w:tc>
          <w:tcPr>
            <w:tcW w:w="885" w:type="pct"/>
            <w:vAlign w:val="center"/>
          </w:tcPr>
          <w:p w14:paraId="1EB55928">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湖北省鄂州市华容区华容镇华蒲路</w:t>
            </w:r>
          </w:p>
        </w:tc>
        <w:tc>
          <w:tcPr>
            <w:tcW w:w="2857" w:type="pct"/>
            <w:vAlign w:val="center"/>
          </w:tcPr>
          <w:p w14:paraId="3088AD2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干混砂浆、湿拌砂浆及水泥粉磨生产、销售；销售：建筑材料。</w:t>
            </w:r>
          </w:p>
        </w:tc>
      </w:tr>
      <w:tr w14:paraId="42CDBA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2343C45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893" w:type="pct"/>
            <w:vAlign w:val="center"/>
          </w:tcPr>
          <w:p w14:paraId="5DC96F5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鄂州市强山水泥制品有限公司</w:t>
            </w:r>
          </w:p>
        </w:tc>
        <w:tc>
          <w:tcPr>
            <w:tcW w:w="885" w:type="pct"/>
            <w:vAlign w:val="center"/>
          </w:tcPr>
          <w:p w14:paraId="395A3C51">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鄂州市华容区华蒲路熊皮村十三组</w:t>
            </w:r>
          </w:p>
        </w:tc>
        <w:tc>
          <w:tcPr>
            <w:tcW w:w="2857" w:type="pct"/>
            <w:vAlign w:val="center"/>
          </w:tcPr>
          <w:p w14:paraId="63DFA0D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销售：建筑材料、油木竿、金属材料、五金交电、装饰材料、机电产品；对工程建设、物资贸易、园林建筑、农业基础设施项目的投资。</w:t>
            </w:r>
          </w:p>
        </w:tc>
      </w:tr>
      <w:tr w14:paraId="504B4D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37BD935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893" w:type="pct"/>
            <w:vAlign w:val="center"/>
          </w:tcPr>
          <w:p w14:paraId="33F5CE1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湖北世顺泽环保科技有限公司</w:t>
            </w:r>
          </w:p>
        </w:tc>
        <w:tc>
          <w:tcPr>
            <w:tcW w:w="885" w:type="pct"/>
            <w:vAlign w:val="center"/>
          </w:tcPr>
          <w:p w14:paraId="786DFDC8">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鄂州市华容区华容镇柴汤村十三组华蒲路特一号</w:t>
            </w:r>
          </w:p>
        </w:tc>
        <w:tc>
          <w:tcPr>
            <w:tcW w:w="2857" w:type="pct"/>
            <w:vAlign w:val="center"/>
          </w:tcPr>
          <w:p w14:paraId="104B800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脱硫石膏处理；脱硫石膏的技术研发及销售；销售：建筑材料、水泥、钢材、五金水暖、装饰装潢材料、保温材料、防水材料。</w:t>
            </w:r>
          </w:p>
        </w:tc>
      </w:tr>
      <w:tr w14:paraId="1C4BB7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1925F0E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893" w:type="pct"/>
            <w:vAlign w:val="center"/>
          </w:tcPr>
          <w:p w14:paraId="2F4553C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湖北鸿茂矿渣微粉有限公司</w:t>
            </w:r>
          </w:p>
        </w:tc>
        <w:tc>
          <w:tcPr>
            <w:tcW w:w="885" w:type="pct"/>
            <w:vAlign w:val="center"/>
          </w:tcPr>
          <w:p w14:paraId="1D887FF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鄂州市华容镇楚藩路</w:t>
            </w:r>
          </w:p>
        </w:tc>
        <w:tc>
          <w:tcPr>
            <w:tcW w:w="2857" w:type="pct"/>
            <w:vAlign w:val="center"/>
          </w:tcPr>
          <w:p w14:paraId="2F5FD36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矿渣微粉研发、生产、销售；砂石加工、销售；干混砂浆生产、销售；复合材料及新型建材的研发、销售及技术推广服务；工程管理服务；混凝土膨胀剂、混凝土防水剂、防水建筑材料、涂料（不含危险化学品）、灌浆料、装配式建筑材料的生产、销售。</w:t>
            </w:r>
          </w:p>
        </w:tc>
      </w:tr>
      <w:tr w14:paraId="06221D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0CEC1C2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893" w:type="pct"/>
            <w:vAlign w:val="center"/>
          </w:tcPr>
          <w:p w14:paraId="2D3939D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湖北凌鑫节能环保科技有限责任公司</w:t>
            </w:r>
          </w:p>
        </w:tc>
        <w:tc>
          <w:tcPr>
            <w:tcW w:w="885" w:type="pct"/>
            <w:vAlign w:val="center"/>
          </w:tcPr>
          <w:p w14:paraId="2E5AE5D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鄂州市华容区段店镇孙彭村</w:t>
            </w:r>
          </w:p>
        </w:tc>
        <w:tc>
          <w:tcPr>
            <w:tcW w:w="2857" w:type="pct"/>
            <w:vAlign w:val="center"/>
          </w:tcPr>
          <w:p w14:paraId="1DC8B4F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生产：（预拌）干混砂浆；销售：建筑材料、干混沙浆。</w:t>
            </w:r>
          </w:p>
        </w:tc>
      </w:tr>
      <w:tr w14:paraId="65A417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17F1352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893" w:type="pct"/>
            <w:vAlign w:val="center"/>
          </w:tcPr>
          <w:p w14:paraId="118697D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鄂州重春新型建材有限责任公司</w:t>
            </w:r>
          </w:p>
        </w:tc>
        <w:tc>
          <w:tcPr>
            <w:tcW w:w="885" w:type="pct"/>
            <w:vAlign w:val="center"/>
          </w:tcPr>
          <w:p w14:paraId="0D8C27D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鄂州华容段店孙彭村李家岗</w:t>
            </w:r>
          </w:p>
        </w:tc>
        <w:tc>
          <w:tcPr>
            <w:tcW w:w="2857" w:type="pct"/>
            <w:vAlign w:val="center"/>
          </w:tcPr>
          <w:p w14:paraId="40E2432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生产、销售：加气块、灰砂砖；销售：预拌干混砂浆。</w:t>
            </w:r>
          </w:p>
        </w:tc>
      </w:tr>
      <w:tr w14:paraId="239427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E7E6E6" w:themeFill="background2"/>
            <w:vAlign w:val="center"/>
          </w:tcPr>
          <w:p w14:paraId="544920A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893" w:type="pct"/>
            <w:shd w:val="clear" w:color="auto" w:fill="E7E6E6" w:themeFill="background2"/>
            <w:vAlign w:val="center"/>
          </w:tcPr>
          <w:p w14:paraId="6BBF65D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华新水泥（鄂州）有限公司</w:t>
            </w:r>
          </w:p>
        </w:tc>
        <w:tc>
          <w:tcPr>
            <w:tcW w:w="885" w:type="pct"/>
            <w:shd w:val="clear" w:color="auto" w:fill="E7E6E6" w:themeFill="background2"/>
            <w:vAlign w:val="center"/>
          </w:tcPr>
          <w:p w14:paraId="1997057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鄂州市华容区段店镇孙彭村</w:t>
            </w:r>
          </w:p>
        </w:tc>
        <w:tc>
          <w:tcPr>
            <w:tcW w:w="2857" w:type="pct"/>
            <w:shd w:val="clear" w:color="auto" w:fill="E7E6E6" w:themeFill="background2"/>
            <w:vAlign w:val="center"/>
          </w:tcPr>
          <w:p w14:paraId="664BB090">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生产、销售：水泥；销售：矿渣粉；货运代办。</w:t>
            </w:r>
          </w:p>
        </w:tc>
      </w:tr>
      <w:tr w14:paraId="69BF1B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28F2A20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893" w:type="pct"/>
            <w:vAlign w:val="center"/>
          </w:tcPr>
          <w:p w14:paraId="2D4FBE6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湖北华祥水泥有限公司鄂州分公司</w:t>
            </w:r>
          </w:p>
        </w:tc>
        <w:tc>
          <w:tcPr>
            <w:tcW w:w="885" w:type="pct"/>
            <w:vAlign w:val="center"/>
          </w:tcPr>
          <w:p w14:paraId="6671CC0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鄂州市华容区段店镇孙彭村</w:t>
            </w:r>
          </w:p>
        </w:tc>
        <w:tc>
          <w:tcPr>
            <w:tcW w:w="2857" w:type="pct"/>
            <w:vAlign w:val="center"/>
          </w:tcPr>
          <w:p w14:paraId="43A9633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水泥粉磨，水泥销售</w:t>
            </w:r>
          </w:p>
        </w:tc>
      </w:tr>
      <w:tr w14:paraId="0AB45F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6E10F3D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893" w:type="pct"/>
            <w:vAlign w:val="center"/>
          </w:tcPr>
          <w:p w14:paraId="44B8B3AB">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湖北鼎润环保科技有限公司</w:t>
            </w:r>
          </w:p>
        </w:tc>
        <w:tc>
          <w:tcPr>
            <w:tcW w:w="885" w:type="pct"/>
            <w:vAlign w:val="center"/>
          </w:tcPr>
          <w:p w14:paraId="6590E8E8">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鄂州市华容区段店孙彭村</w:t>
            </w:r>
          </w:p>
        </w:tc>
        <w:tc>
          <w:tcPr>
            <w:tcW w:w="2857" w:type="pct"/>
            <w:vAlign w:val="center"/>
          </w:tcPr>
          <w:p w14:paraId="0B7ABB4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PC预制构件、商品混凝土、干混砂浆技术研究及生产、销售；机械设备生产</w:t>
            </w:r>
            <w:r>
              <w:rPr>
                <w:rStyle w:val="71"/>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不含特种设备</w:t>
            </w:r>
            <w:r>
              <w:rPr>
                <w:rStyle w:val="71"/>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、销售；厂房出租；</w:t>
            </w:r>
            <w:r>
              <w:rPr>
                <w:rStyle w:val="71"/>
                <w:rFonts w:hint="default" w:ascii="Times New Roman" w:hAnsi="Times New Roman" w:eastAsia="宋体" w:cs="Times New Roman"/>
                <w:color w:val="auto"/>
                <w:sz w:val="21"/>
                <w:szCs w:val="21"/>
                <w:highlight w:val="none"/>
                <w:lang w:val="en-US" w:eastAsia="zh-CN" w:bidi="ar"/>
              </w:rPr>
              <w:t>ALC</w:t>
            </w:r>
            <w:r>
              <w:rPr>
                <w:rFonts w:hint="default" w:ascii="Times New Roman" w:hAnsi="Times New Roman" w:eastAsia="宋体" w:cs="Times New Roman"/>
                <w:i w:val="0"/>
                <w:color w:val="auto"/>
                <w:kern w:val="0"/>
                <w:sz w:val="21"/>
                <w:szCs w:val="21"/>
                <w:highlight w:val="none"/>
                <w:u w:val="none"/>
                <w:lang w:val="en-US" w:eastAsia="zh-CN" w:bidi="ar"/>
              </w:rPr>
              <w:t>板材及</w:t>
            </w:r>
            <w:r>
              <w:rPr>
                <w:rStyle w:val="71"/>
                <w:rFonts w:hint="default" w:ascii="Times New Roman" w:hAnsi="Times New Roman" w:eastAsia="宋体" w:cs="Times New Roman"/>
                <w:color w:val="auto"/>
                <w:sz w:val="21"/>
                <w:szCs w:val="21"/>
                <w:highlight w:val="none"/>
                <w:lang w:val="en-US" w:eastAsia="zh-CN" w:bidi="ar"/>
              </w:rPr>
              <w:t>ALC</w:t>
            </w:r>
            <w:r>
              <w:rPr>
                <w:rFonts w:hint="default" w:ascii="Times New Roman" w:hAnsi="Times New Roman" w:eastAsia="宋体" w:cs="Times New Roman"/>
                <w:i w:val="0"/>
                <w:color w:val="auto"/>
                <w:kern w:val="0"/>
                <w:sz w:val="21"/>
                <w:szCs w:val="21"/>
                <w:highlight w:val="none"/>
                <w:u w:val="none"/>
                <w:lang w:val="en-US" w:eastAsia="zh-CN" w:bidi="ar"/>
              </w:rPr>
              <w:t>砌块的生产及销售；</w:t>
            </w:r>
            <w:r>
              <w:rPr>
                <w:rStyle w:val="71"/>
                <w:rFonts w:hint="default" w:ascii="Times New Roman" w:hAnsi="Times New Roman" w:eastAsia="宋体" w:cs="Times New Roman"/>
                <w:color w:val="auto"/>
                <w:sz w:val="21"/>
                <w:szCs w:val="21"/>
                <w:highlight w:val="none"/>
                <w:lang w:val="en-US" w:eastAsia="zh-CN" w:bidi="ar"/>
              </w:rPr>
              <w:t>ALC</w:t>
            </w:r>
            <w:r>
              <w:rPr>
                <w:rFonts w:hint="default" w:ascii="Times New Roman" w:hAnsi="Times New Roman" w:eastAsia="宋体" w:cs="Times New Roman"/>
                <w:i w:val="0"/>
                <w:color w:val="auto"/>
                <w:kern w:val="0"/>
                <w:sz w:val="21"/>
                <w:szCs w:val="21"/>
                <w:highlight w:val="none"/>
                <w:u w:val="none"/>
                <w:lang w:val="en-US" w:eastAsia="zh-CN" w:bidi="ar"/>
              </w:rPr>
              <w:t>装配式建筑材料研发及推广应用；普通货物运输。</w:t>
            </w:r>
          </w:p>
        </w:tc>
      </w:tr>
      <w:tr w14:paraId="4DB1D3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E7E6E6" w:themeFill="background2"/>
            <w:vAlign w:val="center"/>
          </w:tcPr>
          <w:p w14:paraId="3244E5B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17</w:t>
            </w:r>
          </w:p>
        </w:tc>
        <w:tc>
          <w:tcPr>
            <w:tcW w:w="893" w:type="pct"/>
            <w:shd w:val="clear" w:color="auto" w:fill="E7E6E6" w:themeFill="background2"/>
            <w:vAlign w:val="center"/>
          </w:tcPr>
          <w:p w14:paraId="780F243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湖北宇拓新型墙材有限公司</w:t>
            </w:r>
          </w:p>
        </w:tc>
        <w:tc>
          <w:tcPr>
            <w:tcW w:w="885" w:type="pct"/>
            <w:shd w:val="clear" w:color="auto" w:fill="E7E6E6" w:themeFill="background2"/>
            <w:vAlign w:val="center"/>
          </w:tcPr>
          <w:p w14:paraId="69542EC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鄂州市华容区段店镇孙彭村</w:t>
            </w:r>
          </w:p>
        </w:tc>
        <w:tc>
          <w:tcPr>
            <w:tcW w:w="2857" w:type="pct"/>
            <w:shd w:val="clear" w:color="auto" w:fill="E7E6E6" w:themeFill="background2"/>
            <w:vAlign w:val="center"/>
          </w:tcPr>
          <w:p w14:paraId="104D8ED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生产、销售：煤灰加气砼、灰砂砖、青沙；废石、建筑废弃物的综合利用；建材销售。</w:t>
            </w:r>
          </w:p>
        </w:tc>
      </w:tr>
      <w:tr w14:paraId="3B7C2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43BB721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893" w:type="pct"/>
            <w:vAlign w:val="center"/>
          </w:tcPr>
          <w:p w14:paraId="23764DC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aps w:val="0"/>
                <w:color w:val="auto"/>
                <w:spacing w:val="0"/>
                <w:sz w:val="21"/>
                <w:szCs w:val="21"/>
                <w:highlight w:val="none"/>
                <w:shd w:val="clear" w:fill="FFFFFF"/>
              </w:rPr>
              <w:t>湖北鑫吉药用包装股份有限公司</w:t>
            </w:r>
          </w:p>
        </w:tc>
        <w:tc>
          <w:tcPr>
            <w:tcW w:w="885" w:type="pct"/>
            <w:vAlign w:val="center"/>
          </w:tcPr>
          <w:p w14:paraId="5B0226B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鄂州市华容区段店镇三江大道</w:t>
            </w:r>
            <w:r>
              <w:rPr>
                <w:rStyle w:val="71"/>
                <w:rFonts w:hint="default" w:ascii="Times New Roman" w:hAnsi="Times New Roman" w:eastAsia="宋体" w:cs="Times New Roman"/>
                <w:color w:val="auto"/>
                <w:sz w:val="21"/>
                <w:szCs w:val="21"/>
                <w:highlight w:val="none"/>
                <w:lang w:val="en-US" w:eastAsia="zh-CN" w:bidi="ar"/>
              </w:rPr>
              <w:t>177</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7BC76E1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包装装潢印刷品印刷；生产、加工、销售：金属软管、药用软膏铝管、药品包装用铝箔、药用包装用复合膜、铝制品；销售百货；本公司生产经营的产品进出口业务。</w:t>
            </w:r>
          </w:p>
        </w:tc>
      </w:tr>
      <w:tr w14:paraId="177DCA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1E9B49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19</w:t>
            </w:r>
          </w:p>
        </w:tc>
        <w:tc>
          <w:tcPr>
            <w:tcW w:w="893" w:type="pct"/>
            <w:vAlign w:val="center"/>
          </w:tcPr>
          <w:p w14:paraId="3A16F9B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auto"/>
                <w:kern w:val="0"/>
                <w:sz w:val="21"/>
                <w:szCs w:val="21"/>
                <w:highlight w:val="none"/>
                <w:u w:val="none"/>
                <w:lang w:val="en-US" w:eastAsia="zh-CN" w:bidi="ar"/>
              </w:rPr>
              <w:t>鄂州市力兴统领科技有限公司</w:t>
            </w:r>
          </w:p>
        </w:tc>
        <w:tc>
          <w:tcPr>
            <w:tcW w:w="885" w:type="pct"/>
            <w:vAlign w:val="center"/>
          </w:tcPr>
          <w:p w14:paraId="5C62942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auto"/>
                <w:kern w:val="0"/>
                <w:sz w:val="21"/>
                <w:szCs w:val="21"/>
                <w:highlight w:val="none"/>
                <w:u w:val="none"/>
                <w:lang w:val="en-US" w:eastAsia="zh-CN" w:bidi="ar"/>
              </w:rPr>
              <w:t>鄂州市市场监督管理局</w:t>
            </w:r>
          </w:p>
        </w:tc>
        <w:tc>
          <w:tcPr>
            <w:tcW w:w="2857" w:type="pct"/>
            <w:vAlign w:val="center"/>
          </w:tcPr>
          <w:p w14:paraId="7D5D2B2E">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auto"/>
                <w:kern w:val="0"/>
                <w:sz w:val="21"/>
                <w:szCs w:val="21"/>
                <w:highlight w:val="none"/>
                <w:u w:val="none"/>
                <w:lang w:val="en-US" w:eastAsia="zh-CN" w:bidi="ar"/>
              </w:rPr>
              <w:t>生产、销售：水泥助磨剂；销售：水泥外加剂、粉煤灰、水泥、建筑材料、沥青、水稳材料、混凝土；加工销售编织袋；道路工程；园林绿化工程。</w:t>
            </w:r>
          </w:p>
        </w:tc>
      </w:tr>
      <w:tr w14:paraId="07BC6F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E7E6E6" w:themeFill="background2"/>
            <w:vAlign w:val="center"/>
          </w:tcPr>
          <w:p w14:paraId="0968B4D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893" w:type="pct"/>
            <w:shd w:val="clear" w:color="auto" w:fill="E7E6E6" w:themeFill="background2"/>
            <w:vAlign w:val="center"/>
          </w:tcPr>
          <w:p w14:paraId="7940F9E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鄂州市国伟建材有限责任公司</w:t>
            </w:r>
          </w:p>
        </w:tc>
        <w:tc>
          <w:tcPr>
            <w:tcW w:w="885" w:type="pct"/>
            <w:shd w:val="clear" w:color="auto" w:fill="E7E6E6" w:themeFill="background2"/>
            <w:vAlign w:val="center"/>
          </w:tcPr>
          <w:p w14:paraId="2CD37B7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鄂州市华容区段店镇灯塘村</w:t>
            </w:r>
          </w:p>
        </w:tc>
        <w:tc>
          <w:tcPr>
            <w:tcW w:w="2857" w:type="pct"/>
            <w:shd w:val="clear" w:color="auto" w:fill="E7E6E6" w:themeFill="background2"/>
            <w:vAlign w:val="center"/>
          </w:tcPr>
          <w:p w14:paraId="0016A68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生产、销售：灰沙砖、加气块、水泥砖、煤灰砖、干粉砂浆。</w:t>
            </w:r>
          </w:p>
        </w:tc>
      </w:tr>
      <w:tr w14:paraId="7FDD5E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E7E6E6" w:themeFill="background2"/>
            <w:vAlign w:val="center"/>
          </w:tcPr>
          <w:p w14:paraId="0414072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893" w:type="pct"/>
            <w:shd w:val="clear" w:color="auto" w:fill="E7E6E6" w:themeFill="background2"/>
            <w:vAlign w:val="center"/>
          </w:tcPr>
          <w:p w14:paraId="7B7F70C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湖北丽美药用包装有限公司</w:t>
            </w:r>
          </w:p>
        </w:tc>
        <w:tc>
          <w:tcPr>
            <w:tcW w:w="885" w:type="pct"/>
            <w:shd w:val="clear" w:color="auto" w:fill="E7E6E6" w:themeFill="background2"/>
            <w:vAlign w:val="center"/>
          </w:tcPr>
          <w:p w14:paraId="005D2F8B">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鄂州市三江港区三和大道</w:t>
            </w:r>
            <w:r>
              <w:rPr>
                <w:rStyle w:val="71"/>
                <w:rFonts w:hint="default" w:ascii="Times New Roman" w:hAnsi="Times New Roman" w:eastAsia="宋体" w:cs="Times New Roman"/>
                <w:color w:val="auto"/>
                <w:sz w:val="21"/>
                <w:szCs w:val="21"/>
                <w:highlight w:val="none"/>
                <w:lang w:val="en-US" w:eastAsia="zh-CN" w:bidi="ar"/>
              </w:rPr>
              <w:t>35</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shd w:val="clear" w:color="auto" w:fill="E7E6E6" w:themeFill="background2"/>
            <w:vAlign w:val="center"/>
          </w:tcPr>
          <w:p w14:paraId="5245060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包装装潢印刷品印刷；生产、销售：药用、化妆品、食品、精细化工及日化产品的铝质、铝塑硬软管；自营、收购及代理商品和技术的进出口业务。</w:t>
            </w:r>
          </w:p>
        </w:tc>
      </w:tr>
      <w:tr w14:paraId="49A70D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auto"/>
            <w:vAlign w:val="center"/>
          </w:tcPr>
          <w:p w14:paraId="23B98B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893" w:type="pct"/>
            <w:shd w:val="clear" w:color="auto" w:fill="auto"/>
            <w:vAlign w:val="center"/>
          </w:tcPr>
          <w:p w14:paraId="44C29A9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aps w:val="0"/>
                <w:color w:val="auto"/>
                <w:spacing w:val="0"/>
                <w:sz w:val="21"/>
                <w:szCs w:val="21"/>
                <w:highlight w:val="none"/>
                <w:shd w:val="clear" w:fill="FFFFFF"/>
              </w:rPr>
              <w:t>鄂州市段店镇沛红服装厂</w:t>
            </w:r>
          </w:p>
        </w:tc>
        <w:tc>
          <w:tcPr>
            <w:tcW w:w="885" w:type="pct"/>
            <w:shd w:val="clear" w:color="auto" w:fill="auto"/>
            <w:vAlign w:val="center"/>
          </w:tcPr>
          <w:p w14:paraId="5133A19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aps w:val="0"/>
                <w:color w:val="auto"/>
                <w:spacing w:val="0"/>
                <w:sz w:val="21"/>
                <w:szCs w:val="21"/>
                <w:highlight w:val="none"/>
                <w:shd w:val="clear" w:fill="FFFFFF"/>
              </w:rPr>
              <w:t>鄂州市华容区段店镇孔关村十组</w:t>
            </w:r>
          </w:p>
        </w:tc>
        <w:tc>
          <w:tcPr>
            <w:tcW w:w="2857" w:type="pct"/>
            <w:shd w:val="clear" w:color="auto" w:fill="auto"/>
            <w:vAlign w:val="center"/>
          </w:tcPr>
          <w:p w14:paraId="2425461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aps w:val="0"/>
                <w:color w:val="auto"/>
                <w:spacing w:val="0"/>
                <w:sz w:val="21"/>
                <w:szCs w:val="21"/>
                <w:highlight w:val="none"/>
                <w:shd w:val="clear" w:fill="FFFFFF"/>
              </w:rPr>
              <w:t>服装加工、销售。</w:t>
            </w:r>
          </w:p>
        </w:tc>
      </w:tr>
      <w:tr w14:paraId="3D6C0F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295BA68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893" w:type="pct"/>
            <w:vAlign w:val="center"/>
          </w:tcPr>
          <w:p w14:paraId="407BEE7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湖北迪洋环保科技有限公司</w:t>
            </w:r>
          </w:p>
        </w:tc>
        <w:tc>
          <w:tcPr>
            <w:tcW w:w="885" w:type="pct"/>
            <w:vAlign w:val="center"/>
          </w:tcPr>
          <w:p w14:paraId="4DED5CA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鄂州市华容区段店镇孔关村三和大道</w:t>
            </w:r>
            <w:r>
              <w:rPr>
                <w:rStyle w:val="71"/>
                <w:rFonts w:hint="default" w:ascii="Times New Roman" w:hAnsi="Times New Roman" w:eastAsia="宋体" w:cs="Times New Roman"/>
                <w:color w:val="auto"/>
                <w:sz w:val="21"/>
                <w:szCs w:val="21"/>
                <w:highlight w:val="none"/>
                <w:lang w:val="en-US" w:eastAsia="zh-CN" w:bidi="ar"/>
              </w:rPr>
              <w:t>33</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6107B20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环保设备技术研发、技术咨询、技术推广、技术转让；环保设备生产（不含冶炼、压延及铸造）；防水工程施工；销售：环保设备、水处理设备、暖通设备。</w:t>
            </w:r>
          </w:p>
        </w:tc>
      </w:tr>
      <w:tr w14:paraId="7D3A1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4BFDA2B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893" w:type="pct"/>
            <w:vAlign w:val="center"/>
          </w:tcPr>
          <w:p w14:paraId="0256981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武汉鑫桥安建筑材料有限公司鄂州分公司</w:t>
            </w:r>
          </w:p>
        </w:tc>
        <w:tc>
          <w:tcPr>
            <w:tcW w:w="885" w:type="pct"/>
            <w:vAlign w:val="center"/>
          </w:tcPr>
          <w:p w14:paraId="300F857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鄂州市华容区段店镇孔关村吴垅湾对面</w:t>
            </w:r>
          </w:p>
        </w:tc>
        <w:tc>
          <w:tcPr>
            <w:tcW w:w="2857" w:type="pct"/>
            <w:vAlign w:val="center"/>
          </w:tcPr>
          <w:p w14:paraId="2AA918F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新型建筑材料的研发、生产、销售；建筑工程施工、技术咨询、技术服务；波纹管加工制作（不含冶炼及压延）及销售；机械设备销售；锚具销售；管件及相关配件销售；建筑劳务分包；市政工程、保温工程设计、施工；加固工程；化工产品（不含化学危险品）销售。</w:t>
            </w:r>
          </w:p>
        </w:tc>
      </w:tr>
      <w:tr w14:paraId="4D8C85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0B00ACB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893" w:type="pct"/>
            <w:vAlign w:val="center"/>
          </w:tcPr>
          <w:p w14:paraId="7305DAD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湖北富升智能装备股份有限公司</w:t>
            </w:r>
          </w:p>
        </w:tc>
        <w:tc>
          <w:tcPr>
            <w:tcW w:w="885" w:type="pct"/>
            <w:vAlign w:val="center"/>
          </w:tcPr>
          <w:p w14:paraId="0187AD9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鄂州市华容区段店镇三江大道特</w:t>
            </w:r>
            <w:r>
              <w:rPr>
                <w:rStyle w:val="71"/>
                <w:rFonts w:hint="default" w:ascii="Times New Roman" w:hAnsi="Times New Roman" w:eastAsia="宋体" w:cs="Times New Roman"/>
                <w:color w:val="auto"/>
                <w:sz w:val="21"/>
                <w:szCs w:val="21"/>
                <w:highlight w:val="none"/>
                <w:lang w:val="en-US" w:eastAsia="zh-CN" w:bidi="ar"/>
              </w:rPr>
              <w:t>1</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4E84CAEE">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制造、加工、销售：锻压机械设备、锻压件、铁路配件；销售：金属材料、仪器仪表、建筑材料、化工产品（不含剧毒和其他化学危险品）；经营本企业自产产品及技术的出口业务；经营本企业生产所需的原辅材料、仪器仪表、机械设备、零配件及技术的进口业务；经营进料加工和</w:t>
            </w:r>
            <w:r>
              <w:rPr>
                <w:rStyle w:val="71"/>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三来一补</w:t>
            </w:r>
            <w:r>
              <w:rPr>
                <w:rStyle w:val="71"/>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业务；废旧金属回收销售（不含危险废物）。</w:t>
            </w:r>
          </w:p>
        </w:tc>
      </w:tr>
      <w:tr w14:paraId="4A8CF4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6873862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893" w:type="pct"/>
            <w:vAlign w:val="center"/>
          </w:tcPr>
          <w:p w14:paraId="38C19B7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鄂州市科力工业技术开发有限责任公司</w:t>
            </w:r>
          </w:p>
        </w:tc>
        <w:tc>
          <w:tcPr>
            <w:tcW w:w="885" w:type="pct"/>
            <w:vAlign w:val="center"/>
          </w:tcPr>
          <w:p w14:paraId="0DB5BBD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鄂州市华容区段店镇骆李村</w:t>
            </w:r>
          </w:p>
        </w:tc>
        <w:tc>
          <w:tcPr>
            <w:tcW w:w="2857" w:type="pct"/>
            <w:vAlign w:val="center"/>
          </w:tcPr>
          <w:p w14:paraId="13046D7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工业机电设备及节能环保工程设备开发研究、制造；年产</w:t>
            </w:r>
            <w:r>
              <w:rPr>
                <w:rStyle w:val="71"/>
                <w:rFonts w:hint="default" w:ascii="Times New Roman" w:hAnsi="Times New Roman" w:eastAsia="宋体" w:cs="Times New Roman"/>
                <w:color w:val="auto"/>
                <w:sz w:val="21"/>
                <w:szCs w:val="21"/>
                <w:highlight w:val="none"/>
                <w:lang w:val="en-US" w:eastAsia="zh-CN" w:bidi="ar"/>
              </w:rPr>
              <w:t>20</w:t>
            </w:r>
            <w:r>
              <w:rPr>
                <w:rFonts w:hint="default" w:ascii="Times New Roman" w:hAnsi="Times New Roman" w:eastAsia="宋体" w:cs="Times New Roman"/>
                <w:i w:val="0"/>
                <w:color w:val="auto"/>
                <w:kern w:val="0"/>
                <w:sz w:val="21"/>
                <w:szCs w:val="21"/>
                <w:highlight w:val="none"/>
                <w:u w:val="none"/>
                <w:lang w:val="en-US" w:eastAsia="zh-CN" w:bidi="ar"/>
              </w:rPr>
              <w:t>万吨以下水泥厂技改项目论证设计；技术咨询；生产水泥砌块。</w:t>
            </w:r>
          </w:p>
        </w:tc>
      </w:tr>
      <w:tr w14:paraId="3BB7B6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31D7FAB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893" w:type="pct"/>
            <w:vAlign w:val="center"/>
          </w:tcPr>
          <w:p w14:paraId="7ADB76D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鄂州市华龙塑业有限公司</w:t>
            </w:r>
          </w:p>
        </w:tc>
        <w:tc>
          <w:tcPr>
            <w:tcW w:w="885" w:type="pct"/>
            <w:vAlign w:val="center"/>
          </w:tcPr>
          <w:p w14:paraId="27B376F0">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鄂州市华容区段店镇三和大道</w:t>
            </w:r>
            <w:r>
              <w:rPr>
                <w:rStyle w:val="71"/>
                <w:rFonts w:hint="default" w:ascii="Times New Roman" w:hAnsi="Times New Roman" w:eastAsia="宋体" w:cs="Times New Roman"/>
                <w:color w:val="auto"/>
                <w:sz w:val="21"/>
                <w:szCs w:val="21"/>
                <w:highlight w:val="none"/>
                <w:lang w:val="en-US" w:eastAsia="zh-CN" w:bidi="ar"/>
              </w:rPr>
              <w:t>21</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7E4C1A91">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生产、加工、销售：塑料帽盖、塑料管、塑料瓶、塑料模具、塑料包装。</w:t>
            </w:r>
          </w:p>
        </w:tc>
      </w:tr>
      <w:tr w14:paraId="2960B8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E7E6E6" w:themeFill="background2"/>
            <w:vAlign w:val="center"/>
          </w:tcPr>
          <w:p w14:paraId="0C0E003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893" w:type="pct"/>
            <w:shd w:val="clear" w:color="auto" w:fill="E7E6E6" w:themeFill="background2"/>
            <w:vAlign w:val="center"/>
          </w:tcPr>
          <w:p w14:paraId="1341987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鄂州市胜利软管股份有限公司</w:t>
            </w:r>
          </w:p>
        </w:tc>
        <w:tc>
          <w:tcPr>
            <w:tcW w:w="885" w:type="pct"/>
            <w:shd w:val="clear" w:color="auto" w:fill="E7E6E6" w:themeFill="background2"/>
            <w:vAlign w:val="center"/>
          </w:tcPr>
          <w:p w14:paraId="574467A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w:t>
            </w:r>
          </w:p>
        </w:tc>
        <w:tc>
          <w:tcPr>
            <w:tcW w:w="2857" w:type="pct"/>
            <w:shd w:val="clear" w:color="auto" w:fill="E7E6E6" w:themeFill="background2"/>
            <w:vAlign w:val="center"/>
          </w:tcPr>
          <w:p w14:paraId="79EAA01F">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i w:val="0"/>
                <w:i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包装装潢印刷品印刷；自产自销铝软管；自营和代理各类商品及技术的进出口业务</w:t>
            </w:r>
          </w:p>
        </w:tc>
      </w:tr>
      <w:tr w14:paraId="0B6B62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7D718C9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29</w:t>
            </w:r>
          </w:p>
        </w:tc>
        <w:tc>
          <w:tcPr>
            <w:tcW w:w="893" w:type="pct"/>
            <w:vAlign w:val="center"/>
          </w:tcPr>
          <w:p w14:paraId="405A554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鄂州三江港宏文包装有限公司</w:t>
            </w:r>
          </w:p>
        </w:tc>
        <w:tc>
          <w:tcPr>
            <w:tcW w:w="885" w:type="pct"/>
            <w:vAlign w:val="center"/>
          </w:tcPr>
          <w:p w14:paraId="0DAE137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鄂州市华容区段店镇骆李村特</w:t>
            </w:r>
            <w:r>
              <w:rPr>
                <w:rStyle w:val="71"/>
                <w:rFonts w:hint="default" w:ascii="Times New Roman" w:hAnsi="Times New Roman" w:eastAsia="宋体" w:cs="Times New Roman"/>
                <w:color w:val="auto"/>
                <w:sz w:val="21"/>
                <w:szCs w:val="21"/>
                <w:highlight w:val="none"/>
                <w:lang w:val="en-US" w:eastAsia="zh-CN" w:bidi="ar"/>
              </w:rPr>
              <w:t>19</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1F3867A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包装装潢印刷品印刷；纸箱纸盒的加工（不含纸浆制造）及印刷；封箱胶带、缠绕膜、木质托板生产、销售。</w:t>
            </w:r>
          </w:p>
        </w:tc>
      </w:tr>
      <w:tr w14:paraId="0E8419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4F827B6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30</w:t>
            </w:r>
          </w:p>
        </w:tc>
        <w:tc>
          <w:tcPr>
            <w:tcW w:w="893" w:type="pct"/>
            <w:vAlign w:val="center"/>
          </w:tcPr>
          <w:p w14:paraId="162DC01E">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auto"/>
                <w:kern w:val="0"/>
                <w:sz w:val="21"/>
                <w:szCs w:val="21"/>
                <w:highlight w:val="none"/>
                <w:u w:val="none"/>
                <w:lang w:val="en-US" w:eastAsia="zh-CN" w:bidi="ar"/>
              </w:rPr>
              <w:t>湖北鸿昇矿业有限公司</w:t>
            </w:r>
          </w:p>
        </w:tc>
        <w:tc>
          <w:tcPr>
            <w:tcW w:w="885" w:type="pct"/>
            <w:vAlign w:val="center"/>
          </w:tcPr>
          <w:p w14:paraId="24DAB82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auto"/>
                <w:kern w:val="0"/>
                <w:sz w:val="21"/>
                <w:szCs w:val="21"/>
                <w:highlight w:val="none"/>
                <w:u w:val="none"/>
                <w:lang w:val="en-US" w:eastAsia="zh-CN" w:bidi="ar"/>
              </w:rPr>
              <w:t>湖北省武汉新港三江港经济区临江大道</w:t>
            </w:r>
            <w:r>
              <w:rPr>
                <w:rStyle w:val="71"/>
                <w:rFonts w:hint="default" w:ascii="Times New Roman" w:hAnsi="Times New Roman" w:eastAsia="宋体" w:cs="Times New Roman"/>
                <w:b/>
                <w:bCs/>
                <w:color w:val="auto"/>
                <w:sz w:val="21"/>
                <w:szCs w:val="21"/>
                <w:highlight w:val="none"/>
                <w:lang w:val="en-US" w:eastAsia="zh-CN" w:bidi="ar"/>
              </w:rPr>
              <w:t>90</w:t>
            </w:r>
            <w:r>
              <w:rPr>
                <w:rFonts w:hint="default" w:ascii="Times New Roman" w:hAnsi="Times New Roman" w:eastAsia="宋体" w:cs="Times New Roman"/>
                <w:b/>
                <w:bCs/>
                <w:i w:val="0"/>
                <w:color w:val="auto"/>
                <w:kern w:val="0"/>
                <w:sz w:val="21"/>
                <w:szCs w:val="21"/>
                <w:highlight w:val="none"/>
                <w:u w:val="none"/>
                <w:lang w:val="en-US" w:eastAsia="zh-CN" w:bidi="ar"/>
              </w:rPr>
              <w:t>号</w:t>
            </w:r>
          </w:p>
        </w:tc>
        <w:tc>
          <w:tcPr>
            <w:tcW w:w="2857" w:type="pct"/>
            <w:vAlign w:val="center"/>
          </w:tcPr>
          <w:p w14:paraId="308B3FCB">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i w:val="0"/>
                <w:color w:val="auto"/>
                <w:kern w:val="0"/>
                <w:sz w:val="21"/>
                <w:szCs w:val="21"/>
                <w:highlight w:val="none"/>
                <w:u w:val="none"/>
                <w:lang w:val="en-US" w:eastAsia="zh-CN" w:bidi="ar"/>
              </w:rPr>
              <w:t>一般项目：选矿；矿物洗选加工；金属矿石销售；金属废料和碎屑加工处理；建筑砌块制造；建筑砌块销售；煤炭及制品销售；土地使用权租赁；机械设备租赁</w:t>
            </w:r>
          </w:p>
        </w:tc>
      </w:tr>
      <w:tr w14:paraId="1E5FE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56D1747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31</w:t>
            </w:r>
          </w:p>
        </w:tc>
        <w:tc>
          <w:tcPr>
            <w:tcW w:w="893" w:type="pct"/>
            <w:vAlign w:val="center"/>
          </w:tcPr>
          <w:p w14:paraId="78634E5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湖北鄂钢长航港务有限公司</w:t>
            </w:r>
          </w:p>
        </w:tc>
        <w:tc>
          <w:tcPr>
            <w:tcW w:w="885" w:type="pct"/>
            <w:vAlign w:val="center"/>
          </w:tcPr>
          <w:p w14:paraId="5FEBEB81">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w:t>
            </w:r>
          </w:p>
        </w:tc>
        <w:tc>
          <w:tcPr>
            <w:tcW w:w="2857" w:type="pct"/>
            <w:vAlign w:val="center"/>
          </w:tcPr>
          <w:p w14:paraId="28A294D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普通货运；码头设施经营；货物装卸、中转、储存服务；货运代办；销售：金属材料、建筑材料、矿产品、煤炭。</w:t>
            </w:r>
          </w:p>
        </w:tc>
      </w:tr>
      <w:tr w14:paraId="24EB89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6927AD8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32</w:t>
            </w:r>
          </w:p>
        </w:tc>
        <w:tc>
          <w:tcPr>
            <w:tcW w:w="893" w:type="pct"/>
            <w:vAlign w:val="center"/>
          </w:tcPr>
          <w:p w14:paraId="51A7BFB1">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鄂州市昊晟新型材料有限公司</w:t>
            </w:r>
          </w:p>
        </w:tc>
        <w:tc>
          <w:tcPr>
            <w:tcW w:w="885" w:type="pct"/>
            <w:vAlign w:val="center"/>
          </w:tcPr>
          <w:p w14:paraId="7A24DF5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鄂州市华容区临江乡黄柏山伟城物流有限公司厂内</w:t>
            </w:r>
          </w:p>
        </w:tc>
        <w:tc>
          <w:tcPr>
            <w:tcW w:w="2857" w:type="pct"/>
            <w:vAlign w:val="center"/>
          </w:tcPr>
          <w:p w14:paraId="33104EF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建筑新材料研发及技术推广；销售：矿渣微粉、碎石、水泥、钢渣、脱硫石膏、钙石粉、炉渣、矿产品、粉煤灰、冶金炉料、金属材料、装饰材料、机电设备及配件、水暖器材、五金交电、防水材料、保温材料。</w:t>
            </w:r>
          </w:p>
        </w:tc>
      </w:tr>
      <w:tr w14:paraId="198A32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5BC7349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33</w:t>
            </w:r>
          </w:p>
        </w:tc>
        <w:tc>
          <w:tcPr>
            <w:tcW w:w="893" w:type="pct"/>
            <w:vAlign w:val="center"/>
          </w:tcPr>
          <w:p w14:paraId="51C006C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湖北长江三江港区域投资开发有限公司</w:t>
            </w:r>
          </w:p>
        </w:tc>
        <w:tc>
          <w:tcPr>
            <w:tcW w:w="885" w:type="pct"/>
            <w:vAlign w:val="center"/>
          </w:tcPr>
          <w:p w14:paraId="6A747C9E">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鄂州市华容区楚藩大道</w:t>
            </w:r>
            <w:r>
              <w:rPr>
                <w:rStyle w:val="71"/>
                <w:rFonts w:hint="default" w:ascii="Times New Roman" w:hAnsi="Times New Roman" w:eastAsia="宋体" w:cs="Times New Roman"/>
                <w:color w:val="auto"/>
                <w:sz w:val="21"/>
                <w:szCs w:val="21"/>
                <w:highlight w:val="none"/>
                <w:lang w:val="en-US" w:eastAsia="zh-CN" w:bidi="ar"/>
              </w:rPr>
              <w:t>220</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74F732A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城市基础设施、港口码头设施及城市综合体的投资、建设与运营管理；土地收储与开发；房地产开发与经营；产业园区开发建设；高新技术、节能环保产业的投资开发；物流、生态农业及旅游产业的投资开发；资产管理与运营；风险投资与委托投资（不含金融类投资）；国际技术、经济合作；项目咨询服务。</w:t>
            </w:r>
          </w:p>
        </w:tc>
      </w:tr>
      <w:tr w14:paraId="196F3C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1BD934F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34</w:t>
            </w:r>
          </w:p>
        </w:tc>
        <w:tc>
          <w:tcPr>
            <w:tcW w:w="893" w:type="pct"/>
            <w:vAlign w:val="center"/>
          </w:tcPr>
          <w:p w14:paraId="4E79D49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湖北憨哥酒业有限公司</w:t>
            </w:r>
          </w:p>
        </w:tc>
        <w:tc>
          <w:tcPr>
            <w:tcW w:w="885" w:type="pct"/>
            <w:vAlign w:val="center"/>
          </w:tcPr>
          <w:p w14:paraId="63F1B6A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鄂州市华容区临江大道</w:t>
            </w:r>
            <w:r>
              <w:rPr>
                <w:rStyle w:val="71"/>
                <w:rFonts w:hint="default" w:ascii="Times New Roman" w:hAnsi="Times New Roman" w:eastAsia="宋体" w:cs="Times New Roman"/>
                <w:color w:val="auto"/>
                <w:sz w:val="21"/>
                <w:szCs w:val="21"/>
                <w:highlight w:val="none"/>
                <w:lang w:val="en-US" w:eastAsia="zh-CN" w:bidi="ar"/>
              </w:rPr>
              <w:t>218</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6A6E0F7B">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白酒（液态</w:t>
            </w:r>
            <w:r>
              <w:rPr>
                <w:rStyle w:val="71"/>
                <w:rFonts w:hint="default" w:ascii="Times New Roman" w:hAnsi="Times New Roman" w:eastAsia="宋体" w:cs="Times New Roman"/>
                <w:color w:val="auto"/>
                <w:sz w:val="21"/>
                <w:szCs w:val="21"/>
                <w:highlight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生产、销售；憨哥牌系列配制酒制造、销售；销售：饮料、参茸、燕窝、海鲜产品、农副产品。</w:t>
            </w:r>
          </w:p>
        </w:tc>
      </w:tr>
      <w:tr w14:paraId="5D2FE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248B72D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35</w:t>
            </w:r>
          </w:p>
        </w:tc>
        <w:tc>
          <w:tcPr>
            <w:tcW w:w="893" w:type="pct"/>
            <w:vAlign w:val="center"/>
          </w:tcPr>
          <w:p w14:paraId="6733CCA3">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湖北三和管桩有限公司</w:t>
            </w:r>
          </w:p>
        </w:tc>
        <w:tc>
          <w:tcPr>
            <w:tcW w:w="885" w:type="pct"/>
            <w:vAlign w:val="center"/>
          </w:tcPr>
          <w:p w14:paraId="4E405F40">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w:t>
            </w:r>
          </w:p>
        </w:tc>
        <w:tc>
          <w:tcPr>
            <w:tcW w:w="2857" w:type="pct"/>
            <w:vAlign w:val="center"/>
          </w:tcPr>
          <w:p w14:paraId="3899BBB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制造、销售：预应力混凝土管桩、水泥制品、新型建筑材料；货物装卸搬运服务；厂房出租；机械设备租赁服务。</w:t>
            </w:r>
          </w:p>
        </w:tc>
      </w:tr>
      <w:tr w14:paraId="05666C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vAlign w:val="center"/>
          </w:tcPr>
          <w:p w14:paraId="1AA3372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36</w:t>
            </w:r>
          </w:p>
        </w:tc>
        <w:tc>
          <w:tcPr>
            <w:tcW w:w="893" w:type="pct"/>
            <w:vAlign w:val="center"/>
          </w:tcPr>
          <w:p w14:paraId="6BAA281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鄂州大同食品工贸股份有限公司</w:t>
            </w:r>
          </w:p>
        </w:tc>
        <w:tc>
          <w:tcPr>
            <w:tcW w:w="885" w:type="pct"/>
            <w:vAlign w:val="center"/>
          </w:tcPr>
          <w:p w14:paraId="0F2633EE">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鄂州市樊蒲大道吉刘街</w:t>
            </w:r>
            <w:r>
              <w:rPr>
                <w:rStyle w:val="71"/>
                <w:rFonts w:hint="default" w:ascii="Times New Roman" w:hAnsi="Times New Roman" w:eastAsia="宋体" w:cs="Times New Roman"/>
                <w:color w:val="auto"/>
                <w:sz w:val="21"/>
                <w:szCs w:val="21"/>
                <w:highlight w:val="none"/>
                <w:lang w:val="en-US" w:eastAsia="zh-CN" w:bidi="ar"/>
              </w:rPr>
              <w:t>41</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61D560C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销售、加工：罐头（畜禽水产罐头）；销售、生产：蛋制品（再制蛋类）；自营和代理各类商品和技术的进出品。</w:t>
            </w:r>
          </w:p>
        </w:tc>
      </w:tr>
      <w:tr w14:paraId="4FF46B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364" w:type="pct"/>
            <w:vAlign w:val="center"/>
          </w:tcPr>
          <w:p w14:paraId="6C348C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37</w:t>
            </w:r>
          </w:p>
        </w:tc>
        <w:tc>
          <w:tcPr>
            <w:tcW w:w="893" w:type="pct"/>
            <w:vAlign w:val="center"/>
          </w:tcPr>
          <w:p w14:paraId="1AFD03F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鄂州市吉庆烟花爆竹有限公司</w:t>
            </w:r>
          </w:p>
        </w:tc>
        <w:tc>
          <w:tcPr>
            <w:tcW w:w="885" w:type="pct"/>
            <w:vAlign w:val="center"/>
          </w:tcPr>
          <w:p w14:paraId="520983F0">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鄂州市华容区蒲团乡郭垱社区</w:t>
            </w:r>
          </w:p>
        </w:tc>
        <w:tc>
          <w:tcPr>
            <w:tcW w:w="2857" w:type="pct"/>
            <w:vAlign w:val="center"/>
          </w:tcPr>
          <w:p w14:paraId="5A2BBD6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销售：烟花、爆竹（以上项目经营期限至</w:t>
            </w:r>
            <w:r>
              <w:rPr>
                <w:rStyle w:val="71"/>
                <w:rFonts w:hint="default" w:ascii="Times New Roman" w:hAnsi="Times New Roman" w:eastAsia="宋体" w:cs="Times New Roman"/>
                <w:color w:val="auto"/>
                <w:sz w:val="21"/>
                <w:szCs w:val="21"/>
                <w:highlight w:val="none"/>
                <w:lang w:val="en-US" w:eastAsia="zh-CN" w:bidi="ar"/>
              </w:rPr>
              <w:t>2018</w:t>
            </w:r>
            <w:r>
              <w:rPr>
                <w:rFonts w:hint="default" w:ascii="Times New Roman" w:hAnsi="Times New Roman" w:eastAsia="宋体" w:cs="Times New Roman"/>
                <w:i w:val="0"/>
                <w:color w:val="auto"/>
                <w:kern w:val="0"/>
                <w:sz w:val="21"/>
                <w:szCs w:val="21"/>
                <w:highlight w:val="none"/>
                <w:u w:val="none"/>
                <w:lang w:val="en-US" w:eastAsia="zh-CN" w:bidi="ar"/>
              </w:rPr>
              <w:t>年</w:t>
            </w:r>
            <w:r>
              <w:rPr>
                <w:rStyle w:val="71"/>
                <w:rFonts w:hint="default" w:ascii="Times New Roman" w:hAnsi="Times New Roman" w:eastAsia="宋体" w:cs="Times New Roman"/>
                <w:color w:val="auto"/>
                <w:sz w:val="21"/>
                <w:szCs w:val="21"/>
                <w:highlight w:val="none"/>
                <w:lang w:val="en-US" w:eastAsia="zh-CN" w:bidi="ar"/>
              </w:rPr>
              <w:t>4</w:t>
            </w:r>
            <w:r>
              <w:rPr>
                <w:rFonts w:hint="default" w:ascii="Times New Roman" w:hAnsi="Times New Roman" w:eastAsia="宋体" w:cs="Times New Roman"/>
                <w:i w:val="0"/>
                <w:color w:val="auto"/>
                <w:kern w:val="0"/>
                <w:sz w:val="21"/>
                <w:szCs w:val="21"/>
                <w:highlight w:val="none"/>
                <w:u w:val="none"/>
                <w:lang w:val="en-US" w:eastAsia="zh-CN" w:bidi="ar"/>
              </w:rPr>
              <w:t>月</w:t>
            </w:r>
            <w:r>
              <w:rPr>
                <w:rStyle w:val="71"/>
                <w:rFonts w:hint="default" w:ascii="Times New Roman" w:hAnsi="Times New Roman" w:eastAsia="宋体" w:cs="Times New Roman"/>
                <w:color w:val="auto"/>
                <w:sz w:val="21"/>
                <w:szCs w:val="21"/>
                <w:highlight w:val="none"/>
                <w:lang w:val="en-US" w:eastAsia="zh-CN" w:bidi="ar"/>
              </w:rPr>
              <w:t>24</w:t>
            </w:r>
            <w:r>
              <w:rPr>
                <w:rFonts w:hint="default" w:ascii="Times New Roman" w:hAnsi="Times New Roman" w:eastAsia="宋体" w:cs="Times New Roman"/>
                <w:i w:val="0"/>
                <w:color w:val="auto"/>
                <w:kern w:val="0"/>
                <w:sz w:val="21"/>
                <w:szCs w:val="21"/>
                <w:highlight w:val="none"/>
                <w:u w:val="none"/>
                <w:lang w:val="en-US" w:eastAsia="zh-CN" w:bidi="ar"/>
              </w:rPr>
              <w:t>日）、日用杂品、百货。</w:t>
            </w:r>
          </w:p>
        </w:tc>
      </w:tr>
      <w:tr w14:paraId="6A27FA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364" w:type="pct"/>
            <w:vAlign w:val="center"/>
          </w:tcPr>
          <w:p w14:paraId="54F2F5A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38</w:t>
            </w:r>
          </w:p>
        </w:tc>
        <w:tc>
          <w:tcPr>
            <w:tcW w:w="893" w:type="pct"/>
            <w:vAlign w:val="center"/>
          </w:tcPr>
          <w:p w14:paraId="7EF9500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鄂州东润混凝土销售有限公司华容分公司</w:t>
            </w:r>
          </w:p>
        </w:tc>
        <w:tc>
          <w:tcPr>
            <w:tcW w:w="885" w:type="pct"/>
            <w:vAlign w:val="center"/>
          </w:tcPr>
          <w:p w14:paraId="162F3FB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鄂州市华容区临江乡临湖路</w:t>
            </w:r>
            <w:r>
              <w:rPr>
                <w:rStyle w:val="71"/>
                <w:rFonts w:hint="default" w:ascii="Times New Roman" w:hAnsi="Times New Roman" w:eastAsia="宋体" w:cs="Times New Roman"/>
                <w:color w:val="auto"/>
                <w:sz w:val="21"/>
                <w:szCs w:val="21"/>
                <w:highlight w:val="none"/>
                <w:lang w:val="en-US" w:eastAsia="zh-CN" w:bidi="ar"/>
              </w:rPr>
              <w:t>23</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3523550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生产、销售：商品混凝土；销售：建筑材料。</w:t>
            </w:r>
          </w:p>
        </w:tc>
      </w:tr>
      <w:tr w14:paraId="234F00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364" w:type="pct"/>
            <w:vAlign w:val="center"/>
          </w:tcPr>
          <w:p w14:paraId="7AAA8DE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39</w:t>
            </w:r>
          </w:p>
        </w:tc>
        <w:tc>
          <w:tcPr>
            <w:tcW w:w="893" w:type="pct"/>
            <w:vAlign w:val="center"/>
          </w:tcPr>
          <w:p w14:paraId="7040875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鄂州今朝新型建材有限公司</w:t>
            </w:r>
          </w:p>
        </w:tc>
        <w:tc>
          <w:tcPr>
            <w:tcW w:w="885" w:type="pct"/>
            <w:vAlign w:val="center"/>
          </w:tcPr>
          <w:p w14:paraId="10E5878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鄂州市华容区临江乡马桥村</w:t>
            </w:r>
          </w:p>
        </w:tc>
        <w:tc>
          <w:tcPr>
            <w:tcW w:w="2857" w:type="pct"/>
            <w:vAlign w:val="center"/>
          </w:tcPr>
          <w:p w14:paraId="48F5DF9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生产、销售：加气混凝土砌块、灰沙砖。</w:t>
            </w:r>
          </w:p>
        </w:tc>
      </w:tr>
      <w:tr w14:paraId="7C07C0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364" w:type="pct"/>
            <w:vAlign w:val="center"/>
          </w:tcPr>
          <w:p w14:paraId="14E9ECE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40</w:t>
            </w:r>
          </w:p>
        </w:tc>
        <w:tc>
          <w:tcPr>
            <w:tcW w:w="893" w:type="pct"/>
            <w:vAlign w:val="center"/>
          </w:tcPr>
          <w:p w14:paraId="47794BE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湖北三江港远华建材有限公司</w:t>
            </w:r>
          </w:p>
        </w:tc>
        <w:tc>
          <w:tcPr>
            <w:tcW w:w="885" w:type="pct"/>
            <w:vAlign w:val="center"/>
          </w:tcPr>
          <w:p w14:paraId="42DB3DF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鄂州市临江乡临江村二组</w:t>
            </w:r>
          </w:p>
        </w:tc>
        <w:tc>
          <w:tcPr>
            <w:tcW w:w="2857" w:type="pct"/>
            <w:vAlign w:val="center"/>
          </w:tcPr>
          <w:p w14:paraId="1DA1499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沥青砼混凝土、水泥混凝土、水泥稳定土生产及销售（不含危险化学品）；销售：钢材、水泥、碎石、黄砂、石材、金属材料、装饰材料、工程塑料、预应力钢筋混凝土管桩、建筑材料；普通货物运输；碎石加工；机械租赁；道路路面工程。</w:t>
            </w:r>
          </w:p>
        </w:tc>
      </w:tr>
      <w:tr w14:paraId="5C14D4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364" w:type="pct"/>
            <w:vAlign w:val="center"/>
          </w:tcPr>
          <w:p w14:paraId="78F6A52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41</w:t>
            </w:r>
          </w:p>
        </w:tc>
        <w:tc>
          <w:tcPr>
            <w:tcW w:w="893" w:type="pct"/>
            <w:vAlign w:val="center"/>
          </w:tcPr>
          <w:p w14:paraId="5D9FF2AF">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湖北国权水泥制造有限公司</w:t>
            </w:r>
          </w:p>
        </w:tc>
        <w:tc>
          <w:tcPr>
            <w:tcW w:w="885" w:type="pct"/>
            <w:vAlign w:val="center"/>
          </w:tcPr>
          <w:p w14:paraId="62FEF2C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鄂州市临江乡马桥</w:t>
            </w:r>
          </w:p>
        </w:tc>
        <w:tc>
          <w:tcPr>
            <w:tcW w:w="2857" w:type="pct"/>
            <w:vAlign w:val="center"/>
          </w:tcPr>
          <w:p w14:paraId="2781B3C1">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生产、销售：通用水泥、干粉砂浆。</w:t>
            </w:r>
          </w:p>
        </w:tc>
      </w:tr>
      <w:tr w14:paraId="3F9E9E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364" w:type="pct"/>
            <w:vAlign w:val="center"/>
          </w:tcPr>
          <w:p w14:paraId="580D4D6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42</w:t>
            </w:r>
          </w:p>
        </w:tc>
        <w:tc>
          <w:tcPr>
            <w:tcW w:w="893" w:type="pct"/>
            <w:vAlign w:val="center"/>
          </w:tcPr>
          <w:p w14:paraId="547AA3D4">
            <w:pPr>
              <w:keepNext w:val="0"/>
              <w:keepLines w:val="0"/>
              <w:widowControl/>
              <w:suppressLineNumbers w:val="0"/>
              <w:spacing w:before="0" w:beforeAutospacing="0" w:after="0" w:afterAutospacing="0" w:line="240" w:lineRule="auto"/>
              <w:ind w:left="0" w:right="0"/>
              <w:jc w:val="both"/>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湖北交投致远新材料科技有限公司</w:t>
            </w:r>
          </w:p>
        </w:tc>
        <w:tc>
          <w:tcPr>
            <w:tcW w:w="885" w:type="pct"/>
            <w:vAlign w:val="center"/>
          </w:tcPr>
          <w:p w14:paraId="100261B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鄂州市华容区临江乡粑铺村粑铺村委会1号</w:t>
            </w:r>
          </w:p>
        </w:tc>
        <w:tc>
          <w:tcPr>
            <w:tcW w:w="2857" w:type="pct"/>
            <w:vAlign w:val="center"/>
          </w:tcPr>
          <w:p w14:paraId="6D0877A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改性沥青、乳化沥青生产；沥青仓储（不含危险化学品）；物流服务、普通货运；沥青研制技术及路面技术开发、技术服务及信息咨询服务；批零兼营：润滑油、重油、化工产品（不含危险化学品）、建筑材料、沥青、沥青添加剂、公路用新材料及其它沥青类产品等。</w:t>
            </w:r>
          </w:p>
        </w:tc>
      </w:tr>
      <w:tr w14:paraId="779F23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364" w:type="pct"/>
            <w:vAlign w:val="center"/>
          </w:tcPr>
          <w:p w14:paraId="75A39C8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i w:val="0"/>
                <w:color w:val="auto"/>
                <w:kern w:val="0"/>
                <w:sz w:val="21"/>
                <w:szCs w:val="21"/>
                <w:highlight w:val="none"/>
                <w:u w:val="none"/>
                <w:lang w:val="en-US" w:eastAsia="zh-CN" w:bidi="ar"/>
              </w:rPr>
              <w:t>43</w:t>
            </w:r>
          </w:p>
        </w:tc>
        <w:tc>
          <w:tcPr>
            <w:tcW w:w="893" w:type="pct"/>
            <w:vAlign w:val="center"/>
          </w:tcPr>
          <w:p w14:paraId="31B62B5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理工光大造船鄂州股份有限公司</w:t>
            </w:r>
          </w:p>
        </w:tc>
        <w:tc>
          <w:tcPr>
            <w:tcW w:w="885" w:type="pct"/>
            <w:vAlign w:val="center"/>
          </w:tcPr>
          <w:p w14:paraId="3A428EA0">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鄂州市华容区临江乡临江大道</w:t>
            </w:r>
            <w:r>
              <w:rPr>
                <w:rStyle w:val="71"/>
                <w:rFonts w:hint="default" w:ascii="Times New Roman" w:hAnsi="Times New Roman" w:eastAsia="宋体" w:cs="Times New Roman"/>
                <w:color w:val="auto"/>
                <w:sz w:val="21"/>
                <w:szCs w:val="21"/>
                <w:highlight w:val="none"/>
                <w:lang w:val="en-US" w:eastAsia="zh-CN" w:bidi="ar"/>
              </w:rPr>
              <w:t>2</w:t>
            </w:r>
            <w:r>
              <w:rPr>
                <w:rFonts w:hint="default" w:ascii="Times New Roman" w:hAnsi="Times New Roman" w:eastAsia="宋体" w:cs="Times New Roman"/>
                <w:i w:val="0"/>
                <w:color w:val="auto"/>
                <w:kern w:val="0"/>
                <w:sz w:val="21"/>
                <w:szCs w:val="21"/>
                <w:highlight w:val="none"/>
                <w:u w:val="none"/>
                <w:lang w:val="en-US" w:eastAsia="zh-CN" w:bidi="ar"/>
              </w:rPr>
              <w:t>号</w:t>
            </w:r>
          </w:p>
        </w:tc>
        <w:tc>
          <w:tcPr>
            <w:tcW w:w="2857" w:type="pct"/>
            <w:vAlign w:val="center"/>
          </w:tcPr>
          <w:p w14:paraId="1EF7309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船舶与海洋工程专用设备的制造、维修、销售；船舶与海洋工程技术咨询服务；货物进出口、技术进出口业务；码头经营。</w:t>
            </w:r>
          </w:p>
        </w:tc>
      </w:tr>
    </w:tbl>
    <w:p w14:paraId="51B586A2">
      <w:pPr>
        <w:keepNext/>
        <w:keepLines/>
        <w:tabs>
          <w:tab w:val="left" w:pos="425"/>
        </w:tabs>
        <w:spacing w:line="240" w:lineRule="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注：</w:t>
      </w:r>
      <w:r>
        <w:rPr>
          <w:rFonts w:hint="default" w:ascii="Times New Roman" w:hAnsi="Times New Roman" w:cs="Times New Roman"/>
          <w:b/>
          <w:bCs/>
          <w:color w:val="auto"/>
          <w:sz w:val="18"/>
          <w:szCs w:val="18"/>
          <w:highlight w:val="none"/>
          <w:lang w:val="en-US" w:eastAsia="zh-CN"/>
        </w:rPr>
        <w:t>①</w:t>
      </w:r>
      <w:r>
        <w:rPr>
          <w:rFonts w:hint="default" w:ascii="Times New Roman" w:hAnsi="Times New Roman" w:cs="Times New Roman"/>
          <w:b/>
          <w:bCs/>
          <w:color w:val="auto"/>
          <w:sz w:val="18"/>
          <w:szCs w:val="18"/>
          <w:highlight w:val="none"/>
        </w:rPr>
        <w:t>企业位置和主要经营范围</w:t>
      </w:r>
      <w:r>
        <w:rPr>
          <w:rFonts w:hint="default" w:ascii="Times New Roman" w:hAnsi="Times New Roman" w:cs="Times New Roman"/>
          <w:b/>
          <w:bCs/>
          <w:color w:val="auto"/>
          <w:sz w:val="18"/>
          <w:szCs w:val="18"/>
          <w:highlight w:val="none"/>
          <w:lang w:val="en-US" w:eastAsia="zh-CN"/>
        </w:rPr>
        <w:t>结合现场踏勘情况及</w:t>
      </w:r>
      <w:r>
        <w:rPr>
          <w:rFonts w:hint="default" w:ascii="Times New Roman" w:hAnsi="Times New Roman" w:cs="Times New Roman"/>
          <w:b/>
          <w:bCs/>
          <w:color w:val="auto"/>
          <w:sz w:val="18"/>
          <w:szCs w:val="18"/>
          <w:highlight w:val="none"/>
        </w:rPr>
        <w:t>国家企业信用信息系统</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http://www.gsxt.gov.cn/index.html</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查询得到；</w:t>
      </w:r>
    </w:p>
    <w:p w14:paraId="7973F541">
      <w:pPr>
        <w:keepNext/>
        <w:keepLines/>
        <w:tabs>
          <w:tab w:val="left" w:pos="425"/>
        </w:tabs>
        <w:spacing w:line="240" w:lineRule="auto"/>
        <w:ind w:firstLine="361" w:firstLineChars="200"/>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lang w:val="en-US" w:eastAsia="zh-CN"/>
        </w:rPr>
        <w:t>②</w:t>
      </w:r>
      <w:r>
        <w:rPr>
          <w:rFonts w:hint="default" w:ascii="Times New Roman" w:hAnsi="Times New Roman" w:cs="Times New Roman"/>
          <w:b/>
          <w:bCs/>
          <w:color w:val="auto"/>
          <w:sz w:val="18"/>
          <w:szCs w:val="18"/>
          <w:highlight w:val="none"/>
        </w:rPr>
        <w:t>加粗企业为土壤污染重点行业类别及土壤污染重点企业</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lang w:val="en-US" w:eastAsia="zh-CN"/>
        </w:rPr>
        <w:t>简称“重点行业企业”</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，基本信息来源于重点行业企业用地调查信息管理系统；</w:t>
      </w:r>
    </w:p>
    <w:p w14:paraId="0B9219BC">
      <w:pPr>
        <w:keepNext/>
        <w:keepLines/>
        <w:tabs>
          <w:tab w:val="left" w:pos="425"/>
        </w:tabs>
        <w:spacing w:line="240" w:lineRule="auto"/>
        <w:ind w:firstLine="361" w:firstLineChars="200"/>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lang w:val="en-US" w:eastAsia="zh-CN"/>
        </w:rPr>
        <w:t>③</w:t>
      </w:r>
      <w:r>
        <w:rPr>
          <w:rFonts w:hint="default" w:ascii="Times New Roman" w:hAnsi="Times New Roman" w:cs="Times New Roman"/>
          <w:b/>
          <w:bCs/>
          <w:color w:val="auto"/>
          <w:sz w:val="18"/>
          <w:szCs w:val="18"/>
          <w:highlight w:val="none"/>
        </w:rPr>
        <w:t>阴影企业为已取得排污许可证企业（截</w:t>
      </w:r>
      <w:r>
        <w:rPr>
          <w:rFonts w:hint="eastAsia" w:cs="Times New Roman"/>
          <w:b/>
          <w:bCs/>
          <w:color w:val="auto"/>
          <w:sz w:val="18"/>
          <w:szCs w:val="18"/>
          <w:highlight w:val="none"/>
          <w:lang w:val="en-US" w:eastAsia="zh-CN"/>
        </w:rPr>
        <w:t>至</w:t>
      </w:r>
      <w:bookmarkStart w:id="88" w:name="_GoBack"/>
      <w:bookmarkEnd w:id="88"/>
      <w:r>
        <w:rPr>
          <w:rFonts w:hint="default" w:ascii="Times New Roman" w:hAnsi="Times New Roman" w:cs="Times New Roman"/>
          <w:b/>
          <w:bCs/>
          <w:color w:val="auto"/>
          <w:sz w:val="18"/>
          <w:szCs w:val="18"/>
          <w:highlight w:val="none"/>
        </w:rPr>
        <w:t>202</w:t>
      </w:r>
      <w:r>
        <w:rPr>
          <w:rFonts w:hint="default" w:ascii="Times New Roman" w:hAnsi="Times New Roman" w:cs="Times New Roman"/>
          <w:b/>
          <w:bCs/>
          <w:color w:val="auto"/>
          <w:sz w:val="18"/>
          <w:szCs w:val="18"/>
          <w:highlight w:val="none"/>
          <w:lang w:val="en-US" w:eastAsia="zh-CN"/>
        </w:rPr>
        <w:t>1</w:t>
      </w:r>
      <w:r>
        <w:rPr>
          <w:rFonts w:hint="default" w:ascii="Times New Roman" w:hAnsi="Times New Roman" w:cs="Times New Roman"/>
          <w:b/>
          <w:bCs/>
          <w:color w:val="auto"/>
          <w:sz w:val="18"/>
          <w:szCs w:val="18"/>
          <w:highlight w:val="none"/>
        </w:rPr>
        <w:t>年</w:t>
      </w:r>
      <w:r>
        <w:rPr>
          <w:rFonts w:hint="default" w:ascii="Times New Roman" w:hAnsi="Times New Roman" w:cs="Times New Roman"/>
          <w:b/>
          <w:bCs/>
          <w:color w:val="auto"/>
          <w:sz w:val="18"/>
          <w:szCs w:val="18"/>
          <w:highlight w:val="none"/>
          <w:lang w:val="en-US" w:eastAsia="zh-CN"/>
        </w:rPr>
        <w:t>1</w:t>
      </w:r>
      <w:r>
        <w:rPr>
          <w:rFonts w:hint="default" w:ascii="Times New Roman" w:hAnsi="Times New Roman" w:cs="Times New Roman"/>
          <w:b/>
          <w:bCs/>
          <w:color w:val="auto"/>
          <w:sz w:val="18"/>
          <w:szCs w:val="18"/>
          <w:highlight w:val="none"/>
        </w:rPr>
        <w:t>月），基本信息来源于全国排污许可证管理信息平台 公开端（http://permit.mee.gov.cn/）。</w:t>
      </w:r>
    </w:p>
    <w:p w14:paraId="5E99D009">
      <w:pPr>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b w:val="0"/>
          <w:bCs w:val="0"/>
          <w:color w:val="auto"/>
          <w:kern w:val="0"/>
          <w:sz w:val="24"/>
          <w:szCs w:val="24"/>
          <w:highlight w:val="none"/>
          <w:lang w:val="en-US" w:eastAsia="zh-CN"/>
        </w:rPr>
        <w:t>园区内主要已建成企业经营范围如表2-2-2，</w:t>
      </w:r>
      <w:r>
        <w:rPr>
          <w:rFonts w:hint="eastAsia" w:cs="Times New Roman"/>
          <w:b w:val="0"/>
          <w:bCs w:val="0"/>
          <w:color w:val="auto"/>
          <w:kern w:val="0"/>
          <w:sz w:val="24"/>
          <w:szCs w:val="24"/>
          <w:highlight w:val="none"/>
          <w:lang w:val="en-US" w:eastAsia="zh-CN"/>
        </w:rPr>
        <w:t>园区企业与产业定位基本一致。</w:t>
      </w:r>
      <w:r>
        <w:rPr>
          <w:rFonts w:hint="default" w:ascii="Times New Roman" w:hAnsi="Times New Roman" w:cs="Times New Roman"/>
          <w:b w:val="0"/>
          <w:bCs w:val="0"/>
          <w:color w:val="auto"/>
          <w:kern w:val="0"/>
          <w:sz w:val="24"/>
          <w:szCs w:val="24"/>
          <w:highlight w:val="none"/>
          <w:lang w:val="en-US" w:eastAsia="zh-CN"/>
        </w:rPr>
        <w:t>其中重点行业企业有2家，分别为</w:t>
      </w:r>
      <w:r>
        <w:rPr>
          <w:rFonts w:hint="default" w:ascii="Times New Roman" w:hAnsi="Times New Roman" w:eastAsia="宋体" w:cs="Times New Roman"/>
          <w:b w:val="0"/>
          <w:bCs w:val="0"/>
          <w:i w:val="0"/>
          <w:color w:val="auto"/>
          <w:kern w:val="0"/>
          <w:sz w:val="24"/>
          <w:szCs w:val="24"/>
          <w:highlight w:val="none"/>
          <w:u w:val="none"/>
          <w:lang w:val="en-US" w:eastAsia="zh-CN" w:bidi="ar"/>
        </w:rPr>
        <w:t>鄂州市力兴统领科技有限公司</w:t>
      </w:r>
      <w:r>
        <w:rPr>
          <w:rFonts w:hint="default" w:ascii="Times New Roman" w:hAnsi="Times New Roman" w:cs="Times New Roman"/>
          <w:b w:val="0"/>
          <w:bCs w:val="0"/>
          <w:color w:val="auto"/>
          <w:kern w:val="0"/>
          <w:sz w:val="24"/>
          <w:szCs w:val="24"/>
          <w:highlight w:val="none"/>
          <w:u w:val="none"/>
          <w:lang w:val="en-US" w:eastAsia="zh-CN" w:bidi="ar"/>
        </w:rPr>
        <w:t>、</w:t>
      </w:r>
      <w:r>
        <w:rPr>
          <w:rFonts w:hint="default" w:ascii="Times New Roman" w:hAnsi="Times New Roman" w:eastAsia="宋体" w:cs="Times New Roman"/>
          <w:b w:val="0"/>
          <w:bCs w:val="0"/>
          <w:i w:val="0"/>
          <w:color w:val="auto"/>
          <w:kern w:val="0"/>
          <w:sz w:val="24"/>
          <w:szCs w:val="24"/>
          <w:highlight w:val="none"/>
          <w:u w:val="none"/>
          <w:lang w:val="en-US" w:eastAsia="zh-CN" w:bidi="ar"/>
        </w:rPr>
        <w:t>湖北鸿昇矿业有限公司</w:t>
      </w:r>
      <w:r>
        <w:rPr>
          <w:rFonts w:hint="default" w:ascii="Times New Roman" w:hAnsi="Times New Roman" w:cs="Times New Roman"/>
          <w:b w:val="0"/>
          <w:bCs w:val="0"/>
          <w:color w:val="auto"/>
          <w:kern w:val="0"/>
          <w:sz w:val="24"/>
          <w:szCs w:val="24"/>
          <w:highlight w:val="none"/>
          <w:u w:val="none"/>
          <w:lang w:val="en-US" w:eastAsia="zh-CN" w:bidi="ar"/>
        </w:rPr>
        <w:t>；已取得排污许可证企业5家，分别为</w:t>
      </w:r>
      <w:r>
        <w:rPr>
          <w:rFonts w:hint="default" w:ascii="Times New Roman" w:hAnsi="Times New Roman" w:eastAsia="宋体" w:cs="Times New Roman"/>
          <w:b w:val="0"/>
          <w:bCs w:val="0"/>
          <w:i w:val="0"/>
          <w:color w:val="auto"/>
          <w:kern w:val="0"/>
          <w:sz w:val="24"/>
          <w:szCs w:val="24"/>
          <w:highlight w:val="none"/>
          <w:u w:val="none"/>
          <w:lang w:val="en-US" w:eastAsia="zh-CN" w:bidi="ar"/>
        </w:rPr>
        <w:t>华新水泥（鄂州）有限公司</w:t>
      </w:r>
      <w:r>
        <w:rPr>
          <w:rFonts w:hint="default" w:ascii="Times New Roman" w:hAnsi="Times New Roman" w:cs="Times New Roman"/>
          <w:b w:val="0"/>
          <w:bCs w:val="0"/>
          <w:i w:val="0"/>
          <w:color w:val="000000"/>
          <w:kern w:val="0"/>
          <w:sz w:val="24"/>
          <w:szCs w:val="24"/>
          <w:highlight w:val="none"/>
          <w:u w:val="none"/>
          <w:lang w:val="en-US" w:eastAsia="zh-CN" w:bidi="ar"/>
        </w:rPr>
        <w:t>、</w:t>
      </w:r>
      <w:r>
        <w:rPr>
          <w:rFonts w:hint="default" w:ascii="Times New Roman" w:hAnsi="Times New Roman" w:eastAsia="宋体" w:cs="Times New Roman"/>
          <w:b w:val="0"/>
          <w:bCs w:val="0"/>
          <w:i w:val="0"/>
          <w:color w:val="auto"/>
          <w:kern w:val="0"/>
          <w:sz w:val="24"/>
          <w:szCs w:val="24"/>
          <w:highlight w:val="none"/>
          <w:u w:val="none"/>
          <w:lang w:val="en-US" w:eastAsia="zh-CN" w:bidi="ar"/>
        </w:rPr>
        <w:t>湖北宇拓新型墙材有限公司</w:t>
      </w:r>
      <w:r>
        <w:rPr>
          <w:rFonts w:hint="default" w:ascii="Times New Roman" w:hAnsi="Times New Roman" w:cs="Times New Roman"/>
          <w:b w:val="0"/>
          <w:bCs w:val="0"/>
          <w:i w:val="0"/>
          <w:color w:val="4E4E4E"/>
          <w:kern w:val="0"/>
          <w:sz w:val="24"/>
          <w:szCs w:val="24"/>
          <w:highlight w:val="none"/>
          <w:u w:val="none"/>
          <w:lang w:val="en-US" w:eastAsia="zh-CN" w:bidi="ar"/>
        </w:rPr>
        <w:t>、</w:t>
      </w:r>
      <w:r>
        <w:rPr>
          <w:rFonts w:hint="default" w:ascii="Times New Roman" w:hAnsi="Times New Roman" w:eastAsia="宋体" w:cs="Times New Roman"/>
          <w:b w:val="0"/>
          <w:bCs w:val="0"/>
          <w:i w:val="0"/>
          <w:color w:val="auto"/>
          <w:kern w:val="0"/>
          <w:sz w:val="24"/>
          <w:szCs w:val="24"/>
          <w:highlight w:val="none"/>
          <w:u w:val="none"/>
          <w:lang w:val="en-US" w:eastAsia="zh-CN" w:bidi="ar"/>
        </w:rPr>
        <w:t>鄂州市国伟建材有限责任公司</w:t>
      </w:r>
      <w:r>
        <w:rPr>
          <w:rFonts w:hint="default" w:ascii="Times New Roman" w:hAnsi="Times New Roman" w:cs="Times New Roman"/>
          <w:b w:val="0"/>
          <w:bCs w:val="0"/>
          <w:i w:val="0"/>
          <w:color w:val="auto"/>
          <w:kern w:val="0"/>
          <w:sz w:val="24"/>
          <w:szCs w:val="24"/>
          <w:highlight w:val="none"/>
          <w:u w:val="none"/>
          <w:lang w:val="en-US" w:eastAsia="zh-CN" w:bidi="ar"/>
        </w:rPr>
        <w:t>、</w:t>
      </w:r>
      <w:r>
        <w:rPr>
          <w:rFonts w:hint="default" w:ascii="Times New Roman" w:hAnsi="Times New Roman" w:eastAsia="宋体" w:cs="Times New Roman"/>
          <w:b w:val="0"/>
          <w:bCs w:val="0"/>
          <w:i w:val="0"/>
          <w:color w:val="auto"/>
          <w:kern w:val="0"/>
          <w:sz w:val="24"/>
          <w:szCs w:val="24"/>
          <w:highlight w:val="none"/>
          <w:u w:val="none"/>
          <w:lang w:val="en-US" w:eastAsia="zh-CN" w:bidi="ar"/>
        </w:rPr>
        <w:t>湖北丽美药用包装有限公司</w:t>
      </w:r>
      <w:r>
        <w:rPr>
          <w:rFonts w:hint="default" w:ascii="Times New Roman" w:hAnsi="Times New Roman" w:cs="Times New Roman"/>
          <w:b w:val="0"/>
          <w:bCs w:val="0"/>
          <w:i w:val="0"/>
          <w:color w:val="auto"/>
          <w:kern w:val="0"/>
          <w:sz w:val="24"/>
          <w:szCs w:val="24"/>
          <w:highlight w:val="none"/>
          <w:u w:val="none"/>
          <w:lang w:val="en-US" w:eastAsia="zh-CN" w:bidi="ar"/>
        </w:rPr>
        <w:t>、</w:t>
      </w:r>
      <w:r>
        <w:rPr>
          <w:rFonts w:hint="default" w:ascii="Times New Roman" w:hAnsi="Times New Roman" w:eastAsia="宋体" w:cs="Times New Roman"/>
          <w:b w:val="0"/>
          <w:bCs w:val="0"/>
          <w:i w:val="0"/>
          <w:color w:val="auto"/>
          <w:kern w:val="0"/>
          <w:sz w:val="24"/>
          <w:szCs w:val="24"/>
          <w:highlight w:val="none"/>
          <w:u w:val="none"/>
          <w:lang w:val="en-US" w:eastAsia="zh-CN" w:bidi="ar"/>
        </w:rPr>
        <w:t>鄂州市胜利软管股份有限公司</w:t>
      </w:r>
      <w:r>
        <w:rPr>
          <w:rFonts w:hint="default" w:ascii="Times New Roman" w:hAnsi="Times New Roman" w:cs="Times New Roman"/>
          <w:b w:val="0"/>
          <w:bCs w:val="0"/>
          <w:color w:val="auto"/>
          <w:kern w:val="0"/>
          <w:sz w:val="24"/>
          <w:szCs w:val="24"/>
          <w:highlight w:val="none"/>
          <w:lang w:val="en-US" w:eastAsia="zh-CN"/>
        </w:rPr>
        <w:t>。</w:t>
      </w:r>
      <w:bookmarkStart w:id="22" w:name="_Toc8815"/>
    </w:p>
    <w:p w14:paraId="752B38BB">
      <w:pPr>
        <w:pStyle w:val="4"/>
        <w:tabs>
          <w:tab w:val="clear" w:pos="567"/>
        </w:tabs>
        <w:rPr>
          <w:rFonts w:hint="default" w:ascii="Times New Roman" w:hAnsi="Times New Roman" w:cs="Times New Roman"/>
          <w:color w:val="auto"/>
          <w:highlight w:val="none"/>
        </w:rPr>
      </w:pPr>
      <w:bookmarkStart w:id="23" w:name="_Toc4780"/>
      <w:r>
        <w:rPr>
          <w:rFonts w:hint="default" w:ascii="Times New Roman" w:hAnsi="Times New Roman" w:cs="Times New Roman"/>
          <w:color w:val="auto"/>
          <w:highlight w:val="none"/>
          <w:lang w:eastAsia="zh-CN"/>
        </w:rPr>
        <w:t>园区</w:t>
      </w:r>
      <w:r>
        <w:rPr>
          <w:rFonts w:hint="default" w:ascii="Times New Roman" w:hAnsi="Times New Roman" w:cs="Times New Roman"/>
          <w:color w:val="auto"/>
          <w:highlight w:val="none"/>
        </w:rPr>
        <w:t>污染源分析</w:t>
      </w:r>
      <w:bookmarkEnd w:id="22"/>
      <w:bookmarkEnd w:id="23"/>
    </w:p>
    <w:p w14:paraId="748CBFBC">
      <w:pPr>
        <w:spacing w:line="360" w:lineRule="auto"/>
        <w:ind w:firstLine="480"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园区特征污染源识别主要依据园区规划产业定位确定，并根据重点行业企业用地调查信息管理系统、全国排污许可证管理信息平台公开端补充典型企业污染因子。</w:t>
      </w:r>
    </w:p>
    <w:p w14:paraId="4A9F0AE1">
      <w:pPr>
        <w:spacing w:line="360" w:lineRule="auto"/>
        <w:ind w:firstLine="480"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三江港经济区重点发展</w:t>
      </w:r>
      <w:r>
        <w:rPr>
          <w:rFonts w:hint="default" w:ascii="Times New Roman" w:hAnsi="Times New Roman" w:cs="Times New Roman"/>
          <w:color w:val="auto"/>
          <w:kern w:val="0"/>
          <w:sz w:val="24"/>
          <w:highlight w:val="none"/>
          <w:lang w:val="en-US" w:eastAsia="zh-CN"/>
        </w:rPr>
        <w:t>冶金、机械制造、石化、建材</w:t>
      </w:r>
      <w:r>
        <w:rPr>
          <w:rFonts w:hint="default" w:ascii="Times New Roman" w:hAnsi="Times New Roman" w:cs="Times New Roman"/>
          <w:b w:val="0"/>
          <w:bCs w:val="0"/>
          <w:color w:val="auto"/>
          <w:kern w:val="0"/>
          <w:sz w:val="24"/>
          <w:highlight w:val="none"/>
          <w:lang w:val="en-US" w:eastAsia="zh-CN"/>
        </w:rPr>
        <w:t>：</w:t>
      </w:r>
    </w:p>
    <w:p w14:paraId="025C28EE">
      <w:pPr>
        <w:spacing w:line="360" w:lineRule="auto"/>
        <w:ind w:firstLine="482"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冶金：</w:t>
      </w:r>
      <w:r>
        <w:rPr>
          <w:rFonts w:hint="default" w:ascii="Times New Roman" w:hAnsi="Times New Roman" w:cs="Times New Roman"/>
          <w:b w:val="0"/>
          <w:bCs w:val="0"/>
          <w:color w:val="auto"/>
          <w:kern w:val="0"/>
          <w:sz w:val="24"/>
          <w:highlight w:val="none"/>
          <w:lang w:val="en-US" w:eastAsia="zh-CN"/>
        </w:rPr>
        <w:t>冶金包括黑色金属冶炼和有色金属冶炼两大类，其中黑色金属冶炼主要的污染源有烧结球团、高炉炼</w:t>
      </w:r>
      <w:r>
        <w:rPr>
          <w:rFonts w:hint="default" w:ascii="Times New Roman" w:hAnsi="Times New Roman" w:cs="Times New Roman"/>
          <w:b w:val="0"/>
          <w:bCs w:val="0"/>
          <w:color w:val="auto"/>
          <w:kern w:val="0"/>
          <w:sz w:val="24"/>
          <w:szCs w:val="24"/>
          <w:highlight w:val="none"/>
          <w:lang w:val="en-US" w:eastAsia="zh-CN"/>
        </w:rPr>
        <w:t>铁、</w:t>
      </w:r>
      <w:r>
        <w:rPr>
          <w:rFonts w:hint="default" w:ascii="Times New Roman" w:hAnsi="Times New Roman" w:cs="Times New Roman"/>
          <w:color w:val="auto"/>
          <w:sz w:val="24"/>
          <w:szCs w:val="24"/>
          <w:highlight w:val="none"/>
          <w:vertAlign w:val="baseline"/>
          <w:lang w:val="en-US" w:eastAsia="zh-CN"/>
        </w:rPr>
        <w:t>转炉、电炉</w:t>
      </w:r>
      <w:r>
        <w:rPr>
          <w:rFonts w:hint="default" w:ascii="Times New Roman" w:hAnsi="Times New Roman" w:cs="Times New Roman"/>
          <w:b w:val="0"/>
          <w:bCs w:val="0"/>
          <w:color w:val="auto"/>
          <w:kern w:val="0"/>
          <w:sz w:val="24"/>
          <w:highlight w:val="none"/>
          <w:lang w:val="en-US" w:eastAsia="zh-CN"/>
        </w:rPr>
        <w:t>产生、</w:t>
      </w:r>
      <w:r>
        <w:rPr>
          <w:rFonts w:hint="default" w:ascii="Times New Roman" w:hAnsi="Times New Roman" w:eastAsia="宋体" w:cs="Times New Roman"/>
          <w:color w:val="auto"/>
          <w:sz w:val="24"/>
          <w:szCs w:val="24"/>
          <w:highlight w:val="none"/>
        </w:rPr>
        <w:t>铁合金矿热炉及其他冶炼装置</w:t>
      </w:r>
      <w:r>
        <w:rPr>
          <w:rFonts w:hint="default" w:ascii="Times New Roman" w:hAnsi="Times New Roman" w:cs="Times New Roman"/>
          <w:b w:val="0"/>
          <w:bCs w:val="0"/>
          <w:color w:val="auto"/>
          <w:kern w:val="0"/>
          <w:sz w:val="24"/>
          <w:highlight w:val="none"/>
          <w:lang w:val="en-US" w:eastAsia="zh-CN"/>
        </w:rPr>
        <w:t>的废气，水冲渣、煤气净化水、煤气洗涤废水、连铸废水、渣水淬废水、直接冷却水，以及产生的废油、钢渣、冶炼渣、水处理污泥、矿热炉除尘灰等固废；有色金属冶炼主要的污染源有冶炼环境集烟、再生冶炼</w:t>
      </w:r>
      <w:r>
        <w:rPr>
          <w:rFonts w:hint="default" w:ascii="Times New Roman" w:hAnsi="Times New Roman" w:eastAsia="宋体" w:cs="Times New Roman"/>
          <w:color w:val="auto"/>
          <w:sz w:val="24"/>
          <w:szCs w:val="24"/>
          <w:highlight w:val="none"/>
        </w:rPr>
        <w:t>及其他冶炼装置</w:t>
      </w:r>
      <w:r>
        <w:rPr>
          <w:rFonts w:hint="default" w:ascii="Times New Roman" w:hAnsi="Times New Roman" w:cs="Times New Roman"/>
          <w:b w:val="0"/>
          <w:bCs w:val="0"/>
          <w:color w:val="auto"/>
          <w:kern w:val="0"/>
          <w:sz w:val="24"/>
          <w:highlight w:val="none"/>
          <w:lang w:val="en-US" w:eastAsia="zh-CN"/>
        </w:rPr>
        <w:t>的废气，生产废水，以及产生的冶炼渣、水处理污泥、废酸等固废。</w:t>
      </w:r>
    </w:p>
    <w:p w14:paraId="177398D2">
      <w:pPr>
        <w:spacing w:line="360" w:lineRule="auto"/>
        <w:ind w:firstLine="482"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机械制造：</w:t>
      </w:r>
      <w:r>
        <w:rPr>
          <w:rFonts w:hint="default" w:ascii="Times New Roman" w:hAnsi="Times New Roman" w:cs="Times New Roman"/>
          <w:b w:val="0"/>
          <w:bCs w:val="0"/>
          <w:color w:val="auto"/>
          <w:kern w:val="0"/>
          <w:sz w:val="24"/>
          <w:highlight w:val="none"/>
          <w:lang w:val="en-US" w:eastAsia="zh-CN"/>
        </w:rPr>
        <w:t>主要的污染源有铸造、锻压、焊接、热处理等过程产生的粉尘、锰尘、含氟废气，电镀过程中产生的含重金属废水、切削加工过程中产生的切削液清洗液等，以及熔炼炉渣、浇注废渣、热处理熔渣、焊接废渣、电镀废渣、锻造氧化皮等固废。</w:t>
      </w:r>
    </w:p>
    <w:p w14:paraId="76338D36">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bCs/>
          <w:color w:val="auto"/>
          <w:highlight w:val="none"/>
          <w:lang w:val="en-US" w:eastAsia="zh-CN"/>
        </w:rPr>
        <w:t>石化：</w:t>
      </w:r>
      <w:r>
        <w:rPr>
          <w:rFonts w:hint="default" w:ascii="Times New Roman" w:hAnsi="Times New Roman" w:cs="Times New Roman"/>
          <w:b w:val="0"/>
          <w:bCs w:val="0"/>
          <w:color w:val="auto"/>
          <w:highlight w:val="none"/>
          <w:lang w:val="en-US" w:eastAsia="zh-CN"/>
        </w:rPr>
        <w:t>主要的污染源有废气收集处理装置、生产装置逸散、装煤、推焦、息焦、荒焦炉煤气净化和化学产品回收过程中产生的废气，炼化企业含油废水、含硫废水、含碱废水、含酚废水、焦化废水、选煤废水、煤场渗滤水等多种废水，碱渣、含油含重金属污泥、废金属催化剂、废酸、石油精制废白土渣、废催化剂、含油含重金属污泥、焦油渣、水处理污泥、干法脱硫废液沉渣、酸焦油等固废。</w:t>
      </w:r>
    </w:p>
    <w:p w14:paraId="29EDA288">
      <w:pPr>
        <w:spacing w:line="360" w:lineRule="auto"/>
        <w:ind w:firstLine="482"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建材：</w:t>
      </w:r>
      <w:r>
        <w:rPr>
          <w:rFonts w:hint="default" w:ascii="Times New Roman" w:hAnsi="Times New Roman" w:cs="Times New Roman"/>
          <w:b w:val="0"/>
          <w:bCs w:val="0"/>
          <w:color w:val="auto"/>
          <w:kern w:val="0"/>
          <w:sz w:val="24"/>
          <w:highlight w:val="none"/>
          <w:lang w:val="en-US" w:eastAsia="zh-CN"/>
        </w:rPr>
        <w:t>主要的污染源有生产过程中产生的工业粉尘、少数砖瓦厂产生的含氟废气，噪声、工业固废。</w:t>
      </w:r>
    </w:p>
    <w:p w14:paraId="168177F5">
      <w:pPr>
        <w:spacing w:line="360" w:lineRule="auto"/>
        <w:ind w:firstLine="480" w:firstLineChars="200"/>
        <w:rPr>
          <w:rFonts w:hint="default" w:ascii="Times New Roman" w:hAnsi="Times New Roman" w:eastAsia="黑体" w:cs="Times New Roman"/>
          <w:b/>
          <w:color w:val="auto"/>
          <w:sz w:val="24"/>
          <w:highlight w:val="none"/>
          <w:lang w:val="en-US" w:eastAsia="zh-CN"/>
        </w:rPr>
      </w:pPr>
      <w:r>
        <w:rPr>
          <w:rFonts w:hint="default" w:ascii="Times New Roman" w:hAnsi="Times New Roman" w:cs="Times New Roman"/>
          <w:b w:val="0"/>
          <w:bCs w:val="0"/>
          <w:color w:val="auto"/>
          <w:kern w:val="0"/>
          <w:sz w:val="24"/>
          <w:highlight w:val="none"/>
          <w:lang w:val="en-US" w:eastAsia="zh-CN"/>
        </w:rPr>
        <w:t>其中，园区内典型企业包括重点行业企业和已取得排污许可证企业等，涉及的主要污染因子如下表2-2-3：</w:t>
      </w:r>
      <w:r>
        <w:rPr>
          <w:rFonts w:hint="eastAsia" w:cs="Times New Roman"/>
          <w:b w:val="0"/>
          <w:bCs w:val="0"/>
          <w:color w:val="auto"/>
          <w:kern w:val="0"/>
          <w:sz w:val="24"/>
          <w:highlight w:val="none"/>
          <w:lang w:val="en-US" w:eastAsia="zh-CN"/>
        </w:rPr>
        <w:t xml:space="preserve"> </w:t>
      </w:r>
    </w:p>
    <w:p w14:paraId="56A7FAE2">
      <w:pPr>
        <w:spacing w:line="360" w:lineRule="auto"/>
        <w:jc w:val="center"/>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表2-2-3 园区内典型企业污染因子及影响途径</w:t>
      </w:r>
    </w:p>
    <w:tbl>
      <w:tblPr>
        <w:tblStyle w:val="22"/>
        <w:tblW w:w="498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324"/>
        <w:gridCol w:w="1591"/>
        <w:gridCol w:w="2045"/>
        <w:gridCol w:w="2087"/>
        <w:gridCol w:w="2229"/>
      </w:tblGrid>
      <w:tr w14:paraId="7D55E6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76" w:type="pct"/>
            <w:tcBorders>
              <w:bottom w:val="single" w:color="auto" w:sz="12" w:space="0"/>
            </w:tcBorders>
            <w:vAlign w:val="center"/>
          </w:tcPr>
          <w:p w14:paraId="446E990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编号</w:t>
            </w:r>
          </w:p>
        </w:tc>
        <w:tc>
          <w:tcPr>
            <w:tcW w:w="674" w:type="pct"/>
            <w:tcBorders>
              <w:bottom w:val="single" w:color="auto" w:sz="12" w:space="0"/>
            </w:tcBorders>
            <w:vAlign w:val="center"/>
          </w:tcPr>
          <w:p w14:paraId="6295ED9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典型企业</w:t>
            </w:r>
          </w:p>
        </w:tc>
        <w:tc>
          <w:tcPr>
            <w:tcW w:w="810" w:type="pct"/>
            <w:tcBorders>
              <w:bottom w:val="single" w:color="auto" w:sz="12" w:space="0"/>
            </w:tcBorders>
            <w:vAlign w:val="center"/>
          </w:tcPr>
          <w:p w14:paraId="677A59A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主要行业类别</w:t>
            </w:r>
          </w:p>
        </w:tc>
        <w:tc>
          <w:tcPr>
            <w:tcW w:w="1041" w:type="pct"/>
            <w:tcBorders>
              <w:bottom w:val="single" w:color="auto" w:sz="12" w:space="0"/>
            </w:tcBorders>
            <w:vAlign w:val="center"/>
          </w:tcPr>
          <w:p w14:paraId="6934535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主要污染因子</w:t>
            </w:r>
          </w:p>
        </w:tc>
        <w:tc>
          <w:tcPr>
            <w:tcW w:w="1062" w:type="pct"/>
            <w:tcBorders>
              <w:bottom w:val="single" w:color="auto" w:sz="12" w:space="0"/>
            </w:tcBorders>
            <w:vAlign w:val="center"/>
          </w:tcPr>
          <w:p w14:paraId="02B72DE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影响环节</w:t>
            </w:r>
          </w:p>
        </w:tc>
        <w:tc>
          <w:tcPr>
            <w:tcW w:w="1134" w:type="pct"/>
            <w:tcBorders>
              <w:bottom w:val="single" w:color="auto" w:sz="12" w:space="0"/>
            </w:tcBorders>
            <w:vAlign w:val="center"/>
          </w:tcPr>
          <w:p w14:paraId="324503E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备注</w:t>
            </w:r>
          </w:p>
        </w:tc>
      </w:tr>
      <w:tr w14:paraId="2EC556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6" w:type="pct"/>
            <w:tcBorders>
              <w:top w:val="single" w:color="auto" w:sz="12" w:space="0"/>
            </w:tcBorders>
            <w:vAlign w:val="center"/>
          </w:tcPr>
          <w:p w14:paraId="2FD283C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674" w:type="pct"/>
            <w:tcBorders>
              <w:top w:val="single" w:color="auto" w:sz="12" w:space="0"/>
            </w:tcBorders>
            <w:vAlign w:val="center"/>
          </w:tcPr>
          <w:p w14:paraId="708BCA9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华新水泥（鄂州）有限公司</w:t>
            </w:r>
          </w:p>
        </w:tc>
        <w:tc>
          <w:tcPr>
            <w:tcW w:w="810" w:type="pct"/>
            <w:tcBorders>
              <w:top w:val="single" w:color="auto" w:sz="12" w:space="0"/>
            </w:tcBorders>
            <w:vAlign w:val="center"/>
          </w:tcPr>
          <w:p w14:paraId="3C147FF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C3011</w:t>
            </w:r>
            <w:r>
              <w:rPr>
                <w:rFonts w:hint="default" w:ascii="Times New Roman" w:hAnsi="Times New Roman" w:cs="Times New Roman"/>
                <w:color w:val="auto"/>
                <w:sz w:val="21"/>
                <w:szCs w:val="21"/>
                <w:highlight w:val="none"/>
                <w:vertAlign w:val="baseline"/>
                <w:lang w:val="en-US" w:eastAsia="zh-CN"/>
              </w:rPr>
              <w:t>水泥制造</w:t>
            </w:r>
          </w:p>
        </w:tc>
        <w:tc>
          <w:tcPr>
            <w:tcW w:w="1041" w:type="pct"/>
            <w:tcBorders>
              <w:top w:val="single" w:color="auto" w:sz="12" w:space="0"/>
            </w:tcBorders>
            <w:vAlign w:val="center"/>
          </w:tcPr>
          <w:p w14:paraId="36DCFC2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氮氧化物、二氧化硫、</w:t>
            </w:r>
            <w:r>
              <w:rPr>
                <w:rFonts w:hint="default" w:ascii="Times New Roman" w:hAnsi="Times New Roman" w:cs="Times New Roman"/>
                <w:i w:val="0"/>
                <w:color w:val="auto"/>
                <w:kern w:val="0"/>
                <w:sz w:val="21"/>
                <w:szCs w:val="21"/>
                <w:highlight w:val="none"/>
                <w:u w:val="none"/>
                <w:lang w:val="en-US" w:eastAsia="zh-CN" w:bidi="ar"/>
              </w:rPr>
              <w:t>石油烃（C</w:t>
            </w:r>
            <w:r>
              <w:rPr>
                <w:rFonts w:hint="default" w:ascii="Times New Roman" w:hAnsi="Times New Roman" w:cs="Times New Roman"/>
                <w:i w:val="0"/>
                <w:color w:val="auto"/>
                <w:kern w:val="0"/>
                <w:sz w:val="21"/>
                <w:szCs w:val="21"/>
                <w:highlight w:val="none"/>
                <w:u w:val="none"/>
                <w:vertAlign w:val="subscript"/>
                <w:lang w:val="en-US" w:eastAsia="zh-CN" w:bidi="ar"/>
              </w:rPr>
              <w:t>10</w:t>
            </w:r>
            <w:r>
              <w:rPr>
                <w:rFonts w:hint="default" w:ascii="Times New Roman" w:hAnsi="Times New Roman" w:cs="Times New Roman"/>
                <w:i w:val="0"/>
                <w:color w:val="auto"/>
                <w:kern w:val="0"/>
                <w:sz w:val="21"/>
                <w:szCs w:val="21"/>
                <w:highlight w:val="none"/>
                <w:u w:val="none"/>
                <w:lang w:val="en-US" w:eastAsia="zh-CN" w:bidi="ar"/>
              </w:rPr>
              <w:t>-C</w:t>
            </w:r>
            <w:r>
              <w:rPr>
                <w:rFonts w:hint="default" w:ascii="Times New Roman" w:hAnsi="Times New Roman" w:cs="Times New Roman"/>
                <w:i w:val="0"/>
                <w:color w:val="auto"/>
                <w:kern w:val="0"/>
                <w:sz w:val="21"/>
                <w:szCs w:val="21"/>
                <w:highlight w:val="none"/>
                <w:u w:val="none"/>
                <w:vertAlign w:val="subscript"/>
                <w:lang w:val="en-US" w:eastAsia="zh-CN" w:bidi="ar"/>
              </w:rPr>
              <w:t>40</w:t>
            </w:r>
            <w:r>
              <w:rPr>
                <w:rFonts w:hint="default" w:ascii="Times New Roman" w:hAnsi="Times New Roman" w:cs="Times New Roman"/>
                <w:i w:val="0"/>
                <w:color w:val="auto"/>
                <w:kern w:val="0"/>
                <w:sz w:val="21"/>
                <w:szCs w:val="21"/>
                <w:highlight w:val="none"/>
                <w:u w:val="none"/>
                <w:lang w:val="en-US" w:eastAsia="zh-CN" w:bidi="ar"/>
              </w:rPr>
              <w:t>）</w:t>
            </w:r>
          </w:p>
        </w:tc>
        <w:tc>
          <w:tcPr>
            <w:tcW w:w="1062" w:type="pct"/>
            <w:tcBorders>
              <w:top w:val="single" w:color="auto" w:sz="12" w:space="0"/>
            </w:tcBorders>
            <w:vAlign w:val="center"/>
          </w:tcPr>
          <w:p w14:paraId="34EFD6A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废气、废水、固废：原石破碎、原料烘干、原料均化、生料粉磨、煤粉制备、水泥粉磨</w:t>
            </w:r>
          </w:p>
        </w:tc>
        <w:tc>
          <w:tcPr>
            <w:tcW w:w="1134" w:type="pct"/>
            <w:tcBorders>
              <w:top w:val="single" w:color="auto" w:sz="12" w:space="0"/>
            </w:tcBorders>
            <w:vAlign w:val="center"/>
          </w:tcPr>
          <w:p w14:paraId="79D8DF3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已取得排污许可证企业</w:t>
            </w:r>
          </w:p>
        </w:tc>
      </w:tr>
      <w:tr w14:paraId="7E18E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6" w:type="pct"/>
            <w:vAlign w:val="center"/>
          </w:tcPr>
          <w:p w14:paraId="47128F9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674" w:type="pct"/>
            <w:vAlign w:val="center"/>
          </w:tcPr>
          <w:p w14:paraId="15328F6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u w:val="none"/>
                <w:vertAlign w:val="baseline"/>
                <w:lang w:val="en-US" w:eastAsia="zh-CN" w:bidi="ar"/>
              </w:rPr>
            </w:pPr>
            <w:r>
              <w:rPr>
                <w:rFonts w:hint="default" w:ascii="Times New Roman" w:hAnsi="Times New Roman" w:eastAsia="宋体" w:cs="Times New Roman"/>
                <w:i w:val="0"/>
                <w:color w:val="auto"/>
                <w:kern w:val="2"/>
                <w:sz w:val="21"/>
                <w:szCs w:val="21"/>
                <w:highlight w:val="none"/>
                <w:u w:val="none"/>
                <w:lang w:val="en-US" w:eastAsia="zh-CN" w:bidi="ar"/>
              </w:rPr>
              <w:t>湖北宇拓新型墙材有限公司</w:t>
            </w:r>
          </w:p>
        </w:tc>
        <w:tc>
          <w:tcPr>
            <w:tcW w:w="810" w:type="pct"/>
            <w:vAlign w:val="center"/>
          </w:tcPr>
          <w:p w14:paraId="0C7EEB8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u w:val="none"/>
                <w:vertAlign w:val="baseline"/>
                <w:lang w:val="en-US" w:eastAsia="zh-CN" w:bidi="ar"/>
              </w:rPr>
            </w:pPr>
            <w:r>
              <w:rPr>
                <w:rFonts w:hint="default" w:ascii="Times New Roman" w:hAnsi="Times New Roman" w:cs="Times New Roman"/>
                <w:color w:val="auto"/>
                <w:sz w:val="21"/>
                <w:szCs w:val="21"/>
                <w:highlight w:val="none"/>
                <w:u w:val="none"/>
                <w:vertAlign w:val="baseline"/>
                <w:lang w:val="en-US" w:eastAsia="zh-CN" w:bidi="ar"/>
              </w:rPr>
              <w:t>C3031粘土砖瓦及建筑砌块制造</w:t>
            </w:r>
          </w:p>
        </w:tc>
        <w:tc>
          <w:tcPr>
            <w:tcW w:w="1041" w:type="pct"/>
            <w:vAlign w:val="center"/>
          </w:tcPr>
          <w:p w14:paraId="4621F4E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汞及其化合物、二氧化硫、氟化物</w:t>
            </w:r>
          </w:p>
        </w:tc>
        <w:tc>
          <w:tcPr>
            <w:tcW w:w="1062" w:type="pct"/>
            <w:vAlign w:val="center"/>
          </w:tcPr>
          <w:p w14:paraId="3C4597D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废气、废水：原料燃料破碎及制备成型、人工干燥及焙烧</w:t>
            </w:r>
          </w:p>
        </w:tc>
        <w:tc>
          <w:tcPr>
            <w:tcW w:w="1134" w:type="pct"/>
            <w:vAlign w:val="center"/>
          </w:tcPr>
          <w:p w14:paraId="263D833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已取得排污许可证企业</w:t>
            </w:r>
          </w:p>
        </w:tc>
      </w:tr>
      <w:tr w14:paraId="24D63A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276" w:type="pct"/>
            <w:vAlign w:val="center"/>
          </w:tcPr>
          <w:p w14:paraId="7E43CF5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w:t>
            </w:r>
          </w:p>
        </w:tc>
        <w:tc>
          <w:tcPr>
            <w:tcW w:w="674" w:type="pct"/>
            <w:vAlign w:val="center"/>
          </w:tcPr>
          <w:p w14:paraId="19BFF22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i w:val="0"/>
                <w:color w:val="auto"/>
                <w:kern w:val="2"/>
                <w:sz w:val="21"/>
                <w:szCs w:val="21"/>
                <w:highlight w:val="none"/>
                <w:u w:val="none"/>
                <w:lang w:val="en-US" w:eastAsia="zh-CN" w:bidi="ar"/>
              </w:rPr>
              <w:t>鄂州市力兴统领科技有限公司</w:t>
            </w:r>
          </w:p>
        </w:tc>
        <w:tc>
          <w:tcPr>
            <w:tcW w:w="810" w:type="pct"/>
            <w:vAlign w:val="center"/>
          </w:tcPr>
          <w:p w14:paraId="7E2AF9F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C2661化学试剂和助剂制造</w:t>
            </w:r>
          </w:p>
        </w:tc>
        <w:tc>
          <w:tcPr>
            <w:tcW w:w="1041" w:type="pct"/>
            <w:vAlign w:val="center"/>
          </w:tcPr>
          <w:p w14:paraId="7FAB4A6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萘、石油烃、砷、</w:t>
            </w:r>
          </w:p>
          <w:p w14:paraId="065AC2B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苯并(a)芘</w:t>
            </w:r>
          </w:p>
        </w:tc>
        <w:tc>
          <w:tcPr>
            <w:tcW w:w="1062" w:type="pct"/>
            <w:vAlign w:val="center"/>
          </w:tcPr>
          <w:p w14:paraId="26AF79E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废气：原料运输、混合过程中挥发</w:t>
            </w:r>
          </w:p>
          <w:p w14:paraId="0C6C903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固废：原料混合产生的废料，粉尘</w:t>
            </w:r>
          </w:p>
        </w:tc>
        <w:tc>
          <w:tcPr>
            <w:tcW w:w="1134" w:type="pct"/>
            <w:vAlign w:val="center"/>
          </w:tcPr>
          <w:p w14:paraId="5ECD813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重点行业企业</w:t>
            </w:r>
          </w:p>
        </w:tc>
      </w:tr>
      <w:tr w14:paraId="353713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6" w:type="pct"/>
            <w:vAlign w:val="center"/>
          </w:tcPr>
          <w:p w14:paraId="5738BDB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w:t>
            </w:r>
          </w:p>
        </w:tc>
        <w:tc>
          <w:tcPr>
            <w:tcW w:w="674" w:type="pct"/>
            <w:vAlign w:val="center"/>
          </w:tcPr>
          <w:p w14:paraId="7AE04B7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i w:val="0"/>
                <w:color w:val="auto"/>
                <w:kern w:val="0"/>
                <w:sz w:val="21"/>
                <w:szCs w:val="21"/>
                <w:highlight w:val="none"/>
                <w:u w:val="none"/>
                <w:lang w:val="en-US" w:eastAsia="zh-CN" w:bidi="ar"/>
              </w:rPr>
              <w:t>鄂州市国伟建材有限责任公司</w:t>
            </w:r>
          </w:p>
        </w:tc>
        <w:tc>
          <w:tcPr>
            <w:tcW w:w="810" w:type="pct"/>
            <w:vAlign w:val="center"/>
          </w:tcPr>
          <w:p w14:paraId="69CEEF0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C3031粘土砖瓦及建筑砌块制造</w:t>
            </w:r>
          </w:p>
        </w:tc>
        <w:tc>
          <w:tcPr>
            <w:tcW w:w="1041" w:type="pct"/>
            <w:vAlign w:val="center"/>
          </w:tcPr>
          <w:p w14:paraId="7034754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汞及其化合物、二氧化硫、氟化物</w:t>
            </w:r>
          </w:p>
        </w:tc>
        <w:tc>
          <w:tcPr>
            <w:tcW w:w="1062" w:type="pct"/>
            <w:vAlign w:val="center"/>
          </w:tcPr>
          <w:p w14:paraId="40F1334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废气、废水：原料燃料破碎及制备成型、人工干燥及焙烧</w:t>
            </w:r>
          </w:p>
        </w:tc>
        <w:tc>
          <w:tcPr>
            <w:tcW w:w="1134" w:type="pct"/>
            <w:vAlign w:val="center"/>
          </w:tcPr>
          <w:p w14:paraId="724082E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已取得排污许可证企业</w:t>
            </w:r>
          </w:p>
        </w:tc>
      </w:tr>
      <w:tr w14:paraId="2E2B80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6" w:type="pct"/>
            <w:vAlign w:val="center"/>
          </w:tcPr>
          <w:p w14:paraId="639B52A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w:t>
            </w:r>
          </w:p>
        </w:tc>
        <w:tc>
          <w:tcPr>
            <w:tcW w:w="674" w:type="pct"/>
            <w:vAlign w:val="center"/>
          </w:tcPr>
          <w:p w14:paraId="33847B2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湖北丽美药用包装有限公司</w:t>
            </w:r>
          </w:p>
        </w:tc>
        <w:tc>
          <w:tcPr>
            <w:tcW w:w="810" w:type="pct"/>
            <w:vAlign w:val="center"/>
          </w:tcPr>
          <w:p w14:paraId="002EB17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C3333金属包装容器及材料制造</w:t>
            </w:r>
          </w:p>
        </w:tc>
        <w:tc>
          <w:tcPr>
            <w:tcW w:w="1041" w:type="pct"/>
            <w:vAlign w:val="center"/>
          </w:tcPr>
          <w:p w14:paraId="2BE55C8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苯、甲苯、二甲苯</w:t>
            </w:r>
          </w:p>
        </w:tc>
        <w:tc>
          <w:tcPr>
            <w:tcW w:w="1062" w:type="pct"/>
            <w:vAlign w:val="center"/>
          </w:tcPr>
          <w:p w14:paraId="41783E2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废气：包装印刷过程中产生的废气</w:t>
            </w:r>
          </w:p>
        </w:tc>
        <w:tc>
          <w:tcPr>
            <w:tcW w:w="1134" w:type="pct"/>
            <w:vAlign w:val="center"/>
          </w:tcPr>
          <w:p w14:paraId="6135572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已取得排污许可证企业</w:t>
            </w:r>
          </w:p>
        </w:tc>
      </w:tr>
      <w:tr w14:paraId="1B50F6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6" w:type="pct"/>
            <w:vAlign w:val="center"/>
          </w:tcPr>
          <w:p w14:paraId="4F10F8A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w:t>
            </w:r>
          </w:p>
        </w:tc>
        <w:tc>
          <w:tcPr>
            <w:tcW w:w="674" w:type="pct"/>
            <w:vAlign w:val="center"/>
          </w:tcPr>
          <w:p w14:paraId="2C8408E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鄂州市胜利软管股份有限公司</w:t>
            </w:r>
          </w:p>
        </w:tc>
        <w:tc>
          <w:tcPr>
            <w:tcW w:w="810" w:type="pct"/>
            <w:vAlign w:val="center"/>
          </w:tcPr>
          <w:p w14:paraId="57E63D8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C3333金属日用品制造</w:t>
            </w:r>
          </w:p>
        </w:tc>
        <w:tc>
          <w:tcPr>
            <w:tcW w:w="1041" w:type="pct"/>
            <w:vAlign w:val="center"/>
          </w:tcPr>
          <w:p w14:paraId="76AD64E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苯、甲苯</w:t>
            </w:r>
          </w:p>
        </w:tc>
        <w:tc>
          <w:tcPr>
            <w:tcW w:w="1062" w:type="pct"/>
            <w:vAlign w:val="center"/>
          </w:tcPr>
          <w:p w14:paraId="5A73CCC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废气：包装印刷过程中产生的废气</w:t>
            </w:r>
          </w:p>
        </w:tc>
        <w:tc>
          <w:tcPr>
            <w:tcW w:w="1134" w:type="pct"/>
            <w:vAlign w:val="center"/>
          </w:tcPr>
          <w:p w14:paraId="2042975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已取得排污许可证企业</w:t>
            </w:r>
          </w:p>
        </w:tc>
      </w:tr>
      <w:tr w14:paraId="3DF0C9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6" w:type="pct"/>
            <w:vAlign w:val="center"/>
          </w:tcPr>
          <w:p w14:paraId="32CB22B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w:t>
            </w:r>
          </w:p>
        </w:tc>
        <w:tc>
          <w:tcPr>
            <w:tcW w:w="674" w:type="pct"/>
            <w:vAlign w:val="center"/>
          </w:tcPr>
          <w:p w14:paraId="5AF6656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湖北鸿昇矿业有限公司</w:t>
            </w:r>
          </w:p>
        </w:tc>
        <w:tc>
          <w:tcPr>
            <w:tcW w:w="810" w:type="pct"/>
            <w:vAlign w:val="center"/>
          </w:tcPr>
          <w:p w14:paraId="7DD9BF0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B0810铁矿采选</w:t>
            </w:r>
          </w:p>
        </w:tc>
        <w:tc>
          <w:tcPr>
            <w:tcW w:w="1041" w:type="pct"/>
            <w:vAlign w:val="center"/>
          </w:tcPr>
          <w:p w14:paraId="64372EC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苯并(a)芘、砷、铝、镁、铜、铅、锌、</w:t>
            </w:r>
            <w:r>
              <w:rPr>
                <w:rFonts w:hint="default" w:ascii="Times New Roman" w:hAnsi="Times New Roman" w:cs="Times New Roman"/>
                <w:i w:val="0"/>
                <w:color w:val="auto"/>
                <w:kern w:val="0"/>
                <w:sz w:val="21"/>
                <w:szCs w:val="21"/>
                <w:highlight w:val="none"/>
                <w:u w:val="none"/>
                <w:lang w:val="en-US" w:eastAsia="zh-CN" w:bidi="ar"/>
              </w:rPr>
              <w:t>石油烃（C</w:t>
            </w:r>
            <w:r>
              <w:rPr>
                <w:rFonts w:hint="default" w:ascii="Times New Roman" w:hAnsi="Times New Roman" w:cs="Times New Roman"/>
                <w:i w:val="0"/>
                <w:color w:val="auto"/>
                <w:kern w:val="0"/>
                <w:sz w:val="21"/>
                <w:szCs w:val="21"/>
                <w:highlight w:val="none"/>
                <w:u w:val="none"/>
                <w:vertAlign w:val="subscript"/>
                <w:lang w:val="en-US" w:eastAsia="zh-CN" w:bidi="ar"/>
              </w:rPr>
              <w:t>10</w:t>
            </w:r>
            <w:r>
              <w:rPr>
                <w:rFonts w:hint="default" w:ascii="Times New Roman" w:hAnsi="Times New Roman" w:cs="Times New Roman"/>
                <w:i w:val="0"/>
                <w:color w:val="auto"/>
                <w:kern w:val="0"/>
                <w:sz w:val="21"/>
                <w:szCs w:val="21"/>
                <w:highlight w:val="none"/>
                <w:u w:val="none"/>
                <w:lang w:val="en-US" w:eastAsia="zh-CN" w:bidi="ar"/>
              </w:rPr>
              <w:t>-C</w:t>
            </w:r>
            <w:r>
              <w:rPr>
                <w:rFonts w:hint="default" w:ascii="Times New Roman" w:hAnsi="Times New Roman" w:cs="Times New Roman"/>
                <w:i w:val="0"/>
                <w:color w:val="auto"/>
                <w:kern w:val="0"/>
                <w:sz w:val="21"/>
                <w:szCs w:val="21"/>
                <w:highlight w:val="none"/>
                <w:u w:val="none"/>
                <w:vertAlign w:val="subscript"/>
                <w:lang w:val="en-US" w:eastAsia="zh-CN" w:bidi="ar"/>
              </w:rPr>
              <w:t>40</w:t>
            </w:r>
            <w:r>
              <w:rPr>
                <w:rFonts w:hint="default" w:ascii="Times New Roman" w:hAnsi="Times New Roman" w:cs="Times New Roman"/>
                <w:i w:val="0"/>
                <w:color w:val="auto"/>
                <w:kern w:val="0"/>
                <w:sz w:val="21"/>
                <w:szCs w:val="21"/>
                <w:highlight w:val="none"/>
                <w:u w:val="none"/>
                <w:lang w:val="en-US" w:eastAsia="zh-CN" w:bidi="ar"/>
              </w:rPr>
              <w:t>）</w:t>
            </w:r>
          </w:p>
        </w:tc>
        <w:tc>
          <w:tcPr>
            <w:tcW w:w="1062" w:type="pct"/>
            <w:vAlign w:val="center"/>
          </w:tcPr>
          <w:p w14:paraId="054F8FF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废气：原料运输、混合过程中产生废气</w:t>
            </w:r>
          </w:p>
          <w:p w14:paraId="312DB68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废水：磁选过滤产生的废水</w:t>
            </w:r>
          </w:p>
          <w:p w14:paraId="58E8A06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固废：旋流器产生的粉尘</w:t>
            </w:r>
          </w:p>
        </w:tc>
        <w:tc>
          <w:tcPr>
            <w:tcW w:w="1134" w:type="pct"/>
            <w:vAlign w:val="center"/>
          </w:tcPr>
          <w:p w14:paraId="3675A52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重点行业企业</w:t>
            </w:r>
          </w:p>
        </w:tc>
      </w:tr>
      <w:tr w14:paraId="714F0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6" w:type="pct"/>
            <w:vAlign w:val="center"/>
          </w:tcPr>
          <w:p w14:paraId="0CB424C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8</w:t>
            </w:r>
          </w:p>
        </w:tc>
        <w:tc>
          <w:tcPr>
            <w:tcW w:w="674" w:type="pct"/>
            <w:vAlign w:val="center"/>
          </w:tcPr>
          <w:p w14:paraId="0272AAE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湖北交投致远新材料科技有限公司</w:t>
            </w:r>
          </w:p>
        </w:tc>
        <w:tc>
          <w:tcPr>
            <w:tcW w:w="810" w:type="pct"/>
            <w:vAlign w:val="center"/>
          </w:tcPr>
          <w:p w14:paraId="3B75477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C2661化学试剂和助剂制造</w:t>
            </w:r>
          </w:p>
        </w:tc>
        <w:tc>
          <w:tcPr>
            <w:tcW w:w="1041" w:type="pct"/>
            <w:vAlign w:val="center"/>
          </w:tcPr>
          <w:p w14:paraId="1ACE80D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石油类、二噁英、苯并(a)芘、</w:t>
            </w:r>
            <w:r>
              <w:rPr>
                <w:rFonts w:hint="default" w:ascii="Times New Roman" w:hAnsi="Times New Roman" w:cs="Times New Roman"/>
                <w:color w:val="auto"/>
                <w:kern w:val="0"/>
                <w:sz w:val="21"/>
                <w:szCs w:val="21"/>
                <w:highlight w:val="none"/>
                <w:lang w:val="en-US" w:eastAsia="zh-CN"/>
              </w:rPr>
              <w:t>多氯联苯、苯酚、2-甲基苯酚、4-甲基苯酚、二硫化碳、1,2,4-三甲基苯、1,3,5-三甲基苯</w:t>
            </w:r>
            <w:r>
              <w:rPr>
                <w:rFonts w:hint="eastAsia" w:cs="Times New Roman"/>
                <w:color w:val="auto"/>
                <w:kern w:val="0"/>
                <w:sz w:val="21"/>
                <w:szCs w:val="21"/>
                <w:highlight w:val="none"/>
                <w:lang w:val="en-US" w:eastAsia="zh-CN"/>
              </w:rPr>
              <w:t>、</w:t>
            </w:r>
            <w:r>
              <w:rPr>
                <w:rFonts w:hint="default" w:ascii="Times New Roman" w:hAnsi="Times New Roman" w:cs="Times New Roman"/>
                <w:i w:val="0"/>
                <w:color w:val="auto"/>
                <w:kern w:val="0"/>
                <w:sz w:val="21"/>
                <w:szCs w:val="21"/>
                <w:highlight w:val="none"/>
                <w:u w:val="none"/>
                <w:lang w:val="en-US" w:eastAsia="zh-CN" w:bidi="ar"/>
              </w:rPr>
              <w:t>石油烃（C</w:t>
            </w:r>
            <w:r>
              <w:rPr>
                <w:rFonts w:hint="default" w:ascii="Times New Roman" w:hAnsi="Times New Roman" w:cs="Times New Roman"/>
                <w:i w:val="0"/>
                <w:color w:val="auto"/>
                <w:kern w:val="0"/>
                <w:sz w:val="21"/>
                <w:szCs w:val="21"/>
                <w:highlight w:val="none"/>
                <w:u w:val="none"/>
                <w:vertAlign w:val="subscript"/>
                <w:lang w:val="en-US" w:eastAsia="zh-CN" w:bidi="ar"/>
              </w:rPr>
              <w:t>10</w:t>
            </w:r>
            <w:r>
              <w:rPr>
                <w:rFonts w:hint="default" w:ascii="Times New Roman" w:hAnsi="Times New Roman" w:cs="Times New Roman"/>
                <w:i w:val="0"/>
                <w:color w:val="auto"/>
                <w:kern w:val="0"/>
                <w:sz w:val="21"/>
                <w:szCs w:val="21"/>
                <w:highlight w:val="none"/>
                <w:u w:val="none"/>
                <w:lang w:val="en-US" w:eastAsia="zh-CN" w:bidi="ar"/>
              </w:rPr>
              <w:t>-C</w:t>
            </w:r>
            <w:r>
              <w:rPr>
                <w:rFonts w:hint="default" w:ascii="Times New Roman" w:hAnsi="Times New Roman" w:cs="Times New Roman"/>
                <w:i w:val="0"/>
                <w:color w:val="auto"/>
                <w:kern w:val="0"/>
                <w:sz w:val="21"/>
                <w:szCs w:val="21"/>
                <w:highlight w:val="none"/>
                <w:u w:val="none"/>
                <w:vertAlign w:val="subscript"/>
                <w:lang w:val="en-US" w:eastAsia="zh-CN" w:bidi="ar"/>
              </w:rPr>
              <w:t>40</w:t>
            </w:r>
            <w:r>
              <w:rPr>
                <w:rFonts w:hint="default" w:ascii="Times New Roman" w:hAnsi="Times New Roman" w:cs="Times New Roman"/>
                <w:i w:val="0"/>
                <w:color w:val="auto"/>
                <w:kern w:val="0"/>
                <w:sz w:val="21"/>
                <w:szCs w:val="21"/>
                <w:highlight w:val="none"/>
                <w:u w:val="none"/>
                <w:lang w:val="en-US" w:eastAsia="zh-CN" w:bidi="ar"/>
              </w:rPr>
              <w:t>）</w:t>
            </w:r>
          </w:p>
        </w:tc>
        <w:tc>
          <w:tcPr>
            <w:tcW w:w="1062" w:type="pct"/>
            <w:vAlign w:val="center"/>
          </w:tcPr>
          <w:p w14:paraId="236EA21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废气、废水：沥青改良、乳化</w:t>
            </w:r>
          </w:p>
        </w:tc>
        <w:tc>
          <w:tcPr>
            <w:tcW w:w="1134" w:type="pct"/>
            <w:vAlign w:val="center"/>
          </w:tcPr>
          <w:p w14:paraId="5955A6D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r>
    </w:tbl>
    <w:p w14:paraId="1F61C2B7">
      <w:pPr>
        <w:spacing w:line="360" w:lineRule="auto"/>
        <w:ind w:firstLine="480" w:firstLineChars="200"/>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综上，</w:t>
      </w:r>
      <w:r>
        <w:rPr>
          <w:rFonts w:hint="default" w:ascii="Times New Roman" w:hAnsi="Times New Roman" w:cs="Times New Roman"/>
          <w:b w:val="0"/>
          <w:bCs w:val="0"/>
          <w:color w:val="auto"/>
          <w:kern w:val="0"/>
          <w:sz w:val="24"/>
          <w:highlight w:val="none"/>
          <w:lang w:val="en-US" w:eastAsia="zh-CN"/>
        </w:rPr>
        <w:t>参考</w:t>
      </w:r>
      <w:r>
        <w:rPr>
          <w:rFonts w:hint="default" w:ascii="Times New Roman" w:hAnsi="Times New Roman" w:eastAsia="宋体" w:cs="Times New Roman"/>
          <w:color w:val="auto"/>
          <w:sz w:val="24"/>
          <w:szCs w:val="24"/>
          <w:highlight w:val="none"/>
          <w:lang w:val="en-US" w:eastAsia="zh-CN" w:bidi="ar"/>
        </w:rPr>
        <w:t>《省级土壤污染状况详查实施方案编制指南》（环办土壤函[2017]1023号）</w:t>
      </w:r>
      <w:r>
        <w:rPr>
          <w:rFonts w:hint="default" w:ascii="Times New Roman" w:hAnsi="Times New Roman" w:cs="Times New Roman"/>
          <w:color w:val="auto"/>
          <w:sz w:val="24"/>
          <w:szCs w:val="24"/>
          <w:highlight w:val="none"/>
          <w:lang w:val="en-US" w:eastAsia="zh-CN" w:bidi="ar"/>
        </w:rPr>
        <w:t>附件</w:t>
      </w:r>
      <w:r>
        <w:rPr>
          <w:rFonts w:hint="default" w:ascii="Times New Roman" w:hAnsi="Times New Roman" w:cs="Times New Roman"/>
          <w:b w:val="0"/>
          <w:bCs w:val="0"/>
          <w:color w:val="auto"/>
          <w:kern w:val="0"/>
          <w:sz w:val="24"/>
          <w:highlight w:val="none"/>
          <w:lang w:val="en-US" w:eastAsia="zh-CN"/>
        </w:rPr>
        <w:t>《</w:t>
      </w:r>
      <w:r>
        <w:rPr>
          <w:rFonts w:hint="default" w:ascii="Times New Roman" w:hAnsi="Times New Roman" w:cs="Times New Roman"/>
          <w:b w:val="0"/>
          <w:bCs w:val="0"/>
          <w:color w:val="auto"/>
          <w:sz w:val="24"/>
          <w:highlight w:val="none"/>
          <w:lang w:eastAsia="zh-CN"/>
        </w:rPr>
        <w:t>全国土壤污染状况详查分析测试项目</w:t>
      </w:r>
      <w:r>
        <w:rPr>
          <w:rFonts w:hint="default" w:ascii="Times New Roman" w:hAnsi="Times New Roman" w:cs="Times New Roman"/>
          <w:b w:val="0"/>
          <w:bCs w:val="0"/>
          <w:color w:val="auto"/>
          <w:kern w:val="0"/>
          <w:sz w:val="24"/>
          <w:highlight w:val="none"/>
          <w:lang w:val="en-US" w:eastAsia="zh-CN"/>
        </w:rPr>
        <w:t>》，根据园区产业定位，主要涉及重金属（铅、砷、镉、铬、汞、镍、钴、钼、锑）、石油烃、氟化物</w:t>
      </w:r>
      <w:r>
        <w:rPr>
          <w:rFonts w:hint="eastAsia" w:cs="Times New Roman"/>
          <w:b w:val="0"/>
          <w:bCs w:val="0"/>
          <w:color w:val="auto"/>
          <w:kern w:val="0"/>
          <w:sz w:val="24"/>
          <w:highlight w:val="none"/>
          <w:lang w:val="en-US" w:eastAsia="zh-CN"/>
        </w:rPr>
        <w:t>，</w:t>
      </w:r>
      <w:r>
        <w:rPr>
          <w:rFonts w:hint="default" w:ascii="Times New Roman" w:hAnsi="Times New Roman" w:cs="Times New Roman"/>
          <w:b w:val="0"/>
          <w:bCs w:val="0"/>
          <w:color w:val="auto"/>
          <w:kern w:val="0"/>
          <w:sz w:val="24"/>
          <w:highlight w:val="none"/>
          <w:lang w:val="en-US" w:eastAsia="zh-CN"/>
        </w:rPr>
        <w:t>苯、甲苯、二甲苯</w:t>
      </w:r>
      <w:r>
        <w:rPr>
          <w:rFonts w:hint="eastAsia" w:cs="Times New Roman"/>
          <w:b w:val="0"/>
          <w:bCs w:val="0"/>
          <w:color w:val="auto"/>
          <w:kern w:val="0"/>
          <w:sz w:val="24"/>
          <w:highlight w:val="none"/>
          <w:lang w:val="en-US" w:eastAsia="zh-CN"/>
        </w:rPr>
        <w:t>等挥发性有机物，</w:t>
      </w:r>
      <w:r>
        <w:rPr>
          <w:rFonts w:hint="default" w:ascii="Times New Roman" w:hAnsi="Times New Roman" w:cs="Times New Roman"/>
          <w:b w:val="0"/>
          <w:bCs w:val="0"/>
          <w:color w:val="auto"/>
          <w:kern w:val="0"/>
          <w:sz w:val="24"/>
          <w:highlight w:val="none"/>
          <w:lang w:val="en-US" w:eastAsia="zh-CN"/>
        </w:rPr>
        <w:t>多环芳烃等</w:t>
      </w:r>
      <w:r>
        <w:rPr>
          <w:rFonts w:hint="eastAsia" w:cs="Times New Roman"/>
          <w:b w:val="0"/>
          <w:bCs w:val="0"/>
          <w:color w:val="auto"/>
          <w:kern w:val="0"/>
          <w:sz w:val="24"/>
          <w:highlight w:val="none"/>
          <w:lang w:val="en-US" w:eastAsia="zh-CN"/>
        </w:rPr>
        <w:t>半挥发性有机物等</w:t>
      </w:r>
      <w:r>
        <w:rPr>
          <w:rFonts w:hint="default" w:ascii="Times New Roman" w:hAnsi="Times New Roman" w:cs="Times New Roman"/>
          <w:b w:val="0"/>
          <w:bCs w:val="0"/>
          <w:color w:val="auto"/>
          <w:kern w:val="0"/>
          <w:sz w:val="24"/>
          <w:highlight w:val="none"/>
          <w:lang w:val="en-US" w:eastAsia="zh-CN"/>
        </w:rPr>
        <w:t>。部分典型企业涉及的污染因子还包括：二噁英</w:t>
      </w:r>
      <w:r>
        <w:rPr>
          <w:rFonts w:hint="default" w:ascii="Times New Roman" w:hAnsi="Times New Roman" w:cs="Times New Roman"/>
          <w:color w:val="auto"/>
          <w:kern w:val="0"/>
          <w:sz w:val="24"/>
          <w:highlight w:val="none"/>
          <w:lang w:val="en-US" w:eastAsia="zh-CN"/>
        </w:rPr>
        <w:t>、苯酚、2-甲基苯酚、4-甲基苯酚、二硫化碳、1,2,4-三甲基苯、1,3,5-三甲基苯</w:t>
      </w:r>
      <w:r>
        <w:rPr>
          <w:rFonts w:hint="default" w:ascii="Times New Roman" w:hAnsi="Times New Roman" w:cs="Times New Roman"/>
          <w:b w:val="0"/>
          <w:bCs w:val="0"/>
          <w:color w:val="auto"/>
          <w:kern w:val="0"/>
          <w:sz w:val="24"/>
          <w:highlight w:val="none"/>
          <w:lang w:val="en-US" w:eastAsia="zh-CN"/>
        </w:rPr>
        <w:t>。</w:t>
      </w:r>
    </w:p>
    <w:p w14:paraId="23A74A06">
      <w:pPr>
        <w:spacing w:line="360" w:lineRule="auto"/>
        <w:ind w:firstLine="480" w:firstLineChars="200"/>
        <w:rPr>
          <w:rFonts w:hint="default" w:ascii="Times New Roman" w:hAnsi="Times New Roman" w:cs="Times New Roman"/>
          <w:b w:val="0"/>
          <w:bCs w:val="0"/>
          <w:color w:val="auto"/>
          <w:kern w:val="0"/>
          <w:sz w:val="24"/>
          <w:highlight w:val="none"/>
          <w:lang w:val="en-US" w:eastAsia="zh-CN"/>
        </w:rPr>
      </w:pPr>
    </w:p>
    <w:p w14:paraId="45A79FC7">
      <w:pPr>
        <w:rPr>
          <w:rFonts w:hint="default" w:ascii="Times New Roman" w:hAnsi="Times New Roman" w:eastAsia="宋体" w:cs="Times New Roman"/>
          <w:color w:val="auto"/>
          <w:highlight w:val="none"/>
          <w:lang w:eastAsia="zh-CN"/>
        </w:rPr>
        <w:sectPr>
          <w:headerReference r:id="rId11"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74B65678">
      <w:pPr>
        <w:pStyle w:val="3"/>
        <w:numPr>
          <w:ilvl w:val="0"/>
          <w:numId w:val="1"/>
        </w:numPr>
        <w:tabs>
          <w:tab w:val="clear" w:pos="425"/>
        </w:tabs>
        <w:rPr>
          <w:rFonts w:hint="default" w:ascii="Times New Roman" w:hAnsi="Times New Roman" w:cs="Times New Roman"/>
          <w:color w:val="auto"/>
          <w:highlight w:val="none"/>
        </w:rPr>
      </w:pPr>
      <w:bookmarkStart w:id="24" w:name="_Toc27256"/>
      <w:bookmarkStart w:id="25" w:name="_Toc31070"/>
      <w:r>
        <w:rPr>
          <w:rFonts w:hint="default" w:ascii="Times New Roman" w:hAnsi="Times New Roman" w:cs="Times New Roman"/>
          <w:color w:val="auto"/>
          <w:highlight w:val="none"/>
          <w:lang w:eastAsia="zh-CN"/>
        </w:rPr>
        <w:t>调查工作方案</w:t>
      </w:r>
      <w:bookmarkEnd w:id="24"/>
      <w:bookmarkEnd w:id="25"/>
    </w:p>
    <w:p w14:paraId="4FC23D52">
      <w:pPr>
        <w:pStyle w:val="4"/>
        <w:tabs>
          <w:tab w:val="clear" w:pos="425"/>
        </w:tabs>
        <w:rPr>
          <w:rFonts w:hint="default" w:ascii="Times New Roman" w:hAnsi="Times New Roman" w:cs="Times New Roman"/>
          <w:color w:val="auto"/>
          <w:highlight w:val="none"/>
        </w:rPr>
      </w:pPr>
      <w:bookmarkStart w:id="26" w:name="_Toc55399870"/>
      <w:bookmarkStart w:id="27" w:name="_Toc7849"/>
      <w:bookmarkStart w:id="28" w:name="_Toc19824"/>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布点方案</w:t>
      </w:r>
      <w:bookmarkEnd w:id="26"/>
      <w:bookmarkEnd w:id="27"/>
      <w:bookmarkEnd w:id="28"/>
    </w:p>
    <w:p w14:paraId="3DE26EF1">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布点原则</w:t>
      </w:r>
    </w:p>
    <w:p w14:paraId="497E0262">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园区布点工作参考《关于开展重点区域土壤环境质量监测风险点位布设工作的通知》附件一《重点区域土壤环境质量监测风险点位布设方法》</w:t>
      </w:r>
      <w:r>
        <w:rPr>
          <w:rFonts w:hint="default" w:ascii="Times New Roman" w:hAnsi="Times New Roman" w:cs="Times New Roman"/>
          <w:color w:val="auto"/>
          <w:kern w:val="0"/>
          <w:sz w:val="24"/>
          <w:highlight w:val="none"/>
          <w:lang w:eastAsia="zh-CN"/>
        </w:rPr>
        <w:t>（环办监测函（</w:t>
      </w:r>
      <w:r>
        <w:rPr>
          <w:rFonts w:hint="default" w:ascii="Times New Roman" w:hAnsi="Times New Roman" w:cs="Times New Roman"/>
          <w:color w:val="auto"/>
          <w:kern w:val="0"/>
          <w:sz w:val="24"/>
          <w:highlight w:val="none"/>
          <w:lang w:val="en-US" w:eastAsia="zh-CN"/>
        </w:rPr>
        <w:t>2016</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1号</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和《四川省土壤污染重点监管单位和工业园区周边土壤环境监督性监测工作方案》</w:t>
      </w:r>
      <w:r>
        <w:rPr>
          <w:rFonts w:hint="default" w:ascii="Times New Roman" w:hAnsi="Times New Roman" w:eastAsia="宋体" w:cs="Times New Roman"/>
          <w:i w:val="0"/>
          <w:caps w:val="0"/>
          <w:color w:val="auto"/>
          <w:spacing w:val="0"/>
          <w:sz w:val="24"/>
          <w:szCs w:val="24"/>
          <w:highlight w:val="none"/>
          <w:shd w:val="clear" w:fill="FFFFFF"/>
        </w:rPr>
        <w:t>（川环办函〔2018〕547号）</w:t>
      </w:r>
      <w:r>
        <w:rPr>
          <w:rFonts w:hint="default" w:ascii="Times New Roman" w:hAnsi="Times New Roman" w:cs="Times New Roman"/>
          <w:color w:val="auto"/>
          <w:kern w:val="0"/>
          <w:sz w:val="24"/>
          <w:highlight w:val="none"/>
          <w:lang w:val="en-US" w:eastAsia="zh-CN"/>
        </w:rPr>
        <w:t>，根据《建设用地土壤污染状况调查技术导则》（HJ 25.1-2019）、《建设用地土壤环境调查评估技术指南》（环保部公告2017年第72号）、《建设用地土壤污染风险管控和修复监测技术导则》（HJ 25.2-2019）等相关技术规范，具体布点原则如下：</w:t>
      </w:r>
    </w:p>
    <w:p w14:paraId="1D2F7DF1">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（1）园区周边点位布设：在</w:t>
      </w:r>
      <w:r>
        <w:rPr>
          <w:rFonts w:hint="default" w:ascii="Times New Roman" w:hAnsi="Times New Roman" w:cs="Times New Roman"/>
          <w:color w:val="auto"/>
          <w:kern w:val="0"/>
          <w:sz w:val="24"/>
          <w:highlight w:val="none"/>
          <w:lang w:val="en-US" w:eastAsia="zh-CN"/>
        </w:rPr>
        <w:t>园区主导风向的下风向（</w:t>
      </w:r>
      <w:r>
        <w:rPr>
          <w:rFonts w:hint="default" w:ascii="Times New Roman" w:hAnsi="Times New Roman" w:cs="Times New Roman"/>
          <w:color w:val="auto"/>
          <w:highlight w:val="none"/>
          <w:lang w:val="en-US" w:eastAsia="zh-CN"/>
        </w:rPr>
        <w:t>园区南侧、西侧</w:t>
      </w:r>
      <w:r>
        <w:rPr>
          <w:rFonts w:hint="default" w:ascii="Times New Roman" w:hAnsi="Times New Roman" w:cs="Times New Roman"/>
          <w:color w:val="auto"/>
          <w:kern w:val="0"/>
          <w:sz w:val="24"/>
          <w:highlight w:val="none"/>
          <w:lang w:val="en-US" w:eastAsia="zh-CN"/>
        </w:rPr>
        <w:t>）距园区边界区75m、200m、400m三处裸露土壤布设监测点，并于园区主导风向上风向（</w:t>
      </w:r>
      <w:r>
        <w:rPr>
          <w:rFonts w:hint="default" w:ascii="Times New Roman" w:hAnsi="Times New Roman" w:cs="Times New Roman"/>
          <w:color w:val="auto"/>
          <w:highlight w:val="none"/>
          <w:lang w:val="en-US" w:eastAsia="zh-CN"/>
        </w:rPr>
        <w:t>园区北侧、东侧</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highlight w:val="none"/>
          <w:lang w:val="en-US" w:eastAsia="zh-CN"/>
        </w:rPr>
        <w:t>至少设置一个点位</w:t>
      </w:r>
      <w:r>
        <w:rPr>
          <w:rFonts w:hint="eastAsia" w:cs="Times New Roman"/>
          <w:highlight w:val="none"/>
          <w:lang w:val="en-US" w:eastAsia="zh-CN"/>
        </w:rPr>
        <w:t>；</w:t>
      </w:r>
      <w:r>
        <w:rPr>
          <w:rFonts w:hint="default" w:ascii="Times New Roman" w:hAnsi="Times New Roman" w:cs="Times New Roman"/>
          <w:color w:val="000000" w:themeColor="text1"/>
          <w:kern w:val="0"/>
          <w:highlight w:val="none"/>
          <w14:textFill>
            <w14:solidFill>
              <w14:schemeClr w14:val="tx1"/>
            </w14:solidFill>
          </w14:textFill>
        </w:rPr>
        <w:t>对于上风向临江的园区，临江点位设置于江边。</w:t>
      </w:r>
    </w:p>
    <w:p w14:paraId="1BD99683">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（2）园区内已建成企业聚集区点位布设</w:t>
      </w:r>
      <w:r>
        <w:rPr>
          <w:rFonts w:hint="eastAsia"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在已建成企业聚集区域边界外的裸露土壤处布设监测点，于聚集区外每隔3公里布设一个点位</w:t>
      </w:r>
      <w:r>
        <w:rPr>
          <w:rFonts w:hint="default" w:cs="Times New Roman"/>
          <w:color w:val="auto"/>
          <w:kern w:val="0"/>
          <w:sz w:val="24"/>
          <w:highlight w:val="none"/>
          <w:lang w:eastAsia="zh-CN"/>
        </w:rPr>
        <w:t>；</w:t>
      </w:r>
      <w:r>
        <w:rPr>
          <w:rFonts w:hint="default" w:ascii="Times New Roman" w:hAnsi="Times New Roman" w:cs="Times New Roman"/>
          <w:color w:val="000000" w:themeColor="text1"/>
          <w:kern w:val="0"/>
          <w:highlight w:val="none"/>
          <w:lang w:val="en-US" w:eastAsia="zh-CN"/>
          <w14:textFill>
            <w14:solidFill>
              <w14:schemeClr w14:val="tx1"/>
            </w14:solidFill>
          </w14:textFill>
        </w:rPr>
        <w:t>对于临近园区边界的</w:t>
      </w:r>
      <w:r>
        <w:rPr>
          <w:rFonts w:hint="default" w:ascii="Times New Roman" w:hAnsi="Times New Roman" w:cs="Times New Roman"/>
          <w:color w:val="000000" w:themeColor="text1"/>
          <w:kern w:val="0"/>
          <w:highlight w:val="none"/>
          <w14:textFill>
            <w14:solidFill>
              <w14:schemeClr w14:val="tx1"/>
            </w14:solidFill>
          </w14:textFill>
        </w:rPr>
        <w:t>已建成企业聚集区</w:t>
      </w:r>
      <w:r>
        <w:rPr>
          <w:rFonts w:hint="default" w:ascii="Times New Roman" w:hAnsi="Times New Roman" w:cs="Times New Roman"/>
          <w:color w:val="000000" w:themeColor="text1"/>
          <w:kern w:val="0"/>
          <w:highlight w:val="none"/>
          <w:lang w:val="en-US" w:eastAsia="zh-CN"/>
          <w14:textFill>
            <w14:solidFill>
              <w14:schemeClr w14:val="tx1"/>
            </w14:solidFill>
          </w14:textFill>
        </w:rPr>
        <w:t>，既有园区周边点位附近不另设</w:t>
      </w:r>
      <w:r>
        <w:rPr>
          <w:rFonts w:hint="default" w:ascii="Times New Roman" w:hAnsi="Times New Roman" w:cs="Times New Roman"/>
          <w:color w:val="000000" w:themeColor="text1"/>
          <w:kern w:val="0"/>
          <w:highlight w:val="none"/>
          <w14:textFill>
            <w14:solidFill>
              <w14:schemeClr w14:val="tx1"/>
            </w14:solidFill>
          </w14:textFill>
        </w:rPr>
        <w:t>已建成企业聚集区</w:t>
      </w:r>
      <w:r>
        <w:rPr>
          <w:rFonts w:hint="default" w:ascii="Times New Roman" w:hAnsi="Times New Roman" w:cs="Times New Roman"/>
          <w:color w:val="000000" w:themeColor="text1"/>
          <w:kern w:val="0"/>
          <w:highlight w:val="none"/>
          <w:lang w:val="en-US" w:eastAsia="zh-CN"/>
          <w14:textFill>
            <w14:solidFill>
              <w14:schemeClr w14:val="tx1"/>
            </w14:solidFill>
          </w14:textFill>
        </w:rPr>
        <w:t>点位</w:t>
      </w:r>
      <w:r>
        <w:rPr>
          <w:rFonts w:hint="default" w:ascii="Times New Roman" w:hAnsi="Times New Roman" w:cs="Times New Roman"/>
          <w:color w:val="auto"/>
          <w:kern w:val="0"/>
          <w:sz w:val="24"/>
          <w:highlight w:val="none"/>
          <w:lang w:val="en-US" w:eastAsia="zh-CN"/>
        </w:rPr>
        <w:t>；</w:t>
      </w:r>
      <w:r>
        <w:rPr>
          <w:rFonts w:hint="eastAsia" w:cs="Times New Roman"/>
          <w:color w:val="auto"/>
          <w:kern w:val="0"/>
          <w:sz w:val="24"/>
          <w:highlight w:val="none"/>
          <w:lang w:val="en-US" w:eastAsia="zh-CN"/>
        </w:rPr>
        <w:t>若</w:t>
      </w:r>
      <w:r>
        <w:rPr>
          <w:rFonts w:hint="default" w:cs="Times New Roman"/>
          <w:color w:val="auto"/>
          <w:kern w:val="0"/>
          <w:sz w:val="24"/>
          <w:highlight w:val="none"/>
          <w:lang w:eastAsia="zh-CN"/>
        </w:rPr>
        <w:t>已建成企业聚集区</w:t>
      </w:r>
      <w:r>
        <w:rPr>
          <w:rFonts w:hint="default" w:ascii="Times New Roman" w:hAnsi="Times New Roman" w:cs="Times New Roman"/>
          <w:color w:val="auto"/>
          <w:kern w:val="0"/>
          <w:sz w:val="24"/>
          <w:highlight w:val="none"/>
          <w:lang w:val="en-US" w:eastAsia="zh-CN"/>
        </w:rPr>
        <w:t>边界</w:t>
      </w:r>
      <w:r>
        <w:rPr>
          <w:rFonts w:hint="eastAsia" w:cs="Times New Roman"/>
          <w:color w:val="auto"/>
          <w:kern w:val="0"/>
          <w:sz w:val="24"/>
          <w:highlight w:val="none"/>
          <w:lang w:val="en-US" w:eastAsia="zh-CN"/>
        </w:rPr>
        <w:t>附近涉及典型企业</w:t>
      </w:r>
      <w:r>
        <w:rPr>
          <w:rFonts w:hint="default" w:cs="Times New Roman"/>
          <w:color w:val="auto"/>
          <w:kern w:val="0"/>
          <w:sz w:val="24"/>
          <w:highlight w:val="none"/>
          <w:lang w:eastAsia="zh-CN"/>
        </w:rPr>
        <w:t>，</w:t>
      </w:r>
      <w:r>
        <w:rPr>
          <w:rFonts w:hint="eastAsia" w:cs="Times New Roman"/>
          <w:color w:val="auto"/>
          <w:kern w:val="0"/>
          <w:sz w:val="24"/>
          <w:highlight w:val="none"/>
          <w:lang w:val="en-US" w:eastAsia="zh-CN"/>
        </w:rPr>
        <w:t>需调整监测点位于典型企业周边。</w:t>
      </w:r>
    </w:p>
    <w:p w14:paraId="5C62184D">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（3）每个点位均采集表层（0-0.5m）样品。</w:t>
      </w:r>
    </w:p>
    <w:p w14:paraId="3B2297BF">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监测</w:t>
      </w:r>
      <w:r>
        <w:rPr>
          <w:rFonts w:hint="default" w:ascii="Times New Roman" w:hAnsi="Times New Roman" w:cs="Times New Roman"/>
          <w:color w:val="auto"/>
          <w:highlight w:val="none"/>
        </w:rPr>
        <w:t>项目</w:t>
      </w:r>
      <w:r>
        <w:rPr>
          <w:rFonts w:hint="default" w:cs="Times New Roman"/>
          <w:color w:val="auto"/>
          <w:highlight w:val="none"/>
        </w:rPr>
        <w:t xml:space="preserve"> </w:t>
      </w:r>
    </w:p>
    <w:p w14:paraId="3DA21ADA">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测试项目主要包括基本项目和特征项目。监测项目的确定原则如下：</w:t>
      </w:r>
    </w:p>
    <w:p w14:paraId="5262FFF8">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（1）基本项目包括：《土壤环境质量建设用地土壤污染风险管控标准（试行）》（GB36600-2018）（以下简称“GB36600-2018”）表1基本项目45项、《土壤环境质量 农用地土壤污染风险管控标准（试行）》（GB15618-2018）（以下简称“GB15618-2018”）表1基本项目8项和pH；</w:t>
      </w:r>
    </w:p>
    <w:p w14:paraId="242CEA22">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（2）根据园区产业定位，园区增测特征项目：钴、钼、锑、石油烃（C</w:t>
      </w:r>
      <w:r>
        <w:rPr>
          <w:rFonts w:hint="default" w:ascii="Times New Roman" w:hAnsi="Times New Roman" w:cs="Times New Roman"/>
          <w:color w:val="auto"/>
          <w:kern w:val="0"/>
          <w:sz w:val="24"/>
          <w:highlight w:val="none"/>
          <w:vertAlign w:val="subscript"/>
          <w:lang w:val="en-US" w:eastAsia="zh-CN"/>
        </w:rPr>
        <w:t>10</w:t>
      </w:r>
      <w:r>
        <w:rPr>
          <w:rFonts w:hint="default" w:ascii="Times New Roman" w:hAnsi="Times New Roman" w:cs="Times New Roman"/>
          <w:color w:val="auto"/>
          <w:kern w:val="0"/>
          <w:sz w:val="24"/>
          <w:highlight w:val="none"/>
          <w:lang w:val="en-US" w:eastAsia="zh-CN"/>
        </w:rPr>
        <w:t>-C</w:t>
      </w:r>
      <w:r>
        <w:rPr>
          <w:rFonts w:hint="default" w:ascii="Times New Roman" w:hAnsi="Times New Roman" w:cs="Times New Roman"/>
          <w:color w:val="auto"/>
          <w:kern w:val="0"/>
          <w:sz w:val="24"/>
          <w:highlight w:val="none"/>
          <w:vertAlign w:val="subscript"/>
          <w:lang w:val="en-US" w:eastAsia="zh-CN"/>
        </w:rPr>
        <w:t>40</w:t>
      </w:r>
      <w:r>
        <w:rPr>
          <w:rFonts w:hint="default" w:ascii="Times New Roman" w:hAnsi="Times New Roman" w:cs="Times New Roman"/>
          <w:color w:val="auto"/>
          <w:kern w:val="0"/>
          <w:sz w:val="24"/>
          <w:highlight w:val="none"/>
          <w:lang w:val="en-US" w:eastAsia="zh-CN"/>
        </w:rPr>
        <w:t>）、总氟化物；</w:t>
      </w:r>
    </w:p>
    <w:p w14:paraId="5893416C">
      <w:pPr>
        <w:pStyle w:val="2"/>
        <w:keepNext w:val="0"/>
        <w:keepLines w:val="0"/>
        <w:pageBreakBefore w:val="0"/>
        <w:widowControl w:val="0"/>
        <w:kinsoku/>
        <w:wordWrap/>
        <w:overflowPunct/>
        <w:topLinePunct w:val="0"/>
        <w:autoSpaceDE/>
        <w:autoSpaceDN/>
        <w:bidi w:val="0"/>
        <w:adjustRightInd/>
        <w:snapToGrid/>
        <w:spacing w:after="0"/>
        <w:ind w:firstLine="476" w:firstLineChars="0"/>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（3）考虑到</w:t>
      </w:r>
      <w:r>
        <w:rPr>
          <w:rFonts w:hint="default" w:ascii="Times New Roman" w:hAnsi="Times New Roman" w:eastAsia="宋体" w:cs="Times New Roman"/>
          <w:i w:val="0"/>
          <w:color w:val="auto"/>
          <w:kern w:val="0"/>
          <w:sz w:val="24"/>
          <w:szCs w:val="24"/>
          <w:highlight w:val="none"/>
          <w:u w:val="none"/>
          <w:lang w:val="en-US" w:eastAsia="zh-CN" w:bidi="ar"/>
        </w:rPr>
        <w:t>湖北交投致远新材料科技有限公司</w:t>
      </w:r>
      <w:r>
        <w:rPr>
          <w:rFonts w:hint="default" w:ascii="Times New Roman" w:hAnsi="Times New Roman" w:cs="Times New Roman"/>
          <w:i w:val="0"/>
          <w:color w:val="auto"/>
          <w:kern w:val="0"/>
          <w:sz w:val="24"/>
          <w:szCs w:val="24"/>
          <w:highlight w:val="none"/>
          <w:u w:val="none"/>
          <w:lang w:val="en-US" w:eastAsia="zh-CN" w:bidi="ar"/>
        </w:rPr>
        <w:t>涉及</w:t>
      </w:r>
      <w:r>
        <w:rPr>
          <w:rFonts w:hint="default" w:ascii="Times New Roman" w:hAnsi="Times New Roman" w:cs="Times New Roman"/>
          <w:color w:val="auto"/>
          <w:sz w:val="24"/>
          <w:szCs w:val="24"/>
          <w:highlight w:val="none"/>
          <w:lang w:val="en-US" w:eastAsia="zh-CN"/>
        </w:rPr>
        <w:t>改性沥青、乳化沥青生产、沥青仓储（不含危险化学品）等，</w:t>
      </w:r>
      <w:r>
        <w:rPr>
          <w:rFonts w:hint="default" w:ascii="Times New Roman" w:hAnsi="Times New Roman" w:cs="Times New Roman"/>
          <w:color w:val="auto"/>
          <w:kern w:val="0"/>
          <w:sz w:val="24"/>
          <w:szCs w:val="24"/>
          <w:highlight w:val="none"/>
          <w:lang w:val="en-US" w:eastAsia="zh-CN"/>
        </w:rPr>
        <w:t>因此该企业周边增测特征污染物：二噁英、多氯联苯（总量）、苯酚、2-甲基苯酚、4-甲基苯酚、二硫化碳、1,2,4-三甲基苯、1,3,5-三甲基苯。</w:t>
      </w:r>
    </w:p>
    <w:p w14:paraId="49F2B7CB">
      <w:pPr>
        <w:spacing w:line="360" w:lineRule="auto"/>
        <w:ind w:firstLine="482"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综上，污染物测试项目共61项，包括：基本项目48项、特征项目项13项。具体污染物项目如下：</w:t>
      </w:r>
    </w:p>
    <w:p w14:paraId="31C0D30B">
      <w:pPr>
        <w:spacing w:line="360" w:lineRule="auto"/>
        <w:ind w:firstLine="482" w:firstLineChars="200"/>
        <w:rPr>
          <w:rFonts w:hint="default" w:ascii="Times New Roman" w:hAnsi="Times New Roman" w:cs="Times New Roman"/>
          <w:b/>
          <w:bCs/>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（1）基本项目（48项）：</w:t>
      </w:r>
    </w:p>
    <w:p w14:paraId="3E4AA5E4">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①pH；</w:t>
      </w:r>
    </w:p>
    <w:p w14:paraId="2654B8CF">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②重金属（9项）：砷、镉、铬、铬（六价）、铜、锌、铅、汞、镍；</w:t>
      </w:r>
    </w:p>
    <w:p w14:paraId="354FF1A6">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③挥发性有机物（27项）：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w:t>
      </w:r>
    </w:p>
    <w:p w14:paraId="12E4B99C">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④半挥发性有机物（11项）：硝基苯、苯胺、2-氯酚、苯并[a]蒽、苯并[a]芘、苯并[b]荧蒽、苯并[k]荧蒽、䓛、二苯并[a,h]蒽、茚并[1,2,3-cd]芘、萘。</w:t>
      </w:r>
    </w:p>
    <w:p w14:paraId="07F5E584">
      <w:pPr>
        <w:spacing w:line="360" w:lineRule="auto"/>
        <w:ind w:firstLine="482" w:firstLineChars="200"/>
        <w:rPr>
          <w:rFonts w:hint="default" w:ascii="Times New Roman" w:hAnsi="Times New Roman" w:cs="Times New Roman"/>
          <w:b/>
          <w:bCs/>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（2）特征项目（13项）：</w:t>
      </w:r>
    </w:p>
    <w:p w14:paraId="7E66441D">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①园区增测项目（5项）：钴、钼、锑、石油烃（C</w:t>
      </w:r>
      <w:r>
        <w:rPr>
          <w:rFonts w:hint="default" w:ascii="Times New Roman" w:hAnsi="Times New Roman" w:cs="Times New Roman"/>
          <w:color w:val="auto"/>
          <w:kern w:val="0"/>
          <w:sz w:val="24"/>
          <w:highlight w:val="none"/>
          <w:vertAlign w:val="subscript"/>
          <w:lang w:val="en-US" w:eastAsia="zh-CN"/>
        </w:rPr>
        <w:t>10</w:t>
      </w:r>
      <w:r>
        <w:rPr>
          <w:rFonts w:hint="default" w:ascii="Times New Roman" w:hAnsi="Times New Roman" w:cs="Times New Roman"/>
          <w:color w:val="auto"/>
          <w:kern w:val="0"/>
          <w:sz w:val="24"/>
          <w:highlight w:val="none"/>
          <w:lang w:val="en-US" w:eastAsia="zh-CN"/>
        </w:rPr>
        <w:t>-C</w:t>
      </w:r>
      <w:r>
        <w:rPr>
          <w:rFonts w:hint="default" w:ascii="Times New Roman" w:hAnsi="Times New Roman" w:cs="Times New Roman"/>
          <w:color w:val="auto"/>
          <w:kern w:val="0"/>
          <w:sz w:val="24"/>
          <w:highlight w:val="none"/>
          <w:vertAlign w:val="subscript"/>
          <w:lang w:val="en-US" w:eastAsia="zh-CN"/>
        </w:rPr>
        <w:t>40</w:t>
      </w:r>
      <w:r>
        <w:rPr>
          <w:rFonts w:hint="default" w:ascii="Times New Roman" w:hAnsi="Times New Roman" w:cs="Times New Roman"/>
          <w:color w:val="auto"/>
          <w:kern w:val="0"/>
          <w:sz w:val="24"/>
          <w:highlight w:val="none"/>
          <w:lang w:val="en-US" w:eastAsia="zh-CN"/>
        </w:rPr>
        <w:t>）、总氟化物；</w:t>
      </w:r>
    </w:p>
    <w:p w14:paraId="75A628EF">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②</w:t>
      </w:r>
      <w:r>
        <w:rPr>
          <w:rFonts w:hint="eastAsia" w:ascii="Times New Roman" w:hAnsi="Times New Roman" w:cs="Times New Roman"/>
          <w:color w:val="auto"/>
          <w:kern w:val="0"/>
          <w:sz w:val="24"/>
          <w:highlight w:val="none"/>
          <w:lang w:val="en-US" w:eastAsia="zh-CN"/>
        </w:rPr>
        <w:t>其它增测项目</w:t>
      </w:r>
      <w:r>
        <w:rPr>
          <w:rFonts w:hint="default" w:ascii="Times New Roman" w:hAnsi="Times New Roman" w:cs="Times New Roman"/>
          <w:color w:val="auto"/>
          <w:kern w:val="0"/>
          <w:sz w:val="24"/>
          <w:highlight w:val="none"/>
          <w:lang w:val="en-US" w:eastAsia="zh-CN"/>
        </w:rPr>
        <w:t>（8项）：二噁英、多氯联苯（总量）、苯酚、2-甲基苯酚、4-甲基苯酚、二硫化碳、1,2,4-三甲基苯、1,3,5-三甲基苯。</w:t>
      </w:r>
    </w:p>
    <w:p w14:paraId="397D9AAA">
      <w:pPr>
        <w:pStyle w:val="2"/>
        <w:ind w:firstLine="42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kern w:val="0"/>
          <w:sz w:val="24"/>
          <w:highlight w:val="none"/>
          <w:lang w:val="en-US" w:eastAsia="zh-CN"/>
        </w:rPr>
        <w:t>土壤监测具体布点方案见表3-1-1及附图6</w:t>
      </w:r>
    </w:p>
    <w:p w14:paraId="5A1CA9A3">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布点方案</w:t>
      </w:r>
    </w:p>
    <w:p w14:paraId="13E127C1">
      <w:pPr>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园区内拟布设16个点位，采集16个土壤表层（0-0.5m）样品（不含</w:t>
      </w:r>
      <w:r>
        <w:rPr>
          <w:rFonts w:hint="eastAsia" w:cs="Times New Roman"/>
          <w:color w:val="auto"/>
          <w:kern w:val="0"/>
          <w:sz w:val="24"/>
          <w:highlight w:val="none"/>
          <w:lang w:val="en-US" w:eastAsia="zh-CN"/>
        </w:rPr>
        <w:t>质控样品</w:t>
      </w:r>
      <w:r>
        <w:rPr>
          <w:rFonts w:hint="default" w:ascii="Times New Roman" w:hAnsi="Times New Roman" w:cs="Times New Roman"/>
          <w:color w:val="auto"/>
          <w:kern w:val="0"/>
          <w:sz w:val="24"/>
          <w:highlight w:val="none"/>
          <w:lang w:val="en-US" w:eastAsia="zh-CN"/>
        </w:rPr>
        <w:t>），监测共61项因子，土壤监测具体布点方案见表3-1-1及附图6。</w:t>
      </w:r>
    </w:p>
    <w:p w14:paraId="6A8AB149">
      <w:pPr>
        <w:pStyle w:val="2"/>
        <w:ind w:firstLine="420" w:firstLineChars="0"/>
        <w:rPr>
          <w:rFonts w:hint="default" w:ascii="Times New Roman" w:hAnsi="Times New Roman" w:cs="Times New Roman"/>
          <w:color w:val="auto"/>
          <w:highlight w:val="none"/>
          <w:lang w:val="en-US" w:eastAsia="zh-CN"/>
        </w:rPr>
        <w:sectPr>
          <w:headerReference r:id="rId12" w:type="default"/>
          <w:footerReference r:id="rId13"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7EE45A01">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default" w:ascii="Times New Roman" w:hAnsi="Times New Roman" w:cs="Times New Roman"/>
          <w:color w:val="auto"/>
          <w:highlight w:val="none"/>
          <w:lang w:val="en-US" w:eastAsia="zh-CN"/>
        </w:rPr>
      </w:pPr>
      <w:r>
        <w:rPr>
          <w:rFonts w:hint="default" w:ascii="Times New Roman" w:hAnsi="Times New Roman" w:eastAsia="黑体" w:cs="Times New Roman"/>
          <w:b/>
          <w:color w:val="auto"/>
          <w:sz w:val="24"/>
          <w:highlight w:val="none"/>
        </w:rPr>
        <w:t xml:space="preserve">表3-1-1  </w:t>
      </w:r>
      <w:r>
        <w:rPr>
          <w:rFonts w:hint="default" w:ascii="Times New Roman" w:hAnsi="Times New Roman" w:eastAsia="黑体" w:cs="Times New Roman"/>
          <w:b/>
          <w:color w:val="auto"/>
          <w:sz w:val="24"/>
          <w:highlight w:val="none"/>
          <w:lang w:eastAsia="zh-CN"/>
        </w:rPr>
        <w:t>土壤</w:t>
      </w:r>
      <w:r>
        <w:rPr>
          <w:rFonts w:hint="default" w:ascii="Times New Roman" w:hAnsi="Times New Roman" w:eastAsia="黑体" w:cs="Times New Roman"/>
          <w:b/>
          <w:color w:val="auto"/>
          <w:sz w:val="24"/>
          <w:highlight w:val="none"/>
        </w:rPr>
        <w:t>布点方案一览表</w:t>
      </w:r>
    </w:p>
    <w:tbl>
      <w:tblPr>
        <w:tblStyle w:val="21"/>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452"/>
        <w:gridCol w:w="1500"/>
        <w:gridCol w:w="1585"/>
        <w:gridCol w:w="3472"/>
        <w:gridCol w:w="1454"/>
        <w:gridCol w:w="1586"/>
        <w:gridCol w:w="4545"/>
      </w:tblGrid>
      <w:tr w14:paraId="600D5E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57" w:hRule="atLeast"/>
          <w:jc w:val="center"/>
        </w:trPr>
        <w:tc>
          <w:tcPr>
            <w:tcW w:w="243" w:type="pct"/>
            <w:vMerge w:val="restart"/>
            <w:shd w:val="clear" w:color="auto" w:fill="auto"/>
            <w:noWrap/>
            <w:tcMar>
              <w:top w:w="15" w:type="dxa"/>
              <w:left w:w="15" w:type="dxa"/>
              <w:right w:w="15" w:type="dxa"/>
            </w:tcMar>
            <w:vAlign w:val="center"/>
          </w:tcPr>
          <w:p w14:paraId="5E5342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284" w:type="pct"/>
            <w:vMerge w:val="restart"/>
            <w:shd w:val="clear" w:color="auto" w:fill="auto"/>
            <w:noWrap/>
            <w:tcMar>
              <w:top w:w="15" w:type="dxa"/>
              <w:left w:w="15" w:type="dxa"/>
              <w:right w:w="15" w:type="dxa"/>
            </w:tcMar>
            <w:vAlign w:val="center"/>
          </w:tcPr>
          <w:p w14:paraId="7BC77A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点位类型</w:t>
            </w:r>
          </w:p>
        </w:tc>
        <w:tc>
          <w:tcPr>
            <w:tcW w:w="715" w:type="pct"/>
            <w:vMerge w:val="restart"/>
            <w:shd w:val="clear" w:color="auto" w:fill="auto"/>
            <w:noWrap/>
            <w:tcMar>
              <w:top w:w="15" w:type="dxa"/>
              <w:left w:w="15" w:type="dxa"/>
              <w:right w:w="15" w:type="dxa"/>
            </w:tcMar>
            <w:vAlign w:val="center"/>
          </w:tcPr>
          <w:p w14:paraId="6F79AD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检测点位</w:t>
            </w:r>
          </w:p>
        </w:tc>
        <w:tc>
          <w:tcPr>
            <w:tcW w:w="1319" w:type="pct"/>
            <w:vMerge w:val="restart"/>
            <w:shd w:val="clear" w:color="auto" w:fill="auto"/>
            <w:noWrap/>
            <w:tcMar>
              <w:top w:w="15" w:type="dxa"/>
              <w:left w:w="15" w:type="dxa"/>
              <w:right w:w="15" w:type="dxa"/>
            </w:tcMar>
            <w:vAlign w:val="center"/>
          </w:tcPr>
          <w:p w14:paraId="4B29B0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点位位置</w:t>
            </w:r>
          </w:p>
        </w:tc>
        <w:tc>
          <w:tcPr>
            <w:tcW w:w="1301" w:type="pct"/>
            <w:gridSpan w:val="2"/>
            <w:tcBorders>
              <w:bottom w:val="single" w:color="000000" w:sz="4" w:space="0"/>
            </w:tcBorders>
            <w:shd w:val="clear" w:color="auto" w:fill="auto"/>
            <w:noWrap/>
            <w:tcMar>
              <w:top w:w="15" w:type="dxa"/>
              <w:left w:w="15" w:type="dxa"/>
              <w:right w:w="15" w:type="dxa"/>
            </w:tcMar>
            <w:vAlign w:val="center"/>
          </w:tcPr>
          <w:p w14:paraId="20694D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eastAsia="zh-CN"/>
              </w:rPr>
            </w:pPr>
            <w:r>
              <w:rPr>
                <w:rFonts w:hint="default" w:ascii="Times New Roman" w:hAnsi="Times New Roman" w:eastAsia="宋体" w:cs="Times New Roman"/>
                <w:b/>
                <w:i w:val="0"/>
                <w:color w:val="auto"/>
                <w:sz w:val="21"/>
                <w:szCs w:val="21"/>
                <w:highlight w:val="none"/>
                <w:u w:val="none"/>
                <w:lang w:eastAsia="zh-CN"/>
              </w:rPr>
              <w:t>坐标</w:t>
            </w:r>
            <w:r>
              <w:rPr>
                <w:rFonts w:hint="default" w:ascii="Times New Roman" w:hAnsi="Times New Roman" w:eastAsia="宋体" w:cs="Times New Roman"/>
                <w:b/>
                <w:i w:val="0"/>
                <w:color w:val="auto"/>
                <w:sz w:val="21"/>
                <w:szCs w:val="21"/>
                <w:highlight w:val="none"/>
                <w:u w:val="none"/>
                <w:vertAlign w:val="superscript"/>
                <w:lang w:eastAsia="zh-CN"/>
              </w:rPr>
              <w:t>①</w:t>
            </w:r>
          </w:p>
        </w:tc>
        <w:tc>
          <w:tcPr>
            <w:tcW w:w="1135" w:type="pct"/>
            <w:vMerge w:val="restart"/>
            <w:shd w:val="clear" w:color="auto" w:fill="auto"/>
            <w:noWrap/>
            <w:tcMar>
              <w:top w:w="15" w:type="dxa"/>
              <w:left w:w="15" w:type="dxa"/>
              <w:right w:w="15" w:type="dxa"/>
            </w:tcMar>
            <w:vAlign w:val="center"/>
          </w:tcPr>
          <w:p w14:paraId="1F7DB1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测试项目</w:t>
            </w:r>
          </w:p>
        </w:tc>
      </w:tr>
      <w:tr w14:paraId="5E3B82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57" w:hRule="atLeast"/>
          <w:jc w:val="center"/>
        </w:trPr>
        <w:tc>
          <w:tcPr>
            <w:tcW w:w="243" w:type="pct"/>
            <w:vMerge w:val="continue"/>
            <w:tcBorders>
              <w:bottom w:val="single" w:color="000000" w:sz="12" w:space="0"/>
            </w:tcBorders>
            <w:shd w:val="clear" w:color="auto" w:fill="auto"/>
            <w:noWrap/>
            <w:tcMar>
              <w:top w:w="15" w:type="dxa"/>
              <w:left w:w="15" w:type="dxa"/>
              <w:right w:w="15" w:type="dxa"/>
            </w:tcMar>
            <w:vAlign w:val="center"/>
          </w:tcPr>
          <w:p w14:paraId="4AFB21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highlight w:val="none"/>
              </w:rPr>
            </w:pPr>
          </w:p>
        </w:tc>
        <w:tc>
          <w:tcPr>
            <w:tcW w:w="284" w:type="pct"/>
            <w:vMerge w:val="continue"/>
            <w:tcBorders>
              <w:bottom w:val="single" w:color="000000" w:sz="12" w:space="0"/>
            </w:tcBorders>
            <w:shd w:val="clear" w:color="auto" w:fill="auto"/>
            <w:noWrap/>
            <w:tcMar>
              <w:top w:w="15" w:type="dxa"/>
              <w:left w:w="15" w:type="dxa"/>
              <w:right w:w="15" w:type="dxa"/>
            </w:tcMar>
            <w:vAlign w:val="center"/>
          </w:tcPr>
          <w:p w14:paraId="48610D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highlight w:val="none"/>
              </w:rPr>
            </w:pPr>
          </w:p>
        </w:tc>
        <w:tc>
          <w:tcPr>
            <w:tcW w:w="715" w:type="pct"/>
            <w:vMerge w:val="continue"/>
            <w:tcBorders>
              <w:bottom w:val="single" w:color="000000" w:sz="12" w:space="0"/>
            </w:tcBorders>
            <w:shd w:val="clear" w:color="auto" w:fill="auto"/>
            <w:noWrap/>
            <w:tcMar>
              <w:top w:w="15" w:type="dxa"/>
              <w:left w:w="15" w:type="dxa"/>
              <w:right w:w="15" w:type="dxa"/>
            </w:tcMar>
            <w:vAlign w:val="center"/>
          </w:tcPr>
          <w:p w14:paraId="6D4D10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highlight w:val="none"/>
              </w:rPr>
            </w:pPr>
          </w:p>
        </w:tc>
        <w:tc>
          <w:tcPr>
            <w:tcW w:w="1319" w:type="pct"/>
            <w:vMerge w:val="continue"/>
            <w:tcBorders>
              <w:bottom w:val="single" w:color="000000" w:sz="12" w:space="0"/>
            </w:tcBorders>
            <w:shd w:val="clear" w:color="auto" w:fill="auto"/>
            <w:noWrap/>
            <w:tcMar>
              <w:top w:w="15" w:type="dxa"/>
              <w:left w:w="15" w:type="dxa"/>
              <w:right w:w="15" w:type="dxa"/>
            </w:tcMar>
            <w:vAlign w:val="center"/>
          </w:tcPr>
          <w:p w14:paraId="1CF515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highlight w:val="none"/>
              </w:rPr>
            </w:pPr>
          </w:p>
        </w:tc>
        <w:tc>
          <w:tcPr>
            <w:tcW w:w="628" w:type="pct"/>
            <w:tcBorders>
              <w:top w:val="single" w:color="000000" w:sz="4" w:space="0"/>
              <w:bottom w:val="single" w:color="000000" w:sz="12" w:space="0"/>
            </w:tcBorders>
            <w:shd w:val="clear" w:color="auto" w:fill="auto"/>
            <w:noWrap/>
            <w:tcMar>
              <w:top w:w="15" w:type="dxa"/>
              <w:left w:w="15" w:type="dxa"/>
              <w:right w:w="15" w:type="dxa"/>
            </w:tcMar>
            <w:vAlign w:val="center"/>
          </w:tcPr>
          <w:p w14:paraId="55EEF4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2"/>
                <w:sz w:val="21"/>
                <w:szCs w:val="21"/>
                <w:highlight w:val="none"/>
                <w:u w:val="none"/>
                <w:lang w:val="en-US" w:eastAsia="zh-CN" w:bidi="ar-SA"/>
              </w:rPr>
            </w:pPr>
            <w:r>
              <w:rPr>
                <w:rFonts w:hint="default" w:ascii="Times New Roman" w:hAnsi="Times New Roman" w:eastAsia="宋体" w:cs="Times New Roman"/>
                <w:b/>
                <w:i w:val="0"/>
                <w:color w:val="auto"/>
                <w:kern w:val="0"/>
                <w:sz w:val="21"/>
                <w:szCs w:val="21"/>
                <w:highlight w:val="none"/>
                <w:u w:val="none"/>
                <w:lang w:val="en-US" w:eastAsia="zh-CN" w:bidi="ar"/>
              </w:rPr>
              <w:t>经度（°）</w:t>
            </w:r>
          </w:p>
        </w:tc>
        <w:tc>
          <w:tcPr>
            <w:tcW w:w="673" w:type="pct"/>
            <w:tcBorders>
              <w:top w:val="single" w:color="000000" w:sz="4" w:space="0"/>
              <w:bottom w:val="single" w:color="000000" w:sz="12" w:space="0"/>
            </w:tcBorders>
            <w:shd w:val="clear" w:color="auto" w:fill="auto"/>
            <w:noWrap/>
            <w:tcMar>
              <w:top w:w="15" w:type="dxa"/>
              <w:left w:w="15" w:type="dxa"/>
              <w:right w:w="15" w:type="dxa"/>
            </w:tcMar>
            <w:vAlign w:val="center"/>
          </w:tcPr>
          <w:p w14:paraId="6E9BB0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2"/>
                <w:sz w:val="21"/>
                <w:szCs w:val="21"/>
                <w:highlight w:val="none"/>
                <w:u w:val="none"/>
                <w:lang w:val="en-US" w:eastAsia="zh-CN" w:bidi="ar-SA"/>
              </w:rPr>
            </w:pPr>
            <w:r>
              <w:rPr>
                <w:rFonts w:hint="default" w:ascii="Times New Roman" w:hAnsi="Times New Roman" w:eastAsia="宋体" w:cs="Times New Roman"/>
                <w:b/>
                <w:i w:val="0"/>
                <w:color w:val="auto"/>
                <w:kern w:val="0"/>
                <w:sz w:val="21"/>
                <w:szCs w:val="21"/>
                <w:highlight w:val="none"/>
                <w:u w:val="none"/>
                <w:lang w:val="en-US" w:eastAsia="zh-CN" w:bidi="ar"/>
              </w:rPr>
              <w:t>纬度（°）</w:t>
            </w:r>
          </w:p>
        </w:tc>
        <w:tc>
          <w:tcPr>
            <w:tcW w:w="1135" w:type="pct"/>
            <w:vMerge w:val="continue"/>
            <w:tcBorders>
              <w:bottom w:val="single" w:color="000000" w:sz="12" w:space="0"/>
            </w:tcBorders>
            <w:shd w:val="clear" w:color="auto" w:fill="auto"/>
            <w:noWrap/>
            <w:tcMar>
              <w:top w:w="15" w:type="dxa"/>
              <w:left w:w="15" w:type="dxa"/>
              <w:right w:w="15" w:type="dxa"/>
            </w:tcMar>
            <w:vAlign w:val="center"/>
          </w:tcPr>
          <w:p w14:paraId="5DF814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p>
        </w:tc>
      </w:tr>
      <w:tr w14:paraId="1C4622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78" w:hRule="atLeast"/>
          <w:jc w:val="center"/>
        </w:trPr>
        <w:tc>
          <w:tcPr>
            <w:tcW w:w="243" w:type="pct"/>
            <w:tcBorders>
              <w:top w:val="single" w:color="000000" w:sz="12" w:space="0"/>
              <w:tl2br w:val="nil"/>
              <w:tr2bl w:val="nil"/>
            </w:tcBorders>
            <w:shd w:val="clear" w:color="auto" w:fill="auto"/>
            <w:noWrap/>
            <w:tcMar>
              <w:top w:w="15" w:type="dxa"/>
              <w:left w:w="15" w:type="dxa"/>
              <w:right w:w="15" w:type="dxa"/>
            </w:tcMar>
            <w:vAlign w:val="center"/>
          </w:tcPr>
          <w:p w14:paraId="0B3C07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84" w:type="pct"/>
            <w:vMerge w:val="restart"/>
            <w:tcBorders>
              <w:top w:val="single" w:color="000000" w:sz="12" w:space="0"/>
              <w:tl2br w:val="nil"/>
              <w:tr2bl w:val="nil"/>
            </w:tcBorders>
            <w:shd w:val="clear" w:color="auto" w:fill="auto"/>
            <w:noWrap/>
            <w:tcMar>
              <w:top w:w="15" w:type="dxa"/>
              <w:left w:w="15" w:type="dxa"/>
              <w:right w:w="15" w:type="dxa"/>
            </w:tcMar>
            <w:vAlign w:val="center"/>
          </w:tcPr>
          <w:p w14:paraId="758239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工业园周边点位</w:t>
            </w:r>
          </w:p>
        </w:tc>
        <w:tc>
          <w:tcPr>
            <w:tcW w:w="715" w:type="pct"/>
            <w:tcBorders>
              <w:top w:val="single" w:color="000000" w:sz="12" w:space="0"/>
              <w:tl2br w:val="nil"/>
              <w:tr2bl w:val="nil"/>
            </w:tcBorders>
            <w:shd w:val="clear" w:color="auto" w:fill="auto"/>
            <w:noWrap/>
            <w:tcMar>
              <w:top w:w="15" w:type="dxa"/>
              <w:left w:w="15" w:type="dxa"/>
              <w:right w:w="15" w:type="dxa"/>
            </w:tcMar>
            <w:vAlign w:val="center"/>
          </w:tcPr>
          <w:p w14:paraId="75F785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1319" w:type="pct"/>
            <w:tcBorders>
              <w:top w:val="single" w:color="000000" w:sz="12" w:space="0"/>
              <w:tl2br w:val="nil"/>
              <w:tr2bl w:val="nil"/>
            </w:tcBorders>
            <w:shd w:val="clear" w:color="auto" w:fill="auto"/>
            <w:noWrap/>
            <w:tcMar>
              <w:top w:w="15" w:type="dxa"/>
              <w:left w:w="15" w:type="dxa"/>
              <w:right w:w="15" w:type="dxa"/>
            </w:tcMar>
            <w:vAlign w:val="center"/>
          </w:tcPr>
          <w:p w14:paraId="201BBF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园区边界西侧下风向75m</w:t>
            </w:r>
          </w:p>
        </w:tc>
        <w:tc>
          <w:tcPr>
            <w:tcW w:w="628" w:type="pct"/>
            <w:tcBorders>
              <w:top w:val="single" w:color="000000" w:sz="12" w:space="0"/>
              <w:tl2br w:val="nil"/>
              <w:tr2bl w:val="nil"/>
            </w:tcBorders>
            <w:shd w:val="clear" w:color="auto" w:fill="auto"/>
            <w:noWrap/>
            <w:tcMar>
              <w:top w:w="15" w:type="dxa"/>
              <w:left w:w="15" w:type="dxa"/>
              <w:right w:w="15" w:type="dxa"/>
            </w:tcMar>
            <w:vAlign w:val="center"/>
          </w:tcPr>
          <w:p w14:paraId="53A159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114.753141</w:t>
            </w:r>
          </w:p>
        </w:tc>
        <w:tc>
          <w:tcPr>
            <w:tcW w:w="673" w:type="pct"/>
            <w:tcBorders>
              <w:top w:val="single" w:color="000000" w:sz="12" w:space="0"/>
              <w:tl2br w:val="nil"/>
              <w:tr2bl w:val="nil"/>
            </w:tcBorders>
            <w:shd w:val="clear" w:color="auto" w:fill="auto"/>
            <w:noWrap/>
            <w:tcMar>
              <w:top w:w="15" w:type="dxa"/>
              <w:left w:w="15" w:type="dxa"/>
              <w:right w:w="15" w:type="dxa"/>
            </w:tcMar>
            <w:vAlign w:val="center"/>
          </w:tcPr>
          <w:p w14:paraId="1F58F1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30.520153</w:t>
            </w:r>
          </w:p>
        </w:tc>
        <w:tc>
          <w:tcPr>
            <w:tcW w:w="1135" w:type="pct"/>
            <w:vMerge w:val="restart"/>
            <w:tcBorders>
              <w:top w:val="single" w:color="000000" w:sz="12" w:space="0"/>
              <w:tl2br w:val="nil"/>
              <w:tr2bl w:val="nil"/>
            </w:tcBorders>
            <w:shd w:val="clear" w:color="auto" w:fill="auto"/>
            <w:noWrap/>
            <w:tcMar>
              <w:top w:w="15" w:type="dxa"/>
              <w:left w:w="15" w:type="dxa"/>
              <w:right w:w="15" w:type="dxa"/>
            </w:tcMar>
            <w:vAlign w:val="center"/>
          </w:tcPr>
          <w:p w14:paraId="3FC766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①基本项目（48项）</w:t>
            </w:r>
          </w:p>
          <w:p w14:paraId="6B8161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②园区增测项目（5项）</w:t>
            </w:r>
          </w:p>
        </w:tc>
      </w:tr>
      <w:tr w14:paraId="4084DC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398DCA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284" w:type="pct"/>
            <w:vMerge w:val="continue"/>
            <w:tcBorders>
              <w:tl2br w:val="nil"/>
              <w:tr2bl w:val="nil"/>
            </w:tcBorders>
            <w:shd w:val="clear" w:color="auto" w:fill="auto"/>
            <w:noWrap/>
            <w:tcMar>
              <w:top w:w="15" w:type="dxa"/>
              <w:left w:w="15" w:type="dxa"/>
              <w:right w:w="15" w:type="dxa"/>
            </w:tcMar>
            <w:vAlign w:val="center"/>
          </w:tcPr>
          <w:p w14:paraId="3D4EF8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44ED36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1319" w:type="pct"/>
            <w:tcBorders>
              <w:tl2br w:val="nil"/>
              <w:tr2bl w:val="nil"/>
            </w:tcBorders>
            <w:shd w:val="clear" w:color="auto" w:fill="auto"/>
            <w:noWrap/>
            <w:tcMar>
              <w:top w:w="15" w:type="dxa"/>
              <w:left w:w="15" w:type="dxa"/>
              <w:right w:w="15" w:type="dxa"/>
            </w:tcMar>
            <w:vAlign w:val="center"/>
          </w:tcPr>
          <w:p w14:paraId="0C93C3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园区边界西侧下风向200m</w:t>
            </w:r>
          </w:p>
        </w:tc>
        <w:tc>
          <w:tcPr>
            <w:tcW w:w="628" w:type="pct"/>
            <w:tcBorders>
              <w:tl2br w:val="nil"/>
              <w:tr2bl w:val="nil"/>
            </w:tcBorders>
            <w:shd w:val="clear" w:color="auto" w:fill="auto"/>
            <w:noWrap/>
            <w:tcMar>
              <w:top w:w="15" w:type="dxa"/>
              <w:left w:w="15" w:type="dxa"/>
              <w:right w:w="15" w:type="dxa"/>
            </w:tcMar>
            <w:vAlign w:val="center"/>
          </w:tcPr>
          <w:p w14:paraId="25FFC1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114.751918</w:t>
            </w:r>
          </w:p>
        </w:tc>
        <w:tc>
          <w:tcPr>
            <w:tcW w:w="673" w:type="pct"/>
            <w:tcBorders>
              <w:tl2br w:val="nil"/>
              <w:tr2bl w:val="nil"/>
            </w:tcBorders>
            <w:shd w:val="clear" w:color="auto" w:fill="auto"/>
            <w:noWrap/>
            <w:tcMar>
              <w:top w:w="15" w:type="dxa"/>
              <w:left w:w="15" w:type="dxa"/>
              <w:right w:w="15" w:type="dxa"/>
            </w:tcMar>
            <w:vAlign w:val="center"/>
          </w:tcPr>
          <w:p w14:paraId="66D466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30.520217</w:t>
            </w:r>
          </w:p>
        </w:tc>
        <w:tc>
          <w:tcPr>
            <w:tcW w:w="1135" w:type="pct"/>
            <w:vMerge w:val="continue"/>
            <w:tcBorders>
              <w:tl2br w:val="nil"/>
              <w:tr2bl w:val="nil"/>
            </w:tcBorders>
            <w:shd w:val="clear" w:color="auto" w:fill="auto"/>
            <w:noWrap/>
            <w:tcMar>
              <w:top w:w="15" w:type="dxa"/>
              <w:left w:w="15" w:type="dxa"/>
              <w:right w:w="15" w:type="dxa"/>
            </w:tcMar>
            <w:vAlign w:val="center"/>
          </w:tcPr>
          <w:p w14:paraId="7504856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BDF76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3AB652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84" w:type="pct"/>
            <w:vMerge w:val="continue"/>
            <w:tcBorders>
              <w:tl2br w:val="nil"/>
              <w:tr2bl w:val="nil"/>
            </w:tcBorders>
            <w:shd w:val="clear" w:color="auto" w:fill="auto"/>
            <w:noWrap/>
            <w:tcMar>
              <w:top w:w="15" w:type="dxa"/>
              <w:left w:w="15" w:type="dxa"/>
              <w:right w:w="15" w:type="dxa"/>
            </w:tcMar>
            <w:vAlign w:val="center"/>
          </w:tcPr>
          <w:p w14:paraId="33E1E0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7CB222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1319" w:type="pct"/>
            <w:tcBorders>
              <w:tl2br w:val="nil"/>
              <w:tr2bl w:val="nil"/>
            </w:tcBorders>
            <w:shd w:val="clear" w:color="auto" w:fill="auto"/>
            <w:noWrap/>
            <w:tcMar>
              <w:top w:w="15" w:type="dxa"/>
              <w:left w:w="15" w:type="dxa"/>
              <w:right w:w="15" w:type="dxa"/>
            </w:tcMar>
            <w:vAlign w:val="center"/>
          </w:tcPr>
          <w:p w14:paraId="6DD3B9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628" w:type="pct"/>
            <w:tcBorders>
              <w:tl2br w:val="nil"/>
              <w:tr2bl w:val="nil"/>
            </w:tcBorders>
            <w:shd w:val="clear" w:color="auto" w:fill="auto"/>
            <w:noWrap/>
            <w:tcMar>
              <w:top w:w="15" w:type="dxa"/>
              <w:left w:w="15" w:type="dxa"/>
              <w:right w:w="15" w:type="dxa"/>
            </w:tcMar>
            <w:vAlign w:val="center"/>
          </w:tcPr>
          <w:p w14:paraId="28F6CC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114.773698</w:t>
            </w:r>
          </w:p>
        </w:tc>
        <w:tc>
          <w:tcPr>
            <w:tcW w:w="673" w:type="pct"/>
            <w:tcBorders>
              <w:tl2br w:val="nil"/>
              <w:tr2bl w:val="nil"/>
            </w:tcBorders>
            <w:shd w:val="clear" w:color="auto" w:fill="auto"/>
            <w:noWrap/>
            <w:tcMar>
              <w:top w:w="15" w:type="dxa"/>
              <w:left w:w="15" w:type="dxa"/>
              <w:right w:w="15" w:type="dxa"/>
            </w:tcMar>
            <w:vAlign w:val="center"/>
          </w:tcPr>
          <w:p w14:paraId="4AD52E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30.406757</w:t>
            </w:r>
          </w:p>
        </w:tc>
        <w:tc>
          <w:tcPr>
            <w:tcW w:w="1135" w:type="pct"/>
            <w:vMerge w:val="continue"/>
            <w:tcBorders>
              <w:tl2br w:val="nil"/>
              <w:tr2bl w:val="nil"/>
            </w:tcBorders>
            <w:shd w:val="clear" w:color="auto" w:fill="auto"/>
            <w:noWrap/>
            <w:tcMar>
              <w:top w:w="15" w:type="dxa"/>
              <w:left w:w="15" w:type="dxa"/>
              <w:right w:w="15" w:type="dxa"/>
            </w:tcMar>
            <w:vAlign w:val="center"/>
          </w:tcPr>
          <w:p w14:paraId="544A992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9EB78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5BB84F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284" w:type="pct"/>
            <w:vMerge w:val="continue"/>
            <w:tcBorders>
              <w:tl2br w:val="nil"/>
              <w:tr2bl w:val="nil"/>
            </w:tcBorders>
            <w:shd w:val="clear" w:color="auto" w:fill="auto"/>
            <w:noWrap/>
            <w:tcMar>
              <w:top w:w="15" w:type="dxa"/>
              <w:left w:w="15" w:type="dxa"/>
              <w:right w:w="15" w:type="dxa"/>
            </w:tcMar>
            <w:vAlign w:val="center"/>
          </w:tcPr>
          <w:p w14:paraId="14028F2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09E2AB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1319" w:type="pct"/>
            <w:tcBorders>
              <w:tl2br w:val="nil"/>
              <w:tr2bl w:val="nil"/>
            </w:tcBorders>
            <w:shd w:val="clear" w:color="auto" w:fill="auto"/>
            <w:noWrap/>
            <w:tcMar>
              <w:top w:w="15" w:type="dxa"/>
              <w:left w:w="15" w:type="dxa"/>
              <w:right w:w="15" w:type="dxa"/>
            </w:tcMar>
            <w:vAlign w:val="center"/>
          </w:tcPr>
          <w:p w14:paraId="7BB108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628" w:type="pct"/>
            <w:tcBorders>
              <w:tl2br w:val="nil"/>
              <w:tr2bl w:val="nil"/>
            </w:tcBorders>
            <w:shd w:val="clear" w:color="auto" w:fill="auto"/>
            <w:noWrap/>
            <w:tcMar>
              <w:top w:w="15" w:type="dxa"/>
              <w:left w:w="15" w:type="dxa"/>
              <w:right w:w="15" w:type="dxa"/>
            </w:tcMar>
            <w:vAlign w:val="center"/>
          </w:tcPr>
          <w:p w14:paraId="44CF85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114.773945</w:t>
            </w:r>
          </w:p>
        </w:tc>
        <w:tc>
          <w:tcPr>
            <w:tcW w:w="673" w:type="pct"/>
            <w:tcBorders>
              <w:tl2br w:val="nil"/>
              <w:tr2bl w:val="nil"/>
            </w:tcBorders>
            <w:shd w:val="clear" w:color="auto" w:fill="auto"/>
            <w:noWrap/>
            <w:tcMar>
              <w:top w:w="15" w:type="dxa"/>
              <w:left w:w="15" w:type="dxa"/>
              <w:right w:w="15" w:type="dxa"/>
            </w:tcMar>
            <w:vAlign w:val="center"/>
          </w:tcPr>
          <w:p w14:paraId="0BAA1E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30.405656</w:t>
            </w:r>
          </w:p>
        </w:tc>
        <w:tc>
          <w:tcPr>
            <w:tcW w:w="1135" w:type="pct"/>
            <w:vMerge w:val="continue"/>
            <w:tcBorders>
              <w:tl2br w:val="nil"/>
              <w:tr2bl w:val="nil"/>
            </w:tcBorders>
            <w:shd w:val="clear" w:color="auto" w:fill="auto"/>
            <w:noWrap/>
            <w:tcMar>
              <w:top w:w="15" w:type="dxa"/>
              <w:left w:w="15" w:type="dxa"/>
              <w:right w:w="15" w:type="dxa"/>
            </w:tcMar>
            <w:vAlign w:val="center"/>
          </w:tcPr>
          <w:p w14:paraId="60138BB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6E311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44E0E0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284" w:type="pct"/>
            <w:vMerge w:val="continue"/>
            <w:tcBorders>
              <w:tl2br w:val="nil"/>
              <w:tr2bl w:val="nil"/>
            </w:tcBorders>
            <w:shd w:val="clear" w:color="auto" w:fill="auto"/>
            <w:noWrap/>
            <w:tcMar>
              <w:top w:w="15" w:type="dxa"/>
              <w:left w:w="15" w:type="dxa"/>
              <w:right w:w="15" w:type="dxa"/>
            </w:tcMar>
            <w:vAlign w:val="center"/>
          </w:tcPr>
          <w:p w14:paraId="5EDC6D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0DE1F3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1319" w:type="pct"/>
            <w:tcBorders>
              <w:tl2br w:val="nil"/>
              <w:tr2bl w:val="nil"/>
            </w:tcBorders>
            <w:shd w:val="clear" w:color="auto" w:fill="auto"/>
            <w:noWrap/>
            <w:tcMar>
              <w:top w:w="15" w:type="dxa"/>
              <w:left w:w="15" w:type="dxa"/>
              <w:right w:w="15" w:type="dxa"/>
            </w:tcMar>
            <w:vAlign w:val="center"/>
          </w:tcPr>
          <w:p w14:paraId="147873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628" w:type="pct"/>
            <w:tcBorders>
              <w:tl2br w:val="nil"/>
              <w:tr2bl w:val="nil"/>
            </w:tcBorders>
            <w:shd w:val="clear" w:color="auto" w:fill="auto"/>
            <w:noWrap/>
            <w:tcMar>
              <w:top w:w="15" w:type="dxa"/>
              <w:left w:w="15" w:type="dxa"/>
              <w:right w:w="15" w:type="dxa"/>
            </w:tcMar>
            <w:vAlign w:val="center"/>
          </w:tcPr>
          <w:p w14:paraId="565A4B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114.774309</w:t>
            </w:r>
          </w:p>
        </w:tc>
        <w:tc>
          <w:tcPr>
            <w:tcW w:w="673" w:type="pct"/>
            <w:tcBorders>
              <w:tl2br w:val="nil"/>
              <w:tr2bl w:val="nil"/>
            </w:tcBorders>
            <w:shd w:val="clear" w:color="auto" w:fill="auto"/>
            <w:noWrap/>
            <w:tcMar>
              <w:top w:w="15" w:type="dxa"/>
              <w:left w:w="15" w:type="dxa"/>
              <w:right w:w="15" w:type="dxa"/>
            </w:tcMar>
            <w:vAlign w:val="center"/>
          </w:tcPr>
          <w:p w14:paraId="2F98D1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30.403870</w:t>
            </w:r>
          </w:p>
        </w:tc>
        <w:tc>
          <w:tcPr>
            <w:tcW w:w="1135" w:type="pct"/>
            <w:vMerge w:val="continue"/>
            <w:tcBorders>
              <w:tl2br w:val="nil"/>
              <w:tr2bl w:val="nil"/>
            </w:tcBorders>
            <w:shd w:val="clear" w:color="auto" w:fill="auto"/>
            <w:noWrap/>
            <w:tcMar>
              <w:top w:w="15" w:type="dxa"/>
              <w:left w:w="15" w:type="dxa"/>
              <w:right w:w="15" w:type="dxa"/>
            </w:tcMar>
            <w:vAlign w:val="center"/>
          </w:tcPr>
          <w:p w14:paraId="74ED9B5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9F6E6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7DE5F2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284" w:type="pct"/>
            <w:vMerge w:val="continue"/>
            <w:tcBorders>
              <w:tl2br w:val="nil"/>
              <w:tr2bl w:val="nil"/>
            </w:tcBorders>
            <w:shd w:val="clear" w:color="auto" w:fill="auto"/>
            <w:noWrap/>
            <w:tcMar>
              <w:top w:w="15" w:type="dxa"/>
              <w:left w:w="15" w:type="dxa"/>
              <w:right w:w="15" w:type="dxa"/>
            </w:tcMar>
            <w:vAlign w:val="center"/>
          </w:tcPr>
          <w:p w14:paraId="61EBF2E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51E29E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1319" w:type="pct"/>
            <w:tcBorders>
              <w:tl2br w:val="nil"/>
              <w:tr2bl w:val="nil"/>
            </w:tcBorders>
            <w:shd w:val="clear" w:color="auto" w:fill="auto"/>
            <w:noWrap/>
            <w:tcMar>
              <w:top w:w="15" w:type="dxa"/>
              <w:left w:w="15" w:type="dxa"/>
              <w:right w:w="15" w:type="dxa"/>
            </w:tcMar>
            <w:vAlign w:val="center"/>
          </w:tcPr>
          <w:p w14:paraId="20B8CD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园区边界东侧上风向</w:t>
            </w:r>
            <w:r>
              <w:rPr>
                <w:rStyle w:val="69"/>
                <w:rFonts w:hint="default" w:ascii="Times New Roman" w:hAnsi="Times New Roman" w:cs="Times New Roman"/>
                <w:color w:val="auto"/>
                <w:sz w:val="21"/>
                <w:szCs w:val="21"/>
                <w:highlight w:val="none"/>
                <w:lang w:val="en-US" w:eastAsia="zh-CN" w:bidi="ar"/>
              </w:rPr>
              <w:t>800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628" w:type="pct"/>
            <w:tcBorders>
              <w:tl2br w:val="nil"/>
              <w:tr2bl w:val="nil"/>
            </w:tcBorders>
            <w:shd w:val="clear" w:color="auto" w:fill="auto"/>
            <w:noWrap/>
            <w:tcMar>
              <w:top w:w="15" w:type="dxa"/>
              <w:left w:w="15" w:type="dxa"/>
              <w:right w:w="15" w:type="dxa"/>
            </w:tcMar>
            <w:vAlign w:val="center"/>
          </w:tcPr>
          <w:p w14:paraId="64BFA2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114.829239</w:t>
            </w:r>
          </w:p>
        </w:tc>
        <w:tc>
          <w:tcPr>
            <w:tcW w:w="673" w:type="pct"/>
            <w:tcBorders>
              <w:tl2br w:val="nil"/>
              <w:tr2bl w:val="nil"/>
            </w:tcBorders>
            <w:shd w:val="clear" w:color="auto" w:fill="auto"/>
            <w:noWrap/>
            <w:tcMar>
              <w:top w:w="15" w:type="dxa"/>
              <w:left w:w="15" w:type="dxa"/>
              <w:right w:w="15" w:type="dxa"/>
            </w:tcMar>
            <w:vAlign w:val="center"/>
          </w:tcPr>
          <w:p w14:paraId="5298C8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30.524379</w:t>
            </w:r>
          </w:p>
        </w:tc>
        <w:tc>
          <w:tcPr>
            <w:tcW w:w="1135" w:type="pct"/>
            <w:vMerge w:val="continue"/>
            <w:tcBorders>
              <w:tl2br w:val="nil"/>
              <w:tr2bl w:val="nil"/>
            </w:tcBorders>
            <w:shd w:val="clear" w:color="auto" w:fill="auto"/>
            <w:noWrap/>
            <w:tcMar>
              <w:top w:w="15" w:type="dxa"/>
              <w:left w:w="15" w:type="dxa"/>
              <w:right w:w="15" w:type="dxa"/>
            </w:tcMar>
            <w:vAlign w:val="center"/>
          </w:tcPr>
          <w:p w14:paraId="3F1E754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25130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675F44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284" w:type="pct"/>
            <w:vMerge w:val="continue"/>
            <w:tcBorders>
              <w:tl2br w:val="nil"/>
              <w:tr2bl w:val="nil"/>
            </w:tcBorders>
            <w:shd w:val="clear" w:color="auto" w:fill="auto"/>
            <w:noWrap/>
            <w:tcMar>
              <w:top w:w="15" w:type="dxa"/>
              <w:left w:w="15" w:type="dxa"/>
              <w:right w:w="15" w:type="dxa"/>
            </w:tcMar>
            <w:vAlign w:val="center"/>
          </w:tcPr>
          <w:p w14:paraId="37AA3E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46452E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1319" w:type="pct"/>
            <w:tcBorders>
              <w:tl2br w:val="nil"/>
              <w:tr2bl w:val="nil"/>
            </w:tcBorders>
            <w:shd w:val="clear" w:color="auto" w:fill="auto"/>
            <w:noWrap/>
            <w:tcMar>
              <w:top w:w="15" w:type="dxa"/>
              <w:left w:w="15" w:type="dxa"/>
              <w:right w:w="15" w:type="dxa"/>
            </w:tcMar>
            <w:vAlign w:val="center"/>
          </w:tcPr>
          <w:p w14:paraId="4593AD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园区边界北侧上风向</w:t>
            </w:r>
            <w:r>
              <w:rPr>
                <w:rStyle w:val="69"/>
                <w:rFonts w:hint="default" w:ascii="Times New Roman" w:hAnsi="Times New Roman" w:cs="Times New Roman"/>
                <w:color w:val="auto"/>
                <w:sz w:val="21"/>
                <w:szCs w:val="21"/>
                <w:highlight w:val="none"/>
                <w:lang w:val="en-US" w:eastAsia="zh-CN" w:bidi="ar"/>
              </w:rPr>
              <w:t>750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628" w:type="pct"/>
            <w:tcBorders>
              <w:tl2br w:val="nil"/>
              <w:tr2bl w:val="nil"/>
            </w:tcBorders>
            <w:shd w:val="clear" w:color="auto" w:fill="auto"/>
            <w:noWrap/>
            <w:tcMar>
              <w:top w:w="15" w:type="dxa"/>
              <w:left w:w="15" w:type="dxa"/>
              <w:right w:w="15" w:type="dxa"/>
            </w:tcMar>
            <w:vAlign w:val="center"/>
          </w:tcPr>
          <w:p w14:paraId="41A55A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114.770114</w:t>
            </w:r>
          </w:p>
        </w:tc>
        <w:tc>
          <w:tcPr>
            <w:tcW w:w="673" w:type="pct"/>
            <w:tcBorders>
              <w:tl2br w:val="nil"/>
              <w:tr2bl w:val="nil"/>
            </w:tcBorders>
            <w:shd w:val="clear" w:color="auto" w:fill="auto"/>
            <w:noWrap/>
            <w:tcMar>
              <w:top w:w="15" w:type="dxa"/>
              <w:left w:w="15" w:type="dxa"/>
              <w:right w:w="15" w:type="dxa"/>
            </w:tcMar>
            <w:vAlign w:val="center"/>
          </w:tcPr>
          <w:p w14:paraId="5B8887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30.605912</w:t>
            </w:r>
          </w:p>
        </w:tc>
        <w:tc>
          <w:tcPr>
            <w:tcW w:w="1135" w:type="pct"/>
            <w:vMerge w:val="continue"/>
            <w:tcBorders>
              <w:tl2br w:val="nil"/>
              <w:tr2bl w:val="nil"/>
            </w:tcBorders>
            <w:shd w:val="clear" w:color="auto" w:fill="auto"/>
            <w:noWrap/>
            <w:tcMar>
              <w:top w:w="15" w:type="dxa"/>
              <w:left w:w="15" w:type="dxa"/>
              <w:right w:w="15" w:type="dxa"/>
            </w:tcMar>
            <w:vAlign w:val="center"/>
          </w:tcPr>
          <w:p w14:paraId="3C917D5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32FF2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4FBD2C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84" w:type="pct"/>
            <w:vMerge w:val="restart"/>
            <w:tcBorders>
              <w:tl2br w:val="nil"/>
              <w:tr2bl w:val="nil"/>
            </w:tcBorders>
            <w:shd w:val="clear" w:color="auto" w:fill="auto"/>
            <w:noWrap/>
            <w:tcMar>
              <w:top w:w="15" w:type="dxa"/>
              <w:left w:w="15" w:type="dxa"/>
              <w:right w:w="15" w:type="dxa"/>
            </w:tcMar>
            <w:vAlign w:val="center"/>
          </w:tcPr>
          <w:p w14:paraId="097985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企业聚集区周边</w:t>
            </w:r>
          </w:p>
        </w:tc>
        <w:tc>
          <w:tcPr>
            <w:tcW w:w="715" w:type="pct"/>
            <w:tcBorders>
              <w:tl2br w:val="nil"/>
              <w:tr2bl w:val="nil"/>
            </w:tcBorders>
            <w:shd w:val="clear" w:color="auto" w:fill="auto"/>
            <w:noWrap/>
            <w:tcMar>
              <w:top w:w="15" w:type="dxa"/>
              <w:left w:w="15" w:type="dxa"/>
              <w:right w:w="15" w:type="dxa"/>
            </w:tcMar>
            <w:vAlign w:val="center"/>
          </w:tcPr>
          <w:p w14:paraId="524B8B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1319" w:type="pct"/>
            <w:tcBorders>
              <w:tl2br w:val="nil"/>
              <w:tr2bl w:val="nil"/>
            </w:tcBorders>
            <w:shd w:val="clear" w:color="auto" w:fill="auto"/>
            <w:noWrap/>
            <w:tcMar>
              <w:top w:w="15" w:type="dxa"/>
              <w:left w:w="15" w:type="dxa"/>
              <w:right w:w="15" w:type="dxa"/>
            </w:tcMar>
            <w:vAlign w:val="center"/>
          </w:tcPr>
          <w:p w14:paraId="1C25CE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r>
              <w:rPr>
                <w:rFonts w:hint="eastAsia" w:cs="Times New Roman"/>
                <w:i w:val="0"/>
                <w:color w:val="auto"/>
                <w:kern w:val="0"/>
                <w:sz w:val="21"/>
                <w:szCs w:val="21"/>
                <w:highlight w:val="none"/>
                <w:u w:val="none"/>
                <w:lang w:val="en-US" w:eastAsia="zh-CN" w:bidi="ar"/>
              </w:rPr>
              <w:t xml:space="preserve"> </w:t>
            </w:r>
          </w:p>
        </w:tc>
        <w:tc>
          <w:tcPr>
            <w:tcW w:w="628" w:type="pct"/>
            <w:tcBorders>
              <w:tl2br w:val="nil"/>
              <w:tr2bl w:val="nil"/>
            </w:tcBorders>
            <w:shd w:val="clear" w:color="auto" w:fill="auto"/>
            <w:noWrap/>
            <w:tcMar>
              <w:top w:w="15" w:type="dxa"/>
              <w:left w:w="15" w:type="dxa"/>
              <w:right w:w="15" w:type="dxa"/>
            </w:tcMar>
            <w:vAlign w:val="center"/>
          </w:tcPr>
          <w:p w14:paraId="7E9B77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114.801465</w:t>
            </w:r>
          </w:p>
        </w:tc>
        <w:tc>
          <w:tcPr>
            <w:tcW w:w="673" w:type="pct"/>
            <w:tcBorders>
              <w:tl2br w:val="nil"/>
              <w:tr2bl w:val="nil"/>
            </w:tcBorders>
            <w:shd w:val="clear" w:color="auto" w:fill="auto"/>
            <w:noWrap/>
            <w:tcMar>
              <w:top w:w="15" w:type="dxa"/>
              <w:left w:w="15" w:type="dxa"/>
              <w:right w:w="15" w:type="dxa"/>
            </w:tcMar>
            <w:vAlign w:val="center"/>
          </w:tcPr>
          <w:p w14:paraId="6E2B91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30.535717</w:t>
            </w:r>
          </w:p>
        </w:tc>
        <w:tc>
          <w:tcPr>
            <w:tcW w:w="1135" w:type="pct"/>
            <w:vMerge w:val="continue"/>
            <w:tcBorders>
              <w:tl2br w:val="nil"/>
              <w:tr2bl w:val="nil"/>
            </w:tcBorders>
            <w:shd w:val="clear" w:color="auto" w:fill="auto"/>
            <w:noWrap/>
            <w:tcMar>
              <w:top w:w="15" w:type="dxa"/>
              <w:left w:w="15" w:type="dxa"/>
              <w:right w:w="15" w:type="dxa"/>
            </w:tcMar>
            <w:vAlign w:val="center"/>
          </w:tcPr>
          <w:p w14:paraId="69D4D4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209E96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78C727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284" w:type="pct"/>
            <w:vMerge w:val="continue"/>
            <w:tcBorders>
              <w:tl2br w:val="nil"/>
              <w:tr2bl w:val="nil"/>
            </w:tcBorders>
            <w:shd w:val="clear" w:color="auto" w:fill="auto"/>
            <w:noWrap/>
            <w:tcMar>
              <w:top w:w="15" w:type="dxa"/>
              <w:left w:w="15" w:type="dxa"/>
              <w:right w:w="15" w:type="dxa"/>
            </w:tcMar>
            <w:vAlign w:val="center"/>
          </w:tcPr>
          <w:p w14:paraId="1C5F5E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39E5FF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1319" w:type="pct"/>
            <w:tcBorders>
              <w:tl2br w:val="nil"/>
              <w:tr2bl w:val="nil"/>
            </w:tcBorders>
            <w:shd w:val="clear" w:color="auto" w:fill="auto"/>
            <w:noWrap/>
            <w:tcMar>
              <w:top w:w="15" w:type="dxa"/>
              <w:left w:w="15" w:type="dxa"/>
              <w:right w:w="15" w:type="dxa"/>
            </w:tcMar>
            <w:vAlign w:val="center"/>
          </w:tcPr>
          <w:p w14:paraId="14B379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r>
              <w:rPr>
                <w:rFonts w:hint="eastAsia" w:cs="Times New Roman"/>
                <w:i w:val="0"/>
                <w:color w:val="auto"/>
                <w:kern w:val="0"/>
                <w:sz w:val="21"/>
                <w:szCs w:val="21"/>
                <w:highlight w:val="none"/>
                <w:u w:val="none"/>
                <w:vertAlign w:val="superscript"/>
                <w:lang w:val="en-US" w:eastAsia="zh-CN" w:bidi="ar"/>
              </w:rPr>
              <w:t>②</w:t>
            </w:r>
          </w:p>
        </w:tc>
        <w:tc>
          <w:tcPr>
            <w:tcW w:w="628" w:type="pct"/>
            <w:tcBorders>
              <w:tl2br w:val="nil"/>
              <w:tr2bl w:val="nil"/>
            </w:tcBorders>
            <w:shd w:val="clear" w:color="auto" w:fill="auto"/>
            <w:noWrap/>
            <w:tcMar>
              <w:top w:w="15" w:type="dxa"/>
              <w:left w:w="15" w:type="dxa"/>
              <w:right w:w="15" w:type="dxa"/>
            </w:tcMar>
            <w:vAlign w:val="center"/>
          </w:tcPr>
          <w:p w14:paraId="481046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114.766308</w:t>
            </w:r>
          </w:p>
        </w:tc>
        <w:tc>
          <w:tcPr>
            <w:tcW w:w="673" w:type="pct"/>
            <w:tcBorders>
              <w:tl2br w:val="nil"/>
              <w:tr2bl w:val="nil"/>
            </w:tcBorders>
            <w:shd w:val="clear" w:color="auto" w:fill="auto"/>
            <w:noWrap/>
            <w:tcMar>
              <w:top w:w="15" w:type="dxa"/>
              <w:left w:w="15" w:type="dxa"/>
              <w:right w:w="15" w:type="dxa"/>
            </w:tcMar>
            <w:vAlign w:val="center"/>
          </w:tcPr>
          <w:p w14:paraId="40F5A7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30.535210</w:t>
            </w:r>
          </w:p>
        </w:tc>
        <w:tc>
          <w:tcPr>
            <w:tcW w:w="1135" w:type="pct"/>
            <w:vMerge w:val="continue"/>
            <w:tcBorders>
              <w:tl2br w:val="nil"/>
              <w:tr2bl w:val="nil"/>
            </w:tcBorders>
            <w:shd w:val="clear" w:color="auto" w:fill="auto"/>
            <w:noWrap/>
            <w:tcMar>
              <w:top w:w="15" w:type="dxa"/>
              <w:left w:w="15" w:type="dxa"/>
              <w:right w:w="15" w:type="dxa"/>
            </w:tcMar>
            <w:vAlign w:val="center"/>
          </w:tcPr>
          <w:p w14:paraId="3CB018B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127E67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6D17B6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84" w:type="pct"/>
            <w:vMerge w:val="continue"/>
            <w:tcBorders>
              <w:tl2br w:val="nil"/>
              <w:tr2bl w:val="nil"/>
            </w:tcBorders>
            <w:shd w:val="clear" w:color="auto" w:fill="auto"/>
            <w:noWrap/>
            <w:tcMar>
              <w:top w:w="15" w:type="dxa"/>
              <w:left w:w="15" w:type="dxa"/>
              <w:right w:w="15" w:type="dxa"/>
            </w:tcMar>
            <w:vAlign w:val="center"/>
          </w:tcPr>
          <w:p w14:paraId="1F11C9B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159FC4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1319" w:type="pct"/>
            <w:tcBorders>
              <w:tl2br w:val="nil"/>
              <w:tr2bl w:val="nil"/>
            </w:tcBorders>
            <w:shd w:val="clear" w:color="auto" w:fill="auto"/>
            <w:noWrap/>
            <w:tcMar>
              <w:top w:w="15" w:type="dxa"/>
              <w:left w:w="15" w:type="dxa"/>
              <w:right w:w="15" w:type="dxa"/>
            </w:tcMar>
            <w:vAlign w:val="center"/>
          </w:tcPr>
          <w:p w14:paraId="456E8B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628" w:type="pct"/>
            <w:tcBorders>
              <w:tl2br w:val="nil"/>
              <w:tr2bl w:val="nil"/>
            </w:tcBorders>
            <w:shd w:val="clear" w:color="auto" w:fill="auto"/>
            <w:noWrap/>
            <w:tcMar>
              <w:top w:w="15" w:type="dxa"/>
              <w:left w:w="15" w:type="dxa"/>
              <w:right w:w="15" w:type="dxa"/>
            </w:tcMar>
            <w:vAlign w:val="center"/>
          </w:tcPr>
          <w:p w14:paraId="0D931A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114.800276</w:t>
            </w:r>
          </w:p>
        </w:tc>
        <w:tc>
          <w:tcPr>
            <w:tcW w:w="673" w:type="pct"/>
            <w:tcBorders>
              <w:tl2br w:val="nil"/>
              <w:tr2bl w:val="nil"/>
            </w:tcBorders>
            <w:shd w:val="clear" w:color="auto" w:fill="auto"/>
            <w:noWrap/>
            <w:tcMar>
              <w:top w:w="15" w:type="dxa"/>
              <w:left w:w="15" w:type="dxa"/>
              <w:right w:w="15" w:type="dxa"/>
            </w:tcMar>
            <w:vAlign w:val="center"/>
          </w:tcPr>
          <w:p w14:paraId="429A2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30.530474</w:t>
            </w:r>
          </w:p>
        </w:tc>
        <w:tc>
          <w:tcPr>
            <w:tcW w:w="1135" w:type="pct"/>
            <w:vMerge w:val="continue"/>
            <w:tcBorders>
              <w:tl2br w:val="nil"/>
              <w:tr2bl w:val="nil"/>
            </w:tcBorders>
            <w:shd w:val="clear" w:color="auto" w:fill="auto"/>
            <w:noWrap/>
            <w:tcMar>
              <w:top w:w="15" w:type="dxa"/>
              <w:left w:w="15" w:type="dxa"/>
              <w:right w:w="15" w:type="dxa"/>
            </w:tcMar>
            <w:vAlign w:val="center"/>
          </w:tcPr>
          <w:p w14:paraId="5CE85B8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2AB2A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29F054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84" w:type="pct"/>
            <w:vMerge w:val="continue"/>
            <w:tcBorders>
              <w:tl2br w:val="nil"/>
              <w:tr2bl w:val="nil"/>
            </w:tcBorders>
            <w:shd w:val="clear" w:color="auto" w:fill="auto"/>
            <w:noWrap/>
            <w:tcMar>
              <w:top w:w="15" w:type="dxa"/>
              <w:left w:w="15" w:type="dxa"/>
              <w:right w:w="15" w:type="dxa"/>
            </w:tcMar>
            <w:vAlign w:val="center"/>
          </w:tcPr>
          <w:p w14:paraId="5A6A5A0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2D6DDF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1319" w:type="pct"/>
            <w:tcBorders>
              <w:tl2br w:val="nil"/>
              <w:tr2bl w:val="nil"/>
            </w:tcBorders>
            <w:shd w:val="clear" w:color="auto" w:fill="auto"/>
            <w:noWrap/>
            <w:tcMar>
              <w:top w:w="15" w:type="dxa"/>
              <w:left w:w="15" w:type="dxa"/>
              <w:right w:w="15" w:type="dxa"/>
            </w:tcMar>
            <w:vAlign w:val="center"/>
          </w:tcPr>
          <w:p w14:paraId="2AF445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628" w:type="pct"/>
            <w:tcBorders>
              <w:tl2br w:val="nil"/>
              <w:tr2bl w:val="nil"/>
            </w:tcBorders>
            <w:shd w:val="clear" w:color="auto" w:fill="auto"/>
            <w:noWrap/>
            <w:tcMar>
              <w:top w:w="15" w:type="dxa"/>
              <w:left w:w="15" w:type="dxa"/>
              <w:right w:w="15" w:type="dxa"/>
            </w:tcMar>
            <w:vAlign w:val="center"/>
          </w:tcPr>
          <w:p w14:paraId="2B28DB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114.764239</w:t>
            </w:r>
          </w:p>
        </w:tc>
        <w:tc>
          <w:tcPr>
            <w:tcW w:w="673" w:type="pct"/>
            <w:tcBorders>
              <w:tl2br w:val="nil"/>
              <w:tr2bl w:val="nil"/>
            </w:tcBorders>
            <w:shd w:val="clear" w:color="auto" w:fill="auto"/>
            <w:noWrap/>
            <w:tcMar>
              <w:top w:w="15" w:type="dxa"/>
              <w:left w:w="15" w:type="dxa"/>
              <w:right w:w="15" w:type="dxa"/>
            </w:tcMar>
            <w:vAlign w:val="center"/>
          </w:tcPr>
          <w:p w14:paraId="332372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30.525133</w:t>
            </w:r>
          </w:p>
        </w:tc>
        <w:tc>
          <w:tcPr>
            <w:tcW w:w="1135" w:type="pct"/>
            <w:vMerge w:val="continue"/>
            <w:tcBorders>
              <w:tl2br w:val="nil"/>
              <w:tr2bl w:val="nil"/>
            </w:tcBorders>
            <w:shd w:val="clear" w:color="auto" w:fill="auto"/>
            <w:noWrap/>
            <w:tcMar>
              <w:top w:w="15" w:type="dxa"/>
              <w:left w:w="15" w:type="dxa"/>
              <w:right w:w="15" w:type="dxa"/>
            </w:tcMar>
            <w:vAlign w:val="center"/>
          </w:tcPr>
          <w:p w14:paraId="2FCA55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2B1F9D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071943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84" w:type="pct"/>
            <w:vMerge w:val="continue"/>
            <w:tcBorders>
              <w:tl2br w:val="nil"/>
              <w:tr2bl w:val="nil"/>
            </w:tcBorders>
            <w:shd w:val="clear" w:color="auto" w:fill="auto"/>
            <w:noWrap/>
            <w:tcMar>
              <w:top w:w="15" w:type="dxa"/>
              <w:left w:w="15" w:type="dxa"/>
              <w:right w:w="15" w:type="dxa"/>
            </w:tcMar>
            <w:vAlign w:val="center"/>
          </w:tcPr>
          <w:p w14:paraId="6BB32D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2F03D6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1319" w:type="pct"/>
            <w:tcBorders>
              <w:tl2br w:val="nil"/>
              <w:tr2bl w:val="nil"/>
            </w:tcBorders>
            <w:shd w:val="clear" w:color="auto" w:fill="auto"/>
            <w:noWrap/>
            <w:tcMar>
              <w:top w:w="15" w:type="dxa"/>
              <w:left w:w="15" w:type="dxa"/>
              <w:right w:w="15" w:type="dxa"/>
            </w:tcMar>
            <w:vAlign w:val="center"/>
          </w:tcPr>
          <w:p w14:paraId="008191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628" w:type="pct"/>
            <w:tcBorders>
              <w:tl2br w:val="nil"/>
              <w:tr2bl w:val="nil"/>
            </w:tcBorders>
            <w:shd w:val="clear" w:color="auto" w:fill="auto"/>
            <w:noWrap/>
            <w:tcMar>
              <w:top w:w="15" w:type="dxa"/>
              <w:left w:w="15" w:type="dxa"/>
              <w:right w:w="15" w:type="dxa"/>
            </w:tcMar>
            <w:vAlign w:val="center"/>
          </w:tcPr>
          <w:p w14:paraId="35BAE2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114.819912</w:t>
            </w:r>
          </w:p>
        </w:tc>
        <w:tc>
          <w:tcPr>
            <w:tcW w:w="673" w:type="pct"/>
            <w:tcBorders>
              <w:tl2br w:val="nil"/>
              <w:tr2bl w:val="nil"/>
            </w:tcBorders>
            <w:shd w:val="clear" w:color="auto" w:fill="auto"/>
            <w:noWrap/>
            <w:tcMar>
              <w:top w:w="15" w:type="dxa"/>
              <w:left w:w="15" w:type="dxa"/>
              <w:right w:w="15" w:type="dxa"/>
            </w:tcMar>
            <w:vAlign w:val="center"/>
          </w:tcPr>
          <w:p w14:paraId="4CC7B9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30.512236</w:t>
            </w:r>
          </w:p>
        </w:tc>
        <w:tc>
          <w:tcPr>
            <w:tcW w:w="1135" w:type="pct"/>
            <w:vMerge w:val="continue"/>
            <w:tcBorders>
              <w:tl2br w:val="nil"/>
              <w:tr2bl w:val="nil"/>
            </w:tcBorders>
            <w:shd w:val="clear" w:color="auto" w:fill="auto"/>
            <w:noWrap/>
            <w:tcMar>
              <w:top w:w="15" w:type="dxa"/>
              <w:left w:w="15" w:type="dxa"/>
              <w:right w:w="15" w:type="dxa"/>
            </w:tcMar>
            <w:vAlign w:val="center"/>
          </w:tcPr>
          <w:p w14:paraId="0464638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B0B7D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24" w:hRule="atLeast"/>
          <w:jc w:val="center"/>
        </w:trPr>
        <w:tc>
          <w:tcPr>
            <w:tcW w:w="243" w:type="pct"/>
            <w:tcBorders>
              <w:tl2br w:val="nil"/>
              <w:tr2bl w:val="nil"/>
            </w:tcBorders>
            <w:shd w:val="clear" w:color="auto" w:fill="auto"/>
            <w:noWrap/>
            <w:tcMar>
              <w:top w:w="15" w:type="dxa"/>
              <w:left w:w="15" w:type="dxa"/>
              <w:right w:w="15" w:type="dxa"/>
            </w:tcMar>
            <w:vAlign w:val="center"/>
          </w:tcPr>
          <w:p w14:paraId="7E9427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284" w:type="pct"/>
            <w:vMerge w:val="continue"/>
            <w:tcBorders>
              <w:tl2br w:val="nil"/>
              <w:tr2bl w:val="nil"/>
            </w:tcBorders>
            <w:shd w:val="clear" w:color="auto" w:fill="auto"/>
            <w:noWrap/>
            <w:tcMar>
              <w:top w:w="15" w:type="dxa"/>
              <w:left w:w="15" w:type="dxa"/>
              <w:right w:w="15" w:type="dxa"/>
            </w:tcMar>
            <w:vAlign w:val="center"/>
          </w:tcPr>
          <w:p w14:paraId="161AF9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2140D8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1319" w:type="pct"/>
            <w:tcBorders>
              <w:tl2br w:val="nil"/>
              <w:tr2bl w:val="nil"/>
            </w:tcBorders>
            <w:shd w:val="clear" w:color="auto" w:fill="auto"/>
            <w:noWrap/>
            <w:tcMar>
              <w:top w:w="15" w:type="dxa"/>
              <w:left w:w="15" w:type="dxa"/>
              <w:right w:w="15" w:type="dxa"/>
            </w:tcMar>
            <w:vAlign w:val="center"/>
          </w:tcPr>
          <w:p w14:paraId="327DEE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628" w:type="pct"/>
            <w:tcBorders>
              <w:tl2br w:val="nil"/>
              <w:tr2bl w:val="nil"/>
            </w:tcBorders>
            <w:shd w:val="clear" w:color="auto" w:fill="auto"/>
            <w:noWrap/>
            <w:tcMar>
              <w:top w:w="15" w:type="dxa"/>
              <w:left w:w="15" w:type="dxa"/>
              <w:right w:w="15" w:type="dxa"/>
            </w:tcMar>
            <w:vAlign w:val="center"/>
          </w:tcPr>
          <w:p w14:paraId="2EF831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114.818145</w:t>
            </w:r>
          </w:p>
        </w:tc>
        <w:tc>
          <w:tcPr>
            <w:tcW w:w="673" w:type="pct"/>
            <w:tcBorders>
              <w:tl2br w:val="nil"/>
              <w:tr2bl w:val="nil"/>
            </w:tcBorders>
            <w:shd w:val="clear" w:color="auto" w:fill="auto"/>
            <w:noWrap/>
            <w:tcMar>
              <w:top w:w="15" w:type="dxa"/>
              <w:left w:w="15" w:type="dxa"/>
              <w:right w:w="15" w:type="dxa"/>
            </w:tcMar>
            <w:vAlign w:val="center"/>
          </w:tcPr>
          <w:p w14:paraId="791F35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30.480023</w:t>
            </w:r>
          </w:p>
        </w:tc>
        <w:tc>
          <w:tcPr>
            <w:tcW w:w="1135" w:type="pct"/>
            <w:tcBorders>
              <w:tl2br w:val="nil"/>
              <w:tr2bl w:val="nil"/>
            </w:tcBorders>
            <w:shd w:val="clear" w:color="auto" w:fill="auto"/>
            <w:noWrap/>
            <w:tcMar>
              <w:top w:w="15" w:type="dxa"/>
              <w:left w:w="15" w:type="dxa"/>
              <w:right w:w="15" w:type="dxa"/>
            </w:tcMar>
            <w:vAlign w:val="center"/>
          </w:tcPr>
          <w:p w14:paraId="7590C5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①基本项目（48项）</w:t>
            </w:r>
          </w:p>
          <w:p w14:paraId="2854AF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②园区增测项目（5项）③</w:t>
            </w:r>
            <w:r>
              <w:rPr>
                <w:rFonts w:hint="eastAsia" w:ascii="Times New Roman" w:hAnsi="Times New Roman" w:cs="Times New Roman"/>
                <w:i w:val="0"/>
                <w:color w:val="auto"/>
                <w:kern w:val="0"/>
                <w:sz w:val="21"/>
                <w:szCs w:val="21"/>
                <w:highlight w:val="none"/>
                <w:u w:val="none"/>
                <w:lang w:val="en-US" w:eastAsia="zh-CN" w:bidi="ar"/>
              </w:rPr>
              <w:t>其它增测项目</w:t>
            </w:r>
            <w:r>
              <w:rPr>
                <w:rFonts w:hint="default" w:ascii="Times New Roman" w:hAnsi="Times New Roman" w:eastAsia="宋体" w:cs="Times New Roman"/>
                <w:i w:val="0"/>
                <w:color w:val="auto"/>
                <w:kern w:val="0"/>
                <w:sz w:val="21"/>
                <w:szCs w:val="21"/>
                <w:highlight w:val="none"/>
                <w:u w:val="none"/>
                <w:lang w:val="en-US" w:eastAsia="zh-CN" w:bidi="ar"/>
              </w:rPr>
              <w:t>（8项）</w:t>
            </w:r>
          </w:p>
        </w:tc>
      </w:tr>
      <w:tr w14:paraId="1A449A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20F459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284" w:type="pct"/>
            <w:vMerge w:val="continue"/>
            <w:tcBorders>
              <w:tl2br w:val="nil"/>
              <w:tr2bl w:val="nil"/>
            </w:tcBorders>
            <w:shd w:val="clear" w:color="auto" w:fill="auto"/>
            <w:noWrap/>
            <w:tcMar>
              <w:top w:w="15" w:type="dxa"/>
              <w:left w:w="15" w:type="dxa"/>
              <w:right w:w="15" w:type="dxa"/>
            </w:tcMar>
            <w:vAlign w:val="center"/>
          </w:tcPr>
          <w:p w14:paraId="692BE4A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711C56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1319" w:type="pct"/>
            <w:tcBorders>
              <w:tl2br w:val="nil"/>
              <w:tr2bl w:val="nil"/>
            </w:tcBorders>
            <w:shd w:val="clear" w:color="auto" w:fill="auto"/>
            <w:noWrap/>
            <w:tcMar>
              <w:top w:w="15" w:type="dxa"/>
              <w:left w:w="15" w:type="dxa"/>
              <w:right w:w="15" w:type="dxa"/>
            </w:tcMar>
            <w:vAlign w:val="center"/>
          </w:tcPr>
          <w:p w14:paraId="3675B2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628" w:type="pct"/>
            <w:tcBorders>
              <w:tl2br w:val="nil"/>
              <w:tr2bl w:val="nil"/>
            </w:tcBorders>
            <w:shd w:val="clear" w:color="auto" w:fill="auto"/>
            <w:noWrap/>
            <w:tcMar>
              <w:top w:w="15" w:type="dxa"/>
              <w:left w:w="15" w:type="dxa"/>
              <w:right w:w="15" w:type="dxa"/>
            </w:tcMar>
            <w:vAlign w:val="center"/>
          </w:tcPr>
          <w:p w14:paraId="1CA49D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114.751256</w:t>
            </w:r>
          </w:p>
        </w:tc>
        <w:tc>
          <w:tcPr>
            <w:tcW w:w="673" w:type="pct"/>
            <w:tcBorders>
              <w:tl2br w:val="nil"/>
              <w:tr2bl w:val="nil"/>
            </w:tcBorders>
            <w:shd w:val="clear" w:color="auto" w:fill="auto"/>
            <w:noWrap/>
            <w:tcMar>
              <w:top w:w="15" w:type="dxa"/>
              <w:left w:w="15" w:type="dxa"/>
              <w:right w:w="15" w:type="dxa"/>
            </w:tcMar>
            <w:vAlign w:val="center"/>
          </w:tcPr>
          <w:p w14:paraId="31B64B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30.474688</w:t>
            </w:r>
          </w:p>
        </w:tc>
        <w:tc>
          <w:tcPr>
            <w:tcW w:w="1135" w:type="pct"/>
            <w:vMerge w:val="restart"/>
            <w:tcBorders>
              <w:tl2br w:val="nil"/>
              <w:tr2bl w:val="nil"/>
            </w:tcBorders>
            <w:shd w:val="clear" w:color="auto" w:fill="auto"/>
            <w:noWrap/>
            <w:tcMar>
              <w:top w:w="15" w:type="dxa"/>
              <w:left w:w="15" w:type="dxa"/>
              <w:right w:w="15" w:type="dxa"/>
            </w:tcMar>
            <w:vAlign w:val="center"/>
          </w:tcPr>
          <w:p w14:paraId="015A12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①基本项目（48项）</w:t>
            </w:r>
          </w:p>
          <w:p w14:paraId="1A6890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②园区增测项目（5项）</w:t>
            </w:r>
          </w:p>
        </w:tc>
      </w:tr>
      <w:tr w14:paraId="095FA6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8" w:hRule="atLeast"/>
          <w:jc w:val="center"/>
        </w:trPr>
        <w:tc>
          <w:tcPr>
            <w:tcW w:w="243" w:type="pct"/>
            <w:tcBorders>
              <w:tl2br w:val="nil"/>
              <w:tr2bl w:val="nil"/>
            </w:tcBorders>
            <w:shd w:val="clear" w:color="auto" w:fill="auto"/>
            <w:noWrap/>
            <w:tcMar>
              <w:top w:w="15" w:type="dxa"/>
              <w:left w:w="15" w:type="dxa"/>
              <w:right w:w="15" w:type="dxa"/>
            </w:tcMar>
            <w:vAlign w:val="center"/>
          </w:tcPr>
          <w:p w14:paraId="27FFBD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284" w:type="pct"/>
            <w:vMerge w:val="continue"/>
            <w:tcBorders>
              <w:tl2br w:val="nil"/>
              <w:tr2bl w:val="nil"/>
            </w:tcBorders>
            <w:shd w:val="clear" w:color="auto" w:fill="auto"/>
            <w:noWrap/>
            <w:tcMar>
              <w:top w:w="15" w:type="dxa"/>
              <w:left w:w="15" w:type="dxa"/>
              <w:right w:w="15" w:type="dxa"/>
            </w:tcMar>
            <w:vAlign w:val="center"/>
          </w:tcPr>
          <w:p w14:paraId="5E78214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136893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1319" w:type="pct"/>
            <w:tcBorders>
              <w:tl2br w:val="nil"/>
              <w:tr2bl w:val="nil"/>
            </w:tcBorders>
            <w:shd w:val="clear" w:color="auto" w:fill="auto"/>
            <w:noWrap/>
            <w:tcMar>
              <w:top w:w="15" w:type="dxa"/>
              <w:left w:w="15" w:type="dxa"/>
              <w:right w:w="15" w:type="dxa"/>
            </w:tcMar>
            <w:vAlign w:val="center"/>
          </w:tcPr>
          <w:p w14:paraId="330C6F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628" w:type="pct"/>
            <w:tcBorders>
              <w:tl2br w:val="nil"/>
              <w:tr2bl w:val="nil"/>
            </w:tcBorders>
            <w:shd w:val="clear" w:color="auto" w:fill="auto"/>
            <w:noWrap/>
            <w:tcMar>
              <w:top w:w="15" w:type="dxa"/>
              <w:left w:w="15" w:type="dxa"/>
              <w:right w:w="15" w:type="dxa"/>
            </w:tcMar>
            <w:vAlign w:val="center"/>
          </w:tcPr>
          <w:p w14:paraId="473ABD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114.778984</w:t>
            </w:r>
          </w:p>
        </w:tc>
        <w:tc>
          <w:tcPr>
            <w:tcW w:w="673" w:type="pct"/>
            <w:tcBorders>
              <w:tl2br w:val="nil"/>
              <w:tr2bl w:val="nil"/>
            </w:tcBorders>
            <w:shd w:val="clear" w:color="auto" w:fill="auto"/>
            <w:noWrap/>
            <w:tcMar>
              <w:top w:w="15" w:type="dxa"/>
              <w:left w:w="15" w:type="dxa"/>
              <w:right w:w="15" w:type="dxa"/>
            </w:tcMar>
            <w:vAlign w:val="center"/>
          </w:tcPr>
          <w:p w14:paraId="1E5423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30.439706</w:t>
            </w:r>
          </w:p>
        </w:tc>
        <w:tc>
          <w:tcPr>
            <w:tcW w:w="1135" w:type="pct"/>
            <w:vMerge w:val="continue"/>
            <w:tcBorders>
              <w:tl2br w:val="nil"/>
              <w:tr2bl w:val="nil"/>
            </w:tcBorders>
            <w:shd w:val="clear" w:color="auto" w:fill="auto"/>
            <w:noWrap/>
            <w:tcMar>
              <w:top w:w="15" w:type="dxa"/>
              <w:left w:w="15" w:type="dxa"/>
              <w:right w:w="15" w:type="dxa"/>
            </w:tcMar>
            <w:vAlign w:val="center"/>
          </w:tcPr>
          <w:p w14:paraId="5EB24E9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E346C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88" w:hRule="atLeast"/>
          <w:jc w:val="center"/>
        </w:trPr>
        <w:tc>
          <w:tcPr>
            <w:tcW w:w="243" w:type="pct"/>
            <w:tcBorders>
              <w:tl2br w:val="nil"/>
              <w:tr2bl w:val="nil"/>
            </w:tcBorders>
            <w:shd w:val="clear" w:color="auto" w:fill="auto"/>
            <w:noWrap/>
            <w:tcMar>
              <w:top w:w="15" w:type="dxa"/>
              <w:left w:w="15" w:type="dxa"/>
              <w:right w:w="15" w:type="dxa"/>
            </w:tcMar>
            <w:vAlign w:val="center"/>
          </w:tcPr>
          <w:p w14:paraId="436065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84" w:type="pct"/>
            <w:vMerge w:val="continue"/>
            <w:tcBorders>
              <w:tl2br w:val="nil"/>
              <w:tr2bl w:val="nil"/>
            </w:tcBorders>
            <w:shd w:val="clear" w:color="auto" w:fill="auto"/>
            <w:noWrap/>
            <w:tcMar>
              <w:top w:w="15" w:type="dxa"/>
              <w:left w:w="15" w:type="dxa"/>
              <w:right w:w="15" w:type="dxa"/>
            </w:tcMar>
            <w:vAlign w:val="center"/>
          </w:tcPr>
          <w:p w14:paraId="79EE009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715" w:type="pct"/>
            <w:tcBorders>
              <w:tl2br w:val="nil"/>
              <w:tr2bl w:val="nil"/>
            </w:tcBorders>
            <w:shd w:val="clear" w:color="auto" w:fill="auto"/>
            <w:noWrap/>
            <w:tcMar>
              <w:top w:w="15" w:type="dxa"/>
              <w:left w:w="15" w:type="dxa"/>
              <w:right w:w="15" w:type="dxa"/>
            </w:tcMar>
            <w:vAlign w:val="center"/>
          </w:tcPr>
          <w:p w14:paraId="34169F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1319" w:type="pct"/>
            <w:tcBorders>
              <w:tl2br w:val="nil"/>
              <w:tr2bl w:val="nil"/>
            </w:tcBorders>
            <w:shd w:val="clear" w:color="auto" w:fill="auto"/>
            <w:noWrap/>
            <w:tcMar>
              <w:top w:w="15" w:type="dxa"/>
              <w:left w:w="15" w:type="dxa"/>
              <w:right w:w="15" w:type="dxa"/>
            </w:tcMar>
            <w:vAlign w:val="center"/>
          </w:tcPr>
          <w:p w14:paraId="0CD140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628" w:type="pct"/>
            <w:tcBorders>
              <w:tl2br w:val="nil"/>
              <w:tr2bl w:val="nil"/>
            </w:tcBorders>
            <w:shd w:val="clear" w:color="auto" w:fill="auto"/>
            <w:noWrap/>
            <w:tcMar>
              <w:top w:w="15" w:type="dxa"/>
              <w:left w:w="15" w:type="dxa"/>
              <w:right w:w="15" w:type="dxa"/>
            </w:tcMar>
            <w:vAlign w:val="center"/>
          </w:tcPr>
          <w:p w14:paraId="67D97D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114.823937</w:t>
            </w:r>
          </w:p>
        </w:tc>
        <w:tc>
          <w:tcPr>
            <w:tcW w:w="673" w:type="pct"/>
            <w:tcBorders>
              <w:tl2br w:val="nil"/>
              <w:tr2bl w:val="nil"/>
            </w:tcBorders>
            <w:shd w:val="clear" w:color="auto" w:fill="auto"/>
            <w:noWrap/>
            <w:tcMar>
              <w:top w:w="15" w:type="dxa"/>
              <w:left w:w="15" w:type="dxa"/>
              <w:right w:w="15" w:type="dxa"/>
            </w:tcMar>
            <w:vAlign w:val="center"/>
          </w:tcPr>
          <w:p w14:paraId="75AFD5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30.504361</w:t>
            </w:r>
          </w:p>
        </w:tc>
        <w:tc>
          <w:tcPr>
            <w:tcW w:w="1135" w:type="pct"/>
            <w:vMerge w:val="continue"/>
            <w:tcBorders>
              <w:tl2br w:val="nil"/>
              <w:tr2bl w:val="nil"/>
            </w:tcBorders>
            <w:shd w:val="clear" w:color="auto" w:fill="auto"/>
            <w:noWrap/>
            <w:tcMar>
              <w:top w:w="15" w:type="dxa"/>
              <w:left w:w="15" w:type="dxa"/>
              <w:right w:w="15" w:type="dxa"/>
            </w:tcMar>
            <w:vAlign w:val="center"/>
          </w:tcPr>
          <w:p w14:paraId="32824B9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bl>
    <w:p w14:paraId="2BE6E817">
      <w:pPr>
        <w:bidi w:val="0"/>
        <w:spacing w:line="240" w:lineRule="auto"/>
        <w:rPr>
          <w:rFonts w:hint="eastAsia"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注：①经纬度均使用国测局坐标系 (GCJ-02)</w:t>
      </w:r>
      <w:r>
        <w:rPr>
          <w:rFonts w:hint="eastAsia" w:cs="Times New Roman"/>
          <w:b/>
          <w:bCs/>
          <w:color w:val="auto"/>
          <w:sz w:val="18"/>
          <w:szCs w:val="18"/>
          <w:highlight w:val="none"/>
          <w:lang w:eastAsia="zh-CN"/>
        </w:rPr>
        <w:t>。</w:t>
      </w:r>
    </w:p>
    <w:p w14:paraId="2BFA7A83">
      <w:pPr>
        <w:pStyle w:val="2"/>
        <w:spacing w:line="240" w:lineRule="auto"/>
        <w:ind w:firstLine="420" w:firstLineChars="0"/>
        <w:rPr>
          <w:rFonts w:hint="default" w:cs="Times New Roman"/>
          <w:b/>
          <w:bCs/>
          <w:color w:val="auto"/>
          <w:sz w:val="18"/>
          <w:szCs w:val="18"/>
          <w:highlight w:val="none"/>
          <w:lang w:val="en-US" w:eastAsia="zh-CN"/>
        </w:rPr>
        <w:sectPr>
          <w:headerReference r:id="rId14"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cs="Times New Roman"/>
          <w:b/>
          <w:bCs/>
          <w:color w:val="auto"/>
          <w:sz w:val="18"/>
          <w:szCs w:val="18"/>
          <w:highlight w:val="none"/>
          <w:lang w:val="en-US" w:eastAsia="zh-CN"/>
        </w:rPr>
        <w:t>②华新水泥（鄂州）有限公司、鄂州市胜利软管股份有限公司、湖北鸿晟矿业有限公司、湖北交投致远新材料科技有限公司位于已建成企业聚集区边界附近，周边布设点位分别为SJG-JJ-2、SJG-JJ-3、SJG-JJ-5、SJG-JJ-6。</w:t>
      </w:r>
    </w:p>
    <w:p w14:paraId="55872334">
      <w:pPr>
        <w:pStyle w:val="4"/>
        <w:tabs>
          <w:tab w:val="clear" w:pos="425"/>
        </w:tabs>
        <w:rPr>
          <w:rFonts w:hint="default" w:ascii="Times New Roman" w:hAnsi="Times New Roman" w:cs="Times New Roman"/>
          <w:color w:val="auto"/>
          <w:highlight w:val="none"/>
        </w:rPr>
      </w:pPr>
      <w:bookmarkStart w:id="29" w:name="_Toc16072"/>
      <w:bookmarkStart w:id="30" w:name="_Toc8068"/>
      <w:r>
        <w:rPr>
          <w:rFonts w:hint="default" w:ascii="Times New Roman" w:hAnsi="Times New Roman" w:cs="Times New Roman"/>
          <w:color w:val="auto"/>
          <w:highlight w:val="none"/>
          <w:lang w:eastAsia="zh-CN"/>
        </w:rPr>
        <w:t>地下水布点方案</w:t>
      </w:r>
      <w:bookmarkEnd w:id="29"/>
      <w:bookmarkEnd w:id="30"/>
    </w:p>
    <w:p w14:paraId="0EF5F6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为了解工业园周边地下水环境质量现状，考虑到三江港经济区南北区域主要以未开发利用地为主，中部企业聚集区较多，拟分别位于已建成企业聚集区的北侧和西侧各设置1个地下水监测点位。调查范围内地下水布点方案见表3-2-1和附图6。</w:t>
      </w:r>
    </w:p>
    <w:p w14:paraId="0ED9E17B">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eastAsia="黑体" w:cs="Times New Roman"/>
          <w:b/>
          <w:color w:val="auto"/>
          <w:sz w:val="24"/>
          <w:highlight w:val="none"/>
        </w:rPr>
      </w:pPr>
      <w:r>
        <w:rPr>
          <w:rFonts w:hint="default" w:ascii="Times New Roman" w:hAnsi="Times New Roman" w:eastAsia="黑体" w:cs="Times New Roman"/>
          <w:b/>
          <w:color w:val="auto"/>
          <w:sz w:val="24"/>
          <w:highlight w:val="none"/>
        </w:rPr>
        <w:t>表3-</w:t>
      </w:r>
      <w:r>
        <w:rPr>
          <w:rFonts w:hint="default" w:ascii="Times New Roman" w:hAnsi="Times New Roman" w:eastAsia="黑体" w:cs="Times New Roman"/>
          <w:b/>
          <w:color w:val="auto"/>
          <w:sz w:val="24"/>
          <w:highlight w:val="none"/>
          <w:lang w:val="en-US" w:eastAsia="zh-CN"/>
        </w:rPr>
        <w:t>2</w:t>
      </w:r>
      <w:r>
        <w:rPr>
          <w:rFonts w:hint="default" w:ascii="Times New Roman" w:hAnsi="Times New Roman" w:eastAsia="黑体" w:cs="Times New Roman"/>
          <w:b/>
          <w:color w:val="auto"/>
          <w:sz w:val="24"/>
          <w:highlight w:val="none"/>
        </w:rPr>
        <w:t xml:space="preserve">-1  </w:t>
      </w:r>
      <w:r>
        <w:rPr>
          <w:rFonts w:hint="default" w:ascii="Times New Roman" w:hAnsi="Times New Roman" w:eastAsia="黑体" w:cs="Times New Roman"/>
          <w:b/>
          <w:color w:val="auto"/>
          <w:sz w:val="24"/>
          <w:highlight w:val="none"/>
          <w:lang w:eastAsia="zh-CN"/>
        </w:rPr>
        <w:t>地下水</w:t>
      </w:r>
      <w:r>
        <w:rPr>
          <w:rFonts w:hint="default" w:ascii="Times New Roman" w:hAnsi="Times New Roman" w:eastAsia="黑体" w:cs="Times New Roman"/>
          <w:b/>
          <w:color w:val="auto"/>
          <w:sz w:val="24"/>
          <w:highlight w:val="none"/>
        </w:rPr>
        <w:t>布点方案一览表</w:t>
      </w:r>
    </w:p>
    <w:tbl>
      <w:tblPr>
        <w:tblStyle w:val="21"/>
        <w:tblpPr w:leftFromText="180" w:rightFromText="180" w:vertAnchor="text" w:horzAnchor="page" w:tblpX="1060" w:tblpY="96"/>
        <w:tblOverlap w:val="never"/>
        <w:tblW w:w="961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800"/>
        <w:gridCol w:w="2515"/>
        <w:gridCol w:w="2677"/>
        <w:gridCol w:w="2620"/>
      </w:tblGrid>
      <w:tr w14:paraId="2EC1B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153" w:hRule="atLeast"/>
          <w:tblHeader/>
        </w:trPr>
        <w:tc>
          <w:tcPr>
            <w:tcW w:w="1800" w:type="dxa"/>
            <w:vMerge w:val="restart"/>
            <w:shd w:val="clear" w:color="auto" w:fill="auto"/>
            <w:noWrap/>
            <w:tcMar>
              <w:top w:w="15" w:type="dxa"/>
              <w:left w:w="15" w:type="dxa"/>
              <w:right w:w="15" w:type="dxa"/>
            </w:tcMar>
            <w:vAlign w:val="center"/>
          </w:tcPr>
          <w:p w14:paraId="3750D9A2">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监测点位</w:t>
            </w:r>
          </w:p>
        </w:tc>
        <w:tc>
          <w:tcPr>
            <w:tcW w:w="2515" w:type="dxa"/>
            <w:vMerge w:val="restart"/>
            <w:shd w:val="clear" w:color="auto" w:fill="auto"/>
            <w:noWrap/>
            <w:tcMar>
              <w:top w:w="15" w:type="dxa"/>
              <w:left w:w="15" w:type="dxa"/>
              <w:right w:w="15" w:type="dxa"/>
            </w:tcMar>
            <w:vAlign w:val="center"/>
          </w:tcPr>
          <w:p w14:paraId="6380EB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eastAsia="宋体" w:cs="Times New Roman"/>
                <w:b/>
                <w:bCs/>
                <w:i w:val="0"/>
                <w:color w:val="auto"/>
                <w:kern w:val="0"/>
                <w:sz w:val="21"/>
                <w:szCs w:val="21"/>
                <w:highlight w:val="none"/>
                <w:u w:val="none"/>
                <w:lang w:val="en-US" w:eastAsia="zh-CN" w:bidi="ar"/>
              </w:rPr>
              <w:t>对应</w:t>
            </w:r>
            <w:r>
              <w:rPr>
                <w:rFonts w:hint="default" w:ascii="Times New Roman" w:hAnsi="Times New Roman" w:cs="Times New Roman"/>
                <w:b/>
                <w:bCs/>
                <w:i w:val="0"/>
                <w:color w:val="auto"/>
                <w:kern w:val="0"/>
                <w:sz w:val="21"/>
                <w:szCs w:val="21"/>
                <w:highlight w:val="none"/>
                <w:u w:val="none"/>
                <w:lang w:val="en-US" w:eastAsia="zh-CN" w:bidi="ar"/>
              </w:rPr>
              <w:t>土壤点位</w:t>
            </w:r>
          </w:p>
        </w:tc>
        <w:tc>
          <w:tcPr>
            <w:tcW w:w="5297" w:type="dxa"/>
            <w:gridSpan w:val="2"/>
            <w:tcBorders>
              <w:bottom w:val="single" w:color="auto" w:sz="4" w:space="0"/>
            </w:tcBorders>
            <w:shd w:val="clear" w:color="auto" w:fill="auto"/>
            <w:noWrap/>
            <w:tcMar>
              <w:top w:w="15" w:type="dxa"/>
              <w:left w:w="15" w:type="dxa"/>
              <w:right w:w="15" w:type="dxa"/>
            </w:tcMar>
            <w:vAlign w:val="center"/>
          </w:tcPr>
          <w:p w14:paraId="0B34B0D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坐标</w:t>
            </w:r>
          </w:p>
        </w:tc>
      </w:tr>
      <w:tr w14:paraId="75A3A9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2" w:hRule="atLeast"/>
          <w:tblHeader/>
        </w:trPr>
        <w:tc>
          <w:tcPr>
            <w:tcW w:w="1800" w:type="dxa"/>
            <w:vMerge w:val="continue"/>
            <w:tcBorders>
              <w:bottom w:val="single" w:color="auto" w:sz="12" w:space="0"/>
            </w:tcBorders>
            <w:shd w:val="clear" w:color="auto" w:fill="auto"/>
            <w:noWrap/>
            <w:tcMar>
              <w:top w:w="15" w:type="dxa"/>
              <w:left w:w="15" w:type="dxa"/>
              <w:right w:w="15" w:type="dxa"/>
            </w:tcMar>
            <w:vAlign w:val="center"/>
          </w:tcPr>
          <w:p w14:paraId="4DE18D2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lang w:eastAsia="zh-CN"/>
              </w:rPr>
            </w:pPr>
          </w:p>
        </w:tc>
        <w:tc>
          <w:tcPr>
            <w:tcW w:w="2515" w:type="dxa"/>
            <w:vMerge w:val="continue"/>
            <w:tcBorders>
              <w:bottom w:val="single" w:color="auto" w:sz="12" w:space="0"/>
            </w:tcBorders>
            <w:shd w:val="clear" w:color="auto" w:fill="auto"/>
            <w:noWrap/>
            <w:tcMar>
              <w:top w:w="15" w:type="dxa"/>
              <w:left w:w="15" w:type="dxa"/>
              <w:right w:w="15" w:type="dxa"/>
            </w:tcMar>
            <w:vAlign w:val="center"/>
          </w:tcPr>
          <w:p w14:paraId="67AEC3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p>
        </w:tc>
        <w:tc>
          <w:tcPr>
            <w:tcW w:w="2677" w:type="dxa"/>
            <w:tcBorders>
              <w:bottom w:val="single" w:color="auto" w:sz="12" w:space="0"/>
            </w:tcBorders>
            <w:shd w:val="clear" w:color="auto" w:fill="auto"/>
            <w:noWrap/>
            <w:tcMar>
              <w:top w:w="15" w:type="dxa"/>
              <w:left w:w="15" w:type="dxa"/>
              <w:right w:w="15" w:type="dxa"/>
            </w:tcMar>
            <w:vAlign w:val="center"/>
          </w:tcPr>
          <w:p w14:paraId="2BDEF3A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经度（°）</w:t>
            </w:r>
          </w:p>
        </w:tc>
        <w:tc>
          <w:tcPr>
            <w:tcW w:w="2620" w:type="dxa"/>
            <w:tcBorders>
              <w:bottom w:val="single" w:color="auto" w:sz="12" w:space="0"/>
            </w:tcBorders>
            <w:shd w:val="clear" w:color="auto" w:fill="auto"/>
            <w:noWrap/>
            <w:tcMar>
              <w:top w:w="15" w:type="dxa"/>
              <w:left w:w="15" w:type="dxa"/>
              <w:right w:w="15" w:type="dxa"/>
            </w:tcMar>
            <w:vAlign w:val="center"/>
          </w:tcPr>
          <w:p w14:paraId="61AA580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纬度（°）</w:t>
            </w:r>
          </w:p>
        </w:tc>
      </w:tr>
      <w:tr w14:paraId="17270D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tblHeader/>
        </w:trPr>
        <w:tc>
          <w:tcPr>
            <w:tcW w:w="1800" w:type="dxa"/>
            <w:tcBorders>
              <w:top w:val="single" w:color="auto" w:sz="12" w:space="0"/>
              <w:tl2br w:val="nil"/>
              <w:tr2bl w:val="nil"/>
            </w:tcBorders>
            <w:shd w:val="clear" w:color="auto" w:fill="auto"/>
            <w:noWrap/>
            <w:tcMar>
              <w:top w:w="15" w:type="dxa"/>
              <w:left w:w="15" w:type="dxa"/>
              <w:right w:w="15" w:type="dxa"/>
            </w:tcMar>
            <w:vAlign w:val="center"/>
          </w:tcPr>
          <w:p w14:paraId="47464BE8">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SJG-W1</w:t>
            </w:r>
          </w:p>
        </w:tc>
        <w:tc>
          <w:tcPr>
            <w:tcW w:w="2515" w:type="dxa"/>
            <w:tcBorders>
              <w:top w:val="single" w:color="auto" w:sz="12" w:space="0"/>
              <w:tl2br w:val="nil"/>
              <w:tr2bl w:val="nil"/>
            </w:tcBorders>
            <w:shd w:val="clear" w:color="auto" w:fill="auto"/>
            <w:noWrap/>
            <w:tcMar>
              <w:top w:w="15" w:type="dxa"/>
              <w:left w:w="15" w:type="dxa"/>
              <w:right w:w="15" w:type="dxa"/>
            </w:tcMar>
            <w:vAlign w:val="center"/>
          </w:tcPr>
          <w:p w14:paraId="43F528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i w:val="0"/>
                <w:color w:val="auto"/>
                <w:kern w:val="0"/>
                <w:sz w:val="21"/>
                <w:szCs w:val="21"/>
                <w:highlight w:val="none"/>
                <w:u w:val="none"/>
                <w:lang w:val="en-US" w:eastAsia="zh-CN" w:bidi="ar"/>
              </w:rPr>
              <w:t>SJG</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JJ-1</w:t>
            </w:r>
          </w:p>
        </w:tc>
        <w:tc>
          <w:tcPr>
            <w:tcW w:w="2677" w:type="dxa"/>
            <w:tcBorders>
              <w:top w:val="single" w:color="auto" w:sz="12" w:space="0"/>
              <w:tl2br w:val="nil"/>
              <w:tr2bl w:val="nil"/>
            </w:tcBorders>
            <w:shd w:val="clear" w:color="auto" w:fill="auto"/>
            <w:noWrap/>
            <w:tcMar>
              <w:top w:w="15" w:type="dxa"/>
              <w:left w:w="15" w:type="dxa"/>
              <w:right w:w="15" w:type="dxa"/>
            </w:tcMar>
            <w:vAlign w:val="center"/>
          </w:tcPr>
          <w:p w14:paraId="470E7C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114.801465</w:t>
            </w:r>
          </w:p>
        </w:tc>
        <w:tc>
          <w:tcPr>
            <w:tcW w:w="2620" w:type="dxa"/>
            <w:tcBorders>
              <w:top w:val="single" w:color="auto" w:sz="12" w:space="0"/>
              <w:tl2br w:val="nil"/>
              <w:tr2bl w:val="nil"/>
            </w:tcBorders>
            <w:shd w:val="clear" w:color="auto" w:fill="auto"/>
            <w:noWrap/>
            <w:tcMar>
              <w:top w:w="15" w:type="dxa"/>
              <w:left w:w="15" w:type="dxa"/>
              <w:right w:w="15" w:type="dxa"/>
            </w:tcMar>
            <w:vAlign w:val="center"/>
          </w:tcPr>
          <w:p w14:paraId="4681CF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30.535717</w:t>
            </w:r>
          </w:p>
        </w:tc>
      </w:tr>
      <w:tr w14:paraId="0F521D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blHeader/>
        </w:trPr>
        <w:tc>
          <w:tcPr>
            <w:tcW w:w="1800" w:type="dxa"/>
            <w:shd w:val="clear" w:color="auto" w:fill="auto"/>
            <w:vAlign w:val="center"/>
          </w:tcPr>
          <w:p w14:paraId="6447FEBA">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SJG-W2</w:t>
            </w:r>
          </w:p>
        </w:tc>
        <w:tc>
          <w:tcPr>
            <w:tcW w:w="2515" w:type="dxa"/>
            <w:shd w:val="clear" w:color="auto" w:fill="auto"/>
            <w:vAlign w:val="center"/>
          </w:tcPr>
          <w:p w14:paraId="586EB1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i w:val="0"/>
                <w:color w:val="auto"/>
                <w:kern w:val="0"/>
                <w:sz w:val="21"/>
                <w:szCs w:val="21"/>
                <w:highlight w:val="none"/>
                <w:u w:val="none"/>
                <w:lang w:val="en-US" w:eastAsia="zh-CN" w:bidi="ar"/>
              </w:rPr>
              <w:t>SJG</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1-7</w:t>
            </w:r>
            <w:r>
              <w:rPr>
                <w:rFonts w:hint="default" w:ascii="Times New Roman" w:hAnsi="Times New Roman" w:eastAsia="宋体" w:cs="Times New Roman"/>
                <w:i w:val="0"/>
                <w:color w:val="auto"/>
                <w:kern w:val="0"/>
                <w:sz w:val="21"/>
                <w:szCs w:val="21"/>
                <w:highlight w:val="none"/>
                <w:u w:val="none"/>
                <w:lang w:val="en-US" w:eastAsia="zh-CN" w:bidi="ar"/>
              </w:rPr>
              <w:t>5</w:t>
            </w:r>
          </w:p>
        </w:tc>
        <w:tc>
          <w:tcPr>
            <w:tcW w:w="2677" w:type="dxa"/>
            <w:shd w:val="clear" w:color="auto" w:fill="auto"/>
            <w:vAlign w:val="center"/>
          </w:tcPr>
          <w:p w14:paraId="06CDAC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114.753141</w:t>
            </w:r>
          </w:p>
        </w:tc>
        <w:tc>
          <w:tcPr>
            <w:tcW w:w="2620" w:type="dxa"/>
            <w:shd w:val="clear" w:color="auto" w:fill="auto"/>
            <w:vAlign w:val="center"/>
          </w:tcPr>
          <w:p w14:paraId="64051D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30.520153</w:t>
            </w:r>
          </w:p>
        </w:tc>
      </w:tr>
    </w:tbl>
    <w:p w14:paraId="63280FE4">
      <w:pPr>
        <w:spacing w:line="360" w:lineRule="auto"/>
        <w:ind w:left="1" w:firstLine="480" w:firstLineChars="200"/>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参考</w:t>
      </w:r>
      <w:r>
        <w:rPr>
          <w:rFonts w:hint="default" w:ascii="Times New Roman" w:hAnsi="Times New Roman" w:cs="Times New Roman"/>
          <w:color w:val="auto"/>
          <w:sz w:val="24"/>
          <w:highlight w:val="none"/>
          <w:lang w:eastAsia="zh-CN"/>
        </w:rPr>
        <w:t>《地下水质量标准》（GB/T 14848-2017）及《地表水环境质量标准》（GB3838-2002），</w:t>
      </w:r>
      <w:r>
        <w:rPr>
          <w:rFonts w:hint="default" w:ascii="Times New Roman" w:hAnsi="Times New Roman" w:cs="Times New Roman"/>
          <w:color w:val="auto"/>
          <w:sz w:val="24"/>
          <w:highlight w:val="none"/>
        </w:rPr>
        <w:t>监测指标包括无机项目</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14项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、金属类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13项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、有机物类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5项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等</w:t>
      </w:r>
      <w:r>
        <w:rPr>
          <w:rFonts w:hint="default" w:ascii="Times New Roman" w:hAnsi="Times New Roman" w:cs="Times New Roman"/>
          <w:color w:val="auto"/>
          <w:sz w:val="24"/>
          <w:highlight w:val="none"/>
          <w:lang w:eastAsia="zh-CN"/>
        </w:rPr>
        <w:t>共</w:t>
      </w:r>
      <w:r>
        <w:rPr>
          <w:rFonts w:hint="default"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rPr>
        <w:t>项</w:t>
      </w:r>
      <w:r>
        <w:rPr>
          <w:rFonts w:hint="default" w:ascii="Times New Roman" w:hAnsi="Times New Roman" w:cs="Times New Roman"/>
          <w:color w:val="auto"/>
          <w:sz w:val="24"/>
          <w:highlight w:val="none"/>
          <w:lang w:eastAsia="zh-CN"/>
        </w:rPr>
        <w:t>：</w:t>
      </w:r>
    </w:p>
    <w:p w14:paraId="391487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1</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无机项目</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14项</w:t>
      </w:r>
      <w:r>
        <w:rPr>
          <w:rFonts w:hint="default" w:ascii="Times New Roman" w:hAnsi="Times New Roman" w:cs="Times New Roman"/>
          <w:b/>
          <w:bCs/>
          <w:color w:val="auto"/>
          <w:sz w:val="24"/>
          <w:highlight w:val="none"/>
          <w:lang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pH、总硬度、溶解性总固体、</w:t>
      </w:r>
      <w:r>
        <w:rPr>
          <w:rFonts w:hint="default" w:ascii="Times New Roman" w:hAnsi="Times New Roman" w:cs="Times New Roman"/>
          <w:color w:val="auto"/>
          <w:sz w:val="24"/>
          <w:highlight w:val="none"/>
          <w:lang w:eastAsia="zh-CN"/>
        </w:rPr>
        <w:t>耗氧量、</w:t>
      </w:r>
      <w:r>
        <w:rPr>
          <w:rFonts w:hint="default" w:ascii="Times New Roman" w:hAnsi="Times New Roman" w:cs="Times New Roman"/>
          <w:color w:val="auto"/>
          <w:sz w:val="24"/>
          <w:highlight w:val="none"/>
        </w:rPr>
        <w:t>硫酸盐、</w:t>
      </w:r>
      <w:r>
        <w:rPr>
          <w:rFonts w:hint="default" w:ascii="Times New Roman" w:hAnsi="Times New Roman" w:cs="Times New Roman"/>
          <w:color w:val="auto"/>
          <w:sz w:val="24"/>
          <w:highlight w:val="none"/>
          <w:lang w:eastAsia="zh-CN"/>
        </w:rPr>
        <w:t>硝酸盐、</w:t>
      </w:r>
      <w:r>
        <w:rPr>
          <w:rFonts w:hint="default" w:ascii="Times New Roman" w:hAnsi="Times New Roman" w:cs="Times New Roman"/>
          <w:color w:val="auto"/>
          <w:sz w:val="24"/>
          <w:highlight w:val="none"/>
        </w:rPr>
        <w:t>氯化物、</w:t>
      </w:r>
      <w:r>
        <w:rPr>
          <w:rFonts w:hint="default" w:ascii="Times New Roman" w:hAnsi="Times New Roman" w:cs="Times New Roman"/>
          <w:color w:val="auto"/>
          <w:sz w:val="24"/>
          <w:highlight w:val="none"/>
          <w:lang w:eastAsia="zh-CN"/>
        </w:rPr>
        <w:t>总氟化物、挥发酚、</w:t>
      </w:r>
      <w:r>
        <w:rPr>
          <w:rFonts w:hint="default" w:ascii="Times New Roman" w:hAnsi="Times New Roman" w:cs="Times New Roman"/>
          <w:color w:val="auto"/>
          <w:sz w:val="24"/>
          <w:highlight w:val="none"/>
        </w:rPr>
        <w:t>阴离子表面活性剂、氨氮、</w:t>
      </w:r>
      <w:r>
        <w:rPr>
          <w:rFonts w:hint="default" w:ascii="Times New Roman" w:hAnsi="Times New Roman" w:cs="Times New Roman"/>
          <w:color w:val="auto"/>
          <w:sz w:val="24"/>
          <w:highlight w:val="none"/>
          <w:lang w:eastAsia="zh-CN"/>
        </w:rPr>
        <w:t>硫化物、</w:t>
      </w:r>
      <w:r>
        <w:rPr>
          <w:rFonts w:hint="default" w:ascii="Times New Roman" w:hAnsi="Times New Roman" w:cs="Times New Roman"/>
          <w:color w:val="auto"/>
          <w:sz w:val="24"/>
          <w:highlight w:val="none"/>
        </w:rPr>
        <w:t>亚硝酸盐、氰化物</w:t>
      </w:r>
      <w:r>
        <w:rPr>
          <w:rFonts w:hint="default" w:ascii="Times New Roman" w:hAnsi="Times New Roman" w:cs="Times New Roman"/>
          <w:color w:val="auto"/>
          <w:sz w:val="24"/>
          <w:highlight w:val="none"/>
          <w:lang w:eastAsia="zh-CN"/>
        </w:rPr>
        <w:t>；</w:t>
      </w:r>
    </w:p>
    <w:p w14:paraId="17979F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2</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金属类</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13项</w:t>
      </w:r>
      <w:r>
        <w:rPr>
          <w:rFonts w:hint="default" w:ascii="Times New Roman" w:hAnsi="Times New Roman" w:cs="Times New Roman"/>
          <w:b/>
          <w:bCs/>
          <w:color w:val="auto"/>
          <w:sz w:val="24"/>
          <w:highlight w:val="none"/>
          <w:lang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铁、锰、铜、铝、钠、锌、</w:t>
      </w:r>
      <w:r>
        <w:rPr>
          <w:rFonts w:hint="default" w:ascii="Times New Roman" w:hAnsi="Times New Roman" w:cs="Times New Roman"/>
          <w:color w:val="auto"/>
          <w:sz w:val="24"/>
          <w:highlight w:val="none"/>
          <w:lang w:eastAsia="zh-CN"/>
        </w:rPr>
        <w:t>铬</w:t>
      </w:r>
      <w:r>
        <w:rPr>
          <w:rFonts w:hint="default" w:ascii="Times New Roman" w:hAnsi="Times New Roman" w:cs="Times New Roman"/>
          <w:color w:val="auto"/>
          <w:sz w:val="24"/>
          <w:highlight w:val="none"/>
        </w:rPr>
        <w:t>、汞、砷、硒、镉、铬（六价）</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铅</w:t>
      </w:r>
      <w:r>
        <w:rPr>
          <w:rFonts w:hint="default" w:ascii="Times New Roman" w:hAnsi="Times New Roman" w:cs="Times New Roman"/>
          <w:color w:val="auto"/>
          <w:sz w:val="24"/>
          <w:highlight w:val="none"/>
          <w:lang w:eastAsia="zh-CN"/>
        </w:rPr>
        <w:t>；</w:t>
      </w:r>
    </w:p>
    <w:p w14:paraId="71EDF6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3</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有机物类</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5项</w:t>
      </w:r>
      <w:r>
        <w:rPr>
          <w:rFonts w:hint="default" w:ascii="Times New Roman" w:hAnsi="Times New Roman" w:cs="Times New Roman"/>
          <w:b/>
          <w:bCs/>
          <w:color w:val="auto"/>
          <w:sz w:val="24"/>
          <w:highlight w:val="none"/>
          <w:lang w:eastAsia="zh-CN"/>
        </w:rPr>
        <w:t>）</w:t>
      </w:r>
      <w:r>
        <w:rPr>
          <w:rFonts w:hint="default" w:ascii="Times New Roman" w:hAnsi="Times New Roman" w:cs="Times New Roman"/>
          <w:color w:val="auto"/>
          <w:sz w:val="24"/>
          <w:highlight w:val="none"/>
          <w:lang w:eastAsia="zh-CN"/>
        </w:rPr>
        <w:t>：氯仿</w:t>
      </w:r>
      <w:r>
        <w:rPr>
          <w:rFonts w:hint="default" w:ascii="Times New Roman" w:hAnsi="Times New Roman" w:cs="Times New Roman"/>
          <w:color w:val="auto"/>
          <w:sz w:val="24"/>
          <w:highlight w:val="none"/>
        </w:rPr>
        <w:t>、四氯化碳、苯、甲苯、</w:t>
      </w:r>
      <w:r>
        <w:rPr>
          <w:rFonts w:hint="default" w:ascii="Times New Roman" w:hAnsi="Times New Roman" w:cs="Times New Roman"/>
          <w:color w:val="auto"/>
          <w:sz w:val="24"/>
          <w:highlight w:val="none"/>
          <w:lang w:eastAsia="zh-CN"/>
        </w:rPr>
        <w:t>石油类</w:t>
      </w:r>
      <w:r>
        <w:rPr>
          <w:rFonts w:hint="default" w:ascii="Times New Roman" w:hAnsi="Times New Roman" w:cs="Times New Roman"/>
          <w:color w:val="auto"/>
          <w:sz w:val="24"/>
          <w:highlight w:val="none"/>
        </w:rPr>
        <w:t>。</w:t>
      </w:r>
    </w:p>
    <w:p w14:paraId="51FD1E0C">
      <w:pPr>
        <w:pStyle w:val="4"/>
        <w:tabs>
          <w:tab w:val="clear" w:pos="425"/>
        </w:tabs>
        <w:bidi w:val="0"/>
        <w:rPr>
          <w:rFonts w:hint="default" w:ascii="Times New Roman" w:hAnsi="Times New Roman" w:cs="Times New Roman"/>
          <w:color w:val="auto"/>
          <w:highlight w:val="none"/>
        </w:rPr>
      </w:pPr>
      <w:bookmarkStart w:id="31" w:name="_Toc31108"/>
      <w:bookmarkStart w:id="32" w:name="_Toc5149"/>
      <w:r>
        <w:rPr>
          <w:rFonts w:hint="default" w:ascii="Times New Roman" w:hAnsi="Times New Roman" w:cs="Times New Roman"/>
          <w:color w:val="auto"/>
          <w:highlight w:val="none"/>
          <w:lang w:eastAsia="zh-CN"/>
        </w:rPr>
        <w:t>采样方案</w:t>
      </w:r>
      <w:bookmarkEnd w:id="31"/>
      <w:bookmarkEnd w:id="32"/>
    </w:p>
    <w:p w14:paraId="42ADA1E9">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采样设备及材料</w:t>
      </w:r>
    </w:p>
    <w:p w14:paraId="29EE9A4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样品采集过程以及样品保存需使用的设备及材料见表3-2-1。根据现场考察和信息资料调研结果，本</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调查采样种类包括土壤及</w:t>
      </w:r>
      <w:r>
        <w:rPr>
          <w:rFonts w:hint="default" w:ascii="Times New Roman" w:hAnsi="Times New Roman" w:cs="Times New Roman"/>
          <w:color w:val="auto"/>
          <w:sz w:val="24"/>
          <w:highlight w:val="none"/>
          <w:lang w:eastAsia="zh-CN"/>
        </w:rPr>
        <w:t>地下水</w:t>
      </w:r>
      <w:r>
        <w:rPr>
          <w:rFonts w:hint="default" w:ascii="Times New Roman" w:hAnsi="Times New Roman" w:cs="Times New Roman"/>
          <w:color w:val="auto"/>
          <w:sz w:val="24"/>
          <w:highlight w:val="none"/>
        </w:rPr>
        <w:t>样品。</w:t>
      </w:r>
      <w:r>
        <w:rPr>
          <w:rFonts w:hint="default" w:ascii="Times New Roman" w:hAnsi="Times New Roman" w:cs="Times New Roman"/>
          <w:color w:val="auto"/>
          <w:sz w:val="24"/>
          <w:highlight w:val="none"/>
          <w:lang w:eastAsia="zh-CN"/>
        </w:rPr>
        <w:t>调查范围</w:t>
      </w:r>
      <w:r>
        <w:rPr>
          <w:rFonts w:hint="default" w:ascii="Times New Roman" w:hAnsi="Times New Roman" w:cs="Times New Roman"/>
          <w:color w:val="auto"/>
          <w:sz w:val="24"/>
          <w:highlight w:val="none"/>
        </w:rPr>
        <w:t>样品采集过程以及样品保存需使用的设备及材料见表3-3-1。</w:t>
      </w:r>
    </w:p>
    <w:p w14:paraId="7A698CC5">
      <w:pPr>
        <w:pStyle w:val="31"/>
        <w:spacing w:before="62" w:beforeLines="20" w:after="0" w:line="240" w:lineRule="auto"/>
        <w:ind w:firstLine="0" w:firstLineChars="0"/>
        <w:jc w:val="center"/>
        <w:rPr>
          <w:rFonts w:hint="default" w:ascii="Times New Roman" w:hAnsi="Times New Roman" w:eastAsia="黑体" w:cs="Times New Roman"/>
          <w:b/>
          <w:color w:val="auto"/>
          <w:szCs w:val="24"/>
          <w:highlight w:val="none"/>
        </w:rPr>
      </w:pPr>
      <w:r>
        <w:rPr>
          <w:rFonts w:hint="default" w:ascii="Times New Roman" w:hAnsi="Times New Roman" w:eastAsia="黑体" w:cs="Times New Roman"/>
          <w:b/>
          <w:color w:val="auto"/>
          <w:szCs w:val="24"/>
          <w:highlight w:val="none"/>
        </w:rPr>
        <w:t>表3-</w:t>
      </w:r>
      <w:r>
        <w:rPr>
          <w:rFonts w:hint="default" w:ascii="Times New Roman" w:hAnsi="Times New Roman" w:eastAsia="黑体" w:cs="Times New Roman"/>
          <w:b/>
          <w:color w:val="auto"/>
          <w:szCs w:val="24"/>
          <w:highlight w:val="none"/>
          <w:lang w:val="en-US" w:eastAsia="zh-CN"/>
        </w:rPr>
        <w:t>3</w:t>
      </w:r>
      <w:r>
        <w:rPr>
          <w:rFonts w:hint="default" w:ascii="Times New Roman" w:hAnsi="Times New Roman" w:eastAsia="黑体" w:cs="Times New Roman"/>
          <w:b/>
          <w:color w:val="auto"/>
          <w:szCs w:val="24"/>
          <w:highlight w:val="none"/>
        </w:rPr>
        <w:t xml:space="preserve">-1  </w:t>
      </w:r>
      <w:r>
        <w:rPr>
          <w:rFonts w:hint="default" w:ascii="Times New Roman" w:hAnsi="Times New Roman" w:eastAsia="黑体" w:cs="Times New Roman"/>
          <w:b/>
          <w:color w:val="auto"/>
          <w:szCs w:val="24"/>
          <w:highlight w:val="none"/>
          <w:lang w:eastAsia="zh-CN"/>
        </w:rPr>
        <w:t>园区</w:t>
      </w:r>
      <w:r>
        <w:rPr>
          <w:rFonts w:hint="default" w:ascii="Times New Roman" w:hAnsi="Times New Roman" w:eastAsia="黑体" w:cs="Times New Roman"/>
          <w:b/>
          <w:color w:val="auto"/>
          <w:szCs w:val="24"/>
          <w:highlight w:val="none"/>
        </w:rPr>
        <w:t>调查采样及样品保存所需设备及材料</w:t>
      </w:r>
    </w:p>
    <w:tbl>
      <w:tblPr>
        <w:tblStyle w:val="21"/>
        <w:tblW w:w="97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7687"/>
      </w:tblGrid>
      <w:tr w14:paraId="3DAB0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bottom w:val="single" w:color="auto" w:sz="12" w:space="0"/>
            </w:tcBorders>
            <w:noWrap w:val="0"/>
            <w:vAlign w:val="center"/>
          </w:tcPr>
          <w:p w14:paraId="78E8A97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color w:val="auto"/>
                <w:sz w:val="21"/>
                <w:szCs w:val="21"/>
                <w:highlight w:val="none"/>
              </w:rPr>
            </w:pPr>
            <w:r>
              <w:rPr>
                <w:rFonts w:hint="default" w:ascii="Times New Roman" w:hAnsi="Times New Roman" w:cs="Times New Roman"/>
                <w:b w:val="0"/>
                <w:bCs/>
                <w:color w:val="auto"/>
                <w:sz w:val="21"/>
                <w:szCs w:val="21"/>
                <w:highlight w:val="none"/>
              </w:rPr>
              <w:t>类型</w:t>
            </w:r>
          </w:p>
        </w:tc>
        <w:tc>
          <w:tcPr>
            <w:tcW w:w="7687" w:type="dxa"/>
            <w:tcBorders>
              <w:bottom w:val="single" w:color="auto" w:sz="12" w:space="0"/>
            </w:tcBorders>
            <w:noWrap w:val="0"/>
            <w:vAlign w:val="center"/>
          </w:tcPr>
          <w:p w14:paraId="5137AEE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color w:val="auto"/>
                <w:sz w:val="21"/>
                <w:szCs w:val="21"/>
                <w:highlight w:val="none"/>
              </w:rPr>
            </w:pPr>
            <w:r>
              <w:rPr>
                <w:rFonts w:hint="default" w:ascii="Times New Roman" w:hAnsi="Times New Roman" w:cs="Times New Roman"/>
                <w:b w:val="0"/>
                <w:bCs/>
                <w:color w:val="auto"/>
                <w:sz w:val="21"/>
                <w:szCs w:val="21"/>
                <w:highlight w:val="none"/>
              </w:rPr>
              <w:t>设备及材料</w:t>
            </w:r>
          </w:p>
        </w:tc>
      </w:tr>
      <w:tr w14:paraId="32A43F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op w:val="single" w:color="auto" w:sz="12" w:space="0"/>
              <w:tl2br w:val="nil"/>
              <w:tr2bl w:val="nil"/>
            </w:tcBorders>
            <w:noWrap w:val="0"/>
            <w:vAlign w:val="center"/>
          </w:tcPr>
          <w:p w14:paraId="7FF519A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土壤样品采集</w:t>
            </w:r>
          </w:p>
        </w:tc>
        <w:tc>
          <w:tcPr>
            <w:tcW w:w="7687" w:type="dxa"/>
            <w:tcBorders>
              <w:top w:val="single" w:color="auto" w:sz="12" w:space="0"/>
              <w:tl2br w:val="nil"/>
              <w:tr2bl w:val="nil"/>
            </w:tcBorders>
            <w:noWrap w:val="0"/>
            <w:vAlign w:val="center"/>
          </w:tcPr>
          <w:p w14:paraId="07944897">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手工铲</w:t>
            </w:r>
            <w:r>
              <w:rPr>
                <w:rFonts w:hint="default" w:ascii="Times New Roman" w:hAnsi="Times New Roman" w:cs="Times New Roman"/>
                <w:color w:val="auto"/>
                <w:sz w:val="21"/>
                <w:szCs w:val="21"/>
                <w:highlight w:val="none"/>
              </w:rPr>
              <w:t>，</w:t>
            </w:r>
            <w:r>
              <w:rPr>
                <w:rFonts w:hint="default" w:ascii="Times New Roman" w:hAnsi="Times New Roman" w:cs="Times New Roman"/>
                <w:bCs/>
                <w:color w:val="auto"/>
                <w:sz w:val="21"/>
                <w:szCs w:val="21"/>
                <w:highlight w:val="none"/>
              </w:rPr>
              <w:t>封口袋，一次性无菌手套，土样瓶，无扰动采样器等</w:t>
            </w:r>
          </w:p>
        </w:tc>
      </w:tr>
      <w:tr w14:paraId="647CBB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70C55AF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地下水样品采集</w:t>
            </w:r>
          </w:p>
        </w:tc>
        <w:tc>
          <w:tcPr>
            <w:tcW w:w="7687" w:type="dxa"/>
            <w:tcBorders>
              <w:tl2br w:val="nil"/>
              <w:tr2bl w:val="nil"/>
            </w:tcBorders>
            <w:noWrap w:val="0"/>
            <w:vAlign w:val="center"/>
          </w:tcPr>
          <w:p w14:paraId="387E106A">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履带式钻机，</w:t>
            </w:r>
            <w:r>
              <w:rPr>
                <w:rFonts w:hint="default" w:ascii="Times New Roman" w:hAnsi="Times New Roman" w:cs="Times New Roman"/>
                <w:bCs/>
                <w:color w:val="auto"/>
                <w:sz w:val="21"/>
                <w:szCs w:val="21"/>
                <w:highlight w:val="none"/>
                <w:lang w:eastAsia="zh-CN"/>
              </w:rPr>
              <w:t>地下水</w:t>
            </w:r>
            <w:r>
              <w:rPr>
                <w:rFonts w:hint="default" w:ascii="Times New Roman" w:hAnsi="Times New Roman" w:cs="Times New Roman"/>
                <w:bCs/>
                <w:color w:val="auto"/>
                <w:sz w:val="21"/>
                <w:szCs w:val="21"/>
                <w:highlight w:val="none"/>
              </w:rPr>
              <w:t>监测井井管，建井材料（膨润土、石英砂、水泥等），水位尺，贝勒管，水样瓶等</w:t>
            </w:r>
          </w:p>
        </w:tc>
      </w:tr>
      <w:tr w14:paraId="73367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734488E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辅助工具</w:t>
            </w:r>
          </w:p>
        </w:tc>
        <w:tc>
          <w:tcPr>
            <w:tcW w:w="7687" w:type="dxa"/>
            <w:tcBorders>
              <w:tl2br w:val="nil"/>
              <w:tr2bl w:val="nil"/>
            </w:tcBorders>
            <w:noWrap w:val="0"/>
            <w:vAlign w:val="center"/>
          </w:tcPr>
          <w:p w14:paraId="1B499F85">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GPS，测距仪，数码相机，采样记录表，白板，记号笔，防护用具，清洗用具</w:t>
            </w:r>
          </w:p>
        </w:tc>
      </w:tr>
      <w:tr w14:paraId="777847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4B714A9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样品保存</w:t>
            </w:r>
          </w:p>
        </w:tc>
        <w:tc>
          <w:tcPr>
            <w:tcW w:w="7687" w:type="dxa"/>
            <w:tcBorders>
              <w:tl2br w:val="nil"/>
              <w:tr2bl w:val="nil"/>
            </w:tcBorders>
            <w:noWrap w:val="0"/>
            <w:vAlign w:val="center"/>
          </w:tcPr>
          <w:p w14:paraId="7EC71E92">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保温样品箱</w:t>
            </w:r>
          </w:p>
        </w:tc>
      </w:tr>
    </w:tbl>
    <w:p w14:paraId="4A885911">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土壤样品采集</w:t>
      </w:r>
    </w:p>
    <w:p w14:paraId="31BF70E3">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土壤样品收集：采用手工铲采集</w:t>
      </w:r>
      <w:r>
        <w:rPr>
          <w:rFonts w:hint="eastAsia" w:cs="Times New Roman"/>
          <w:color w:val="auto"/>
          <w:sz w:val="24"/>
          <w:highlight w:val="none"/>
          <w:lang w:eastAsia="zh-CN"/>
        </w:rPr>
        <w:t>表层（0-0.5m）</w:t>
      </w:r>
      <w:r>
        <w:rPr>
          <w:rFonts w:hint="default" w:ascii="Times New Roman" w:hAnsi="Times New Roman" w:cs="Times New Roman"/>
          <w:color w:val="auto"/>
          <w:sz w:val="24"/>
          <w:highlight w:val="none"/>
          <w:lang w:eastAsia="zh-CN"/>
        </w:rPr>
        <w:t>土壤样品，记录土壤的颜色和气味等信息，根据现场土样的观察结果，筛选出分析检测的土壤样品，送检土样装于一次性封口袋或螺口玻璃采样瓶中。</w:t>
      </w:r>
    </w:p>
    <w:p w14:paraId="65A81815">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采样根据《土壤环境监测技术规范》（HJ/T 166-2004）严格执行。</w:t>
      </w:r>
      <w:r>
        <w:rPr>
          <w:rFonts w:hint="default" w:ascii="Times New Roman" w:hAnsi="Times New Roman" w:cs="Times New Roman"/>
          <w:color w:val="auto"/>
          <w:sz w:val="24"/>
          <w:highlight w:val="none"/>
          <w:lang w:val="en-US" w:eastAsia="zh-CN"/>
        </w:rPr>
        <w:t>采样时</w:t>
      </w:r>
      <w:r>
        <w:rPr>
          <w:rFonts w:hint="default" w:ascii="Times New Roman" w:hAnsi="Times New Roman" w:cs="Times New Roman"/>
          <w:color w:val="auto"/>
          <w:sz w:val="24"/>
          <w:highlight w:val="none"/>
          <w:lang w:eastAsia="zh-CN"/>
        </w:rPr>
        <w:t>记录土壤地层特性、颜色、气味、夹杂物等信息，观察土壤受污染状况。土壤样品采集后，由技术人员装袋封存，贴好标签，将样品放入保温箱中。及时填写采样记录，注明采样地点、孔号、采样深度、土样名称、采样日期等信息。在采样过程中，为避免交叉污染，均使用一次性手套，并对采样设备进行清洗去污处理。</w:t>
      </w:r>
    </w:p>
    <w:p w14:paraId="355A90AB">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土壤采样过程中应做好人员安全和健康防护，佩戴安全帽和一次性的口罩、手套，严禁用手直接采集土样，使用后废弃的个人防护用品应统一收集处置，采样前后应对采样器进行除污和清洗，不同土壤样品采集应更换手套，避免交叉污染；所有样品存放于保温箱中，随后随样品流转单送往实验室进行分析。现场采样信息记录在标准的土壤采样记录单上。</w:t>
      </w:r>
    </w:p>
    <w:p w14:paraId="2FA11E7B">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地下水样品采集</w:t>
      </w:r>
    </w:p>
    <w:p w14:paraId="7364EF1D">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在监测井洗井稳定24</w:t>
      </w:r>
      <w:r>
        <w:rPr>
          <w:rFonts w:hint="default" w:ascii="Times New Roman" w:hAnsi="Times New Roman" w:cs="Times New Roman"/>
          <w:color w:val="auto"/>
          <w:sz w:val="24"/>
          <w:highlight w:val="none"/>
          <w:lang w:val="en-US" w:eastAsia="zh-CN"/>
        </w:rPr>
        <w:t>h</w:t>
      </w:r>
      <w:r>
        <w:rPr>
          <w:rFonts w:hint="default" w:ascii="Times New Roman" w:hAnsi="Times New Roman" w:cs="Times New Roman"/>
          <w:color w:val="auto"/>
          <w:sz w:val="24"/>
          <w:highlight w:val="none"/>
          <w:lang w:eastAsia="zh-CN"/>
        </w:rPr>
        <w:t>后，采用贝勒管进行地下水样品的采集。为避免监测井中发生混浊，贝勒管放入和提出时应缓慢进行。</w:t>
      </w:r>
    </w:p>
    <w:p w14:paraId="6411F2AE">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采样时，所有地下水样品均迅速转入由实验室提供的带有标签以及保护剂的专用样品瓶中并保存在装有冰袋的冷藏箱中，及时送往实验室分析。</w:t>
      </w:r>
    </w:p>
    <w:p w14:paraId="479F779C">
      <w:pPr>
        <w:pStyle w:val="6"/>
        <w:numPr>
          <w:ilvl w:val="0"/>
          <w:numId w:val="0"/>
        </w:numPr>
        <w:spacing w:before="0" w:after="0" w:line="360" w:lineRule="auto"/>
        <w:ind w:leftChars="0"/>
        <w:jc w:val="left"/>
        <w:rPr>
          <w:rFonts w:hint="default" w:ascii="Times New Roman" w:hAnsi="Times New Roman"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 xml:space="preserve">3.3.3.1 </w:t>
      </w:r>
      <w:r>
        <w:rPr>
          <w:rFonts w:hint="default" w:ascii="Times New Roman" w:hAnsi="Times New Roman" w:eastAsia="宋体" w:cs="Times New Roman"/>
          <w:color w:val="auto"/>
          <w:kern w:val="0"/>
          <w:sz w:val="24"/>
          <w:szCs w:val="24"/>
          <w:highlight w:val="none"/>
        </w:rPr>
        <w:t>监测井设立与洗井</w:t>
      </w:r>
    </w:p>
    <w:tbl>
      <w:tblPr>
        <w:tblStyle w:val="21"/>
        <w:tblpPr w:leftFromText="180" w:rightFromText="180" w:vertAnchor="text" w:horzAnchor="margin" w:tblpXSpec="right" w:tblpY="21"/>
        <w:tblOverlap w:val="never"/>
        <w:tblW w:w="3880" w:type="dxa"/>
        <w:tblInd w:w="0" w:type="dxa"/>
        <w:tblLayout w:type="fixed"/>
        <w:tblCellMar>
          <w:top w:w="0" w:type="dxa"/>
          <w:left w:w="108" w:type="dxa"/>
          <w:bottom w:w="0" w:type="dxa"/>
          <w:right w:w="108" w:type="dxa"/>
        </w:tblCellMar>
      </w:tblPr>
      <w:tblGrid>
        <w:gridCol w:w="3880"/>
      </w:tblGrid>
      <w:tr w14:paraId="5779F7AF">
        <w:tblPrEx>
          <w:tblCellMar>
            <w:top w:w="0" w:type="dxa"/>
            <w:left w:w="108" w:type="dxa"/>
            <w:bottom w:w="0" w:type="dxa"/>
            <w:right w:w="108" w:type="dxa"/>
          </w:tblCellMar>
        </w:tblPrEx>
        <w:trPr>
          <w:trHeight w:val="5443" w:hRule="atLeast"/>
        </w:trPr>
        <w:tc>
          <w:tcPr>
            <w:tcW w:w="3880" w:type="dxa"/>
            <w:noWrap w:val="0"/>
            <w:vAlign w:val="top"/>
          </w:tcPr>
          <w:p w14:paraId="0885982B">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1926590" cy="3197860"/>
                  <wp:effectExtent l="19050" t="19050" r="35560" b="21590"/>
                  <wp:docPr id="1" name="图片 1" descr="说明: 浅层地下水监测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浅层地下水监测井"/>
                          <pic:cNvPicPr>
                            <a:picLocks noChangeAspect="1"/>
                          </pic:cNvPicPr>
                        </pic:nvPicPr>
                        <pic:blipFill>
                          <a:blip r:embed="rId26"/>
                          <a:stretch>
                            <a:fillRect/>
                          </a:stretch>
                        </pic:blipFill>
                        <pic:spPr>
                          <a:xfrm>
                            <a:off x="0" y="0"/>
                            <a:ext cx="1926590" cy="3197860"/>
                          </a:xfrm>
                          <a:prstGeom prst="rect">
                            <a:avLst/>
                          </a:prstGeom>
                          <a:noFill/>
                          <a:ln w="19050" cmpd="sng">
                            <a:solidFill>
                              <a:schemeClr val="tx1"/>
                            </a:solidFill>
                            <a:prstDash val="solid"/>
                          </a:ln>
                        </pic:spPr>
                      </pic:pic>
                    </a:graphicData>
                  </a:graphic>
                </wp:inline>
              </w:drawing>
            </w:r>
          </w:p>
          <w:p w14:paraId="16CA551E">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图3-</w:t>
            </w: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-1 监测井示意图</w:t>
            </w:r>
          </w:p>
        </w:tc>
      </w:tr>
    </w:tbl>
    <w:p w14:paraId="01221CAD">
      <w:pPr>
        <w:spacing w:line="360" w:lineRule="auto"/>
        <w:ind w:left="1"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由于本次土壤采样只采集表层土壤样品，</w:t>
      </w:r>
      <w:r>
        <w:rPr>
          <w:rFonts w:hint="default" w:ascii="Times New Roman" w:hAnsi="Times New Roman" w:cs="Times New Roman"/>
          <w:color w:val="auto"/>
          <w:sz w:val="24"/>
          <w:highlight w:val="none"/>
        </w:rPr>
        <w:t>地下水监测</w:t>
      </w:r>
      <w:r>
        <w:rPr>
          <w:rFonts w:hint="default" w:ascii="Times New Roman" w:hAnsi="Times New Roman" w:cs="Times New Roman"/>
          <w:color w:val="auto"/>
          <w:sz w:val="24"/>
          <w:highlight w:val="none"/>
          <w:lang w:val="en-US" w:eastAsia="zh-CN"/>
        </w:rPr>
        <w:t>井设立与土壤采样分开进行。</w:t>
      </w:r>
    </w:p>
    <w:p w14:paraId="0B7A60AA">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测井钻探完成后，安装一根封底的内径不小于50mm的硬质PVC井管，硬质PVC井管由底部密闭、管壁可滤水的筛管、上部延伸到地表的实管组成。筛管部分表面含水平细缝，细缝宽为0.25mm。监测井的深度和筛管的安装位置由专业人员根据现场地下水位的相对位置及各监测井的不同监测要求综合考虑后设定。</w:t>
      </w:r>
    </w:p>
    <w:p w14:paraId="5121EF3F">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监测井筛管外侧周围用粒径≥0.25mm的清洁石英砂回填作为滤水层，石英砂回填至地下水水位线处，其上部再回填不透水的膨润土至自然地坪处，安装井盖。地下水监测井剖面示意图见图3-</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-1。</w:t>
      </w:r>
    </w:p>
    <w:p w14:paraId="14056BD5">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 xml:space="preserve">3.3.3.2 </w:t>
      </w:r>
      <w:r>
        <w:rPr>
          <w:rFonts w:hint="default" w:ascii="Times New Roman" w:hAnsi="Times New Roman" w:eastAsia="宋体" w:cs="Times New Roman"/>
          <w:color w:val="auto"/>
          <w:kern w:val="0"/>
          <w:sz w:val="24"/>
          <w:szCs w:val="24"/>
          <w:highlight w:val="none"/>
        </w:rPr>
        <w:t>地下水样品采集</w:t>
      </w:r>
    </w:p>
    <w:p w14:paraId="707722F9">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采样前进行监测井清洗工作，清洗采用贝勒管洗去3</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倍监测井</w:t>
      </w:r>
      <w:r>
        <w:rPr>
          <w:rFonts w:hint="eastAsia" w:cs="Times New Roman"/>
          <w:color w:val="auto"/>
          <w:sz w:val="24"/>
          <w:highlight w:val="none"/>
          <w:lang w:val="en-US" w:eastAsia="zh-CN"/>
        </w:rPr>
        <w:t>总量</w:t>
      </w:r>
      <w:r>
        <w:rPr>
          <w:rFonts w:hint="default" w:ascii="Times New Roman" w:hAnsi="Times New Roman" w:cs="Times New Roman"/>
          <w:color w:val="auto"/>
          <w:sz w:val="24"/>
          <w:highlight w:val="none"/>
        </w:rPr>
        <w:t>的水。洗井完成后</w:t>
      </w:r>
      <w:r>
        <w:rPr>
          <w:rFonts w:hint="default" w:ascii="Times New Roman" w:hAnsi="Times New Roman" w:cs="Times New Roman"/>
          <w:color w:val="auto"/>
          <w:sz w:val="24"/>
          <w:highlight w:val="none"/>
          <w:lang w:val="en-US" w:eastAsia="zh-CN"/>
        </w:rPr>
        <w:t>24h</w:t>
      </w:r>
      <w:r>
        <w:rPr>
          <w:rFonts w:hint="default" w:ascii="Times New Roman" w:hAnsi="Times New Roman" w:cs="Times New Roman"/>
          <w:color w:val="auto"/>
          <w:sz w:val="24"/>
          <w:highlight w:val="none"/>
        </w:rPr>
        <w:t>，待监测井内地下水稳定后，方可进行地下水采集。</w:t>
      </w:r>
    </w:p>
    <w:p w14:paraId="05E802D1">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取样时使用贝勒管采样器采集地下水样品，从每口监测井中采取1组地下水样进行化学分析。每口地下水监测井均配备一套一次性使用的贝勒管采样器防止发生交叉污染。</w:t>
      </w:r>
    </w:p>
    <w:p w14:paraId="41A60292">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采样时，所有地下水样品均迅速转入由实验室提供的带有标签以及保护剂的专用样品瓶中并保存在装有冰袋的冷藏箱中。</w:t>
      </w:r>
    </w:p>
    <w:p w14:paraId="70E3382B">
      <w:pPr>
        <w:pStyle w:val="5"/>
        <w:tabs>
          <w:tab w:val="clear" w:pos="851"/>
        </w:tabs>
        <w:spacing w:after="0"/>
        <w:jc w:val="left"/>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现场快速检测</w:t>
      </w:r>
    </w:p>
    <w:p w14:paraId="688E6C75">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为了现场判断采样区可疑情况，帮助确定土壤采样深度，本次调查采用光离子化检测（PID）进行现场快速检测，用于测量挥发性有机物的综合浓度水平。</w:t>
      </w:r>
    </w:p>
    <w:p w14:paraId="2AA51027">
      <w:pPr>
        <w:pStyle w:val="4"/>
        <w:tabs>
          <w:tab w:val="left" w:leader="dot" w:pos="0"/>
          <w:tab w:val="clear" w:pos="425"/>
        </w:tabs>
        <w:rPr>
          <w:rFonts w:hint="default" w:ascii="Times New Roman" w:hAnsi="Times New Roman" w:cs="Times New Roman"/>
          <w:color w:val="auto"/>
          <w:highlight w:val="none"/>
        </w:rPr>
      </w:pPr>
      <w:bookmarkStart w:id="33" w:name="_Toc7081054"/>
      <w:bookmarkStart w:id="34" w:name="_Toc55399872"/>
      <w:bookmarkStart w:id="35" w:name="_Toc27444"/>
      <w:bookmarkStart w:id="36" w:name="_Toc6498459"/>
      <w:bookmarkStart w:id="37" w:name="_Toc22200"/>
      <w:bookmarkStart w:id="38" w:name="_Toc26697"/>
      <w:bookmarkStart w:id="39" w:name="_Toc8839"/>
      <w:bookmarkStart w:id="40" w:name="_Toc15371866"/>
      <w:r>
        <w:rPr>
          <w:rFonts w:hint="default" w:ascii="Times New Roman" w:hAnsi="Times New Roman" w:cs="Times New Roman"/>
          <w:color w:val="auto"/>
          <w:highlight w:val="none"/>
        </w:rPr>
        <w:t>质量保证与质量控制</w:t>
      </w:r>
      <w:bookmarkEnd w:id="33"/>
      <w:bookmarkEnd w:id="34"/>
      <w:bookmarkEnd w:id="35"/>
      <w:bookmarkEnd w:id="36"/>
      <w:bookmarkEnd w:id="37"/>
      <w:bookmarkEnd w:id="38"/>
      <w:bookmarkEnd w:id="39"/>
      <w:bookmarkEnd w:id="40"/>
    </w:p>
    <w:p w14:paraId="51C23C73">
      <w:pPr>
        <w:ind w:left="1" w:firstLine="480" w:firstLineChars="200"/>
        <w:rPr>
          <w:rFonts w:hint="default" w:ascii="Times New Roman" w:hAnsi="Times New Roman" w:cs="Times New Roman"/>
          <w:color w:val="000000"/>
          <w:highlight w:val="none"/>
        </w:rPr>
      </w:pPr>
      <w:r>
        <w:rPr>
          <w:rFonts w:hint="default" w:ascii="Times New Roman" w:hAnsi="Times New Roman" w:cs="Times New Roman"/>
          <w:color w:val="000000"/>
          <w:highlight w:val="none"/>
        </w:rPr>
        <w:t>为了现场判断采样区可疑情况，本次调查采用光离子化检测（PID）进行现场快速检测，用于测量挥发性有机物的综合浓度水平。</w:t>
      </w:r>
    </w:p>
    <w:p w14:paraId="2A8744A6">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现场作业质量控制</w:t>
      </w:r>
    </w:p>
    <w:p w14:paraId="77704116">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组人员负责调查作业的现场技术支持和质量控制工作。每个作业班组均有一名项目组人员工作跟进，负责对现场调查和取样工作进行作业技术支持和质量控制，包括：现场识别，钻探记录，样品取样装瓶，并据现场实际情况提出作业内容改进调整和建议等工作内容。</w:t>
      </w:r>
    </w:p>
    <w:p w14:paraId="4E54BEEE">
      <w:pPr>
        <w:pStyle w:val="5"/>
        <w:tabs>
          <w:tab w:val="clear" w:pos="851"/>
        </w:tabs>
        <w:spacing w:after="0"/>
        <w:jc w:val="left"/>
        <w:rPr>
          <w:rFonts w:hint="default" w:ascii="Times New Roman" w:hAnsi="Times New Roman" w:cs="Times New Roman"/>
          <w:color w:val="auto"/>
          <w:szCs w:val="24"/>
          <w:highlight w:val="none"/>
        </w:rPr>
      </w:pPr>
      <w:bookmarkStart w:id="41" w:name="_Toc464822938"/>
      <w:r>
        <w:rPr>
          <w:rFonts w:hint="default" w:ascii="Times New Roman" w:hAnsi="Times New Roman" w:cs="Times New Roman"/>
          <w:color w:val="auto"/>
          <w:szCs w:val="24"/>
          <w:highlight w:val="none"/>
        </w:rPr>
        <w:t>采样过程质量控制</w:t>
      </w:r>
      <w:bookmarkEnd w:id="41"/>
    </w:p>
    <w:p w14:paraId="204174F8">
      <w:pPr>
        <w:spacing w:line="360" w:lineRule="auto"/>
        <w:ind w:left="1"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为保证在允许误差范围内获得具有代表性的样品，在采样的全过程进行质量控制。实验室分析质量保证和质量控制要求见HJ/T 164和HJ/T 166。采样前制定详细的采样计划（采样方案），采样过程中认真按采样计划进行操作。对采样人员进行专门的培训，采样人员应掌握采样技术、懂得安全操作的有关知识和处理方法。采样时，由2人以上在场进行操作。采样工具、设备保持干燥、清洁。采样过程中要防止待采样品受到污染和发生变质。样品盛入容器后，在容器壁上应随即贴上标签并做好记录。样品运输过程中，应防止样品间的交叉污染。盛样容器不可倒置、倒放，防止破损、浸湿和污染。填写好、保存好采集记录、流转清单等文件。采样全过程由专人负责。</w:t>
      </w:r>
    </w:p>
    <w:p w14:paraId="61BB062B">
      <w:pPr>
        <w:pStyle w:val="3"/>
        <w:numPr>
          <w:ilvl w:val="0"/>
          <w:numId w:val="1"/>
        </w:numPr>
        <w:tabs>
          <w:tab w:val="clear" w:pos="425"/>
        </w:tabs>
        <w:rPr>
          <w:rFonts w:hint="default" w:ascii="Times New Roman" w:hAnsi="Times New Roman" w:cs="Times New Roman"/>
          <w:color w:val="auto"/>
          <w:highlight w:val="none"/>
          <w:lang w:eastAsia="zh-CN"/>
        </w:rPr>
      </w:pPr>
      <w:bookmarkStart w:id="42" w:name="_Toc10707"/>
      <w:bookmarkStart w:id="43" w:name="_Toc32151"/>
      <w:r>
        <w:rPr>
          <w:rFonts w:hint="default" w:ascii="Times New Roman" w:hAnsi="Times New Roman" w:cs="Times New Roman"/>
          <w:color w:val="auto"/>
          <w:highlight w:val="none"/>
          <w:lang w:eastAsia="zh-CN"/>
        </w:rPr>
        <w:t>现场工作及实验室分析</w:t>
      </w:r>
      <w:bookmarkEnd w:id="42"/>
      <w:bookmarkEnd w:id="43"/>
    </w:p>
    <w:p w14:paraId="7D27C89C">
      <w:pPr>
        <w:pStyle w:val="31"/>
        <w:spacing w:after="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2020年10月</w:t>
      </w:r>
      <w:r>
        <w:rPr>
          <w:rFonts w:hint="default" w:ascii="Times New Roman" w:hAnsi="Times New Roman" w:cs="Times New Roman"/>
          <w:color w:val="auto"/>
          <w:kern w:val="0"/>
          <w:sz w:val="24"/>
          <w:highlight w:val="none"/>
          <w:lang w:val="en-US" w:eastAsia="zh-CN"/>
        </w:rPr>
        <w:t>20</w:t>
      </w:r>
      <w:r>
        <w:rPr>
          <w:rFonts w:hint="default" w:ascii="Times New Roman" w:hAnsi="Times New Roman" w:cs="Times New Roman"/>
          <w:color w:val="auto"/>
          <w:kern w:val="0"/>
          <w:sz w:val="24"/>
          <w:highlight w:val="none"/>
        </w:rPr>
        <w:t>~30日，我公司与协作单位前往</w:t>
      </w:r>
      <w:r>
        <w:rPr>
          <w:rFonts w:hint="default" w:ascii="Times New Roman" w:hAnsi="Times New Roman" w:cs="Times New Roman"/>
          <w:color w:val="auto"/>
          <w:kern w:val="0"/>
          <w:sz w:val="24"/>
          <w:highlight w:val="none"/>
          <w:lang w:val="en-US" w:eastAsia="zh-CN"/>
        </w:rPr>
        <w:t>三江港经济区开</w:t>
      </w:r>
      <w:r>
        <w:rPr>
          <w:rFonts w:hint="default" w:ascii="Times New Roman" w:hAnsi="Times New Roman" w:cs="Times New Roman"/>
          <w:color w:val="auto"/>
          <w:kern w:val="0"/>
          <w:sz w:val="24"/>
          <w:highlight w:val="none"/>
        </w:rPr>
        <w:t>展了现场定点、土壤</w:t>
      </w:r>
      <w:r>
        <w:rPr>
          <w:rFonts w:hint="default" w:ascii="Times New Roman" w:hAnsi="Times New Roman" w:cs="Times New Roman"/>
          <w:color w:val="auto"/>
          <w:kern w:val="0"/>
          <w:sz w:val="24"/>
          <w:highlight w:val="none"/>
          <w:lang w:val="en-US" w:eastAsia="zh-CN"/>
        </w:rPr>
        <w:t>采集和地下水钻井及采样</w:t>
      </w:r>
      <w:r>
        <w:rPr>
          <w:rFonts w:hint="default" w:ascii="Times New Roman" w:hAnsi="Times New Roman" w:cs="Times New Roman"/>
          <w:color w:val="auto"/>
          <w:kern w:val="0"/>
          <w:sz w:val="24"/>
          <w:highlight w:val="none"/>
        </w:rPr>
        <w:t>工作</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土壤表层（0-0.5m）样品采用手工铲的方式采集，地下水样品</w:t>
      </w:r>
      <w:r>
        <w:rPr>
          <w:rFonts w:hint="default" w:ascii="Times New Roman" w:hAnsi="Times New Roman" w:cs="Times New Roman"/>
          <w:color w:val="auto"/>
          <w:kern w:val="0"/>
          <w:sz w:val="24"/>
          <w:highlight w:val="none"/>
        </w:rPr>
        <w:t>采用XY-150履带式钻机钻取了</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口直径为90-130mm的</w:t>
      </w:r>
      <w:r>
        <w:rPr>
          <w:rFonts w:hint="default" w:ascii="Times New Roman" w:hAnsi="Times New Roman" w:cs="Times New Roman"/>
          <w:color w:val="auto"/>
          <w:kern w:val="0"/>
          <w:sz w:val="24"/>
          <w:highlight w:val="none"/>
          <w:lang w:val="en-US" w:eastAsia="zh-CN"/>
        </w:rPr>
        <w:t>土孔并建成地下水井后采集。</w:t>
      </w:r>
      <w:r>
        <w:rPr>
          <w:rFonts w:hint="default" w:ascii="Times New Roman" w:hAnsi="Times New Roman" w:cs="Times New Roman"/>
          <w:color w:val="auto"/>
          <w:kern w:val="0"/>
          <w:sz w:val="24"/>
          <w:highlight w:val="none"/>
        </w:rPr>
        <w:t>本次调查主要工作内容总结如下：</w:t>
      </w:r>
    </w:p>
    <w:p w14:paraId="344DF807">
      <w:pPr>
        <w:numPr>
          <w:ilvl w:val="0"/>
          <w:numId w:val="8"/>
        </w:numPr>
        <w:ind w:firstLine="420" w:firstLineChars="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第一阶段采样</w:t>
      </w:r>
      <w:r>
        <w:rPr>
          <w:rFonts w:hint="default" w:ascii="Times New Roman" w:hAnsi="Times New Roman" w:cs="Times New Roman"/>
          <w:color w:val="auto"/>
          <w:szCs w:val="24"/>
          <w:highlight w:val="none"/>
        </w:rPr>
        <w:t>设置土壤采样点</w:t>
      </w:r>
      <w:r>
        <w:rPr>
          <w:rFonts w:hint="default" w:ascii="Times New Roman" w:hAnsi="Times New Roman" w:cs="Times New Roman"/>
          <w:color w:val="auto"/>
          <w:szCs w:val="24"/>
          <w:highlight w:val="none"/>
          <w:lang w:val="en-US" w:eastAsia="zh-CN"/>
        </w:rPr>
        <w:t>16</w:t>
      </w:r>
      <w:r>
        <w:rPr>
          <w:rFonts w:hint="default" w:ascii="Times New Roman" w:hAnsi="Times New Roman" w:cs="Times New Roman"/>
          <w:color w:val="auto"/>
          <w:szCs w:val="24"/>
          <w:highlight w:val="none"/>
        </w:rPr>
        <w:t>个，</w:t>
      </w:r>
      <w:r>
        <w:rPr>
          <w:rFonts w:hint="default" w:ascii="Times New Roman" w:hAnsi="Times New Roman" w:cs="Times New Roman"/>
          <w:color w:val="auto"/>
          <w:szCs w:val="24"/>
          <w:highlight w:val="none"/>
          <w:lang w:eastAsia="zh-CN"/>
        </w:rPr>
        <w:t>共采集土壤样品</w:t>
      </w:r>
      <w:r>
        <w:rPr>
          <w:rFonts w:hint="default" w:ascii="Times New Roman" w:hAnsi="Times New Roman" w:cs="Times New Roman"/>
          <w:color w:val="auto"/>
          <w:szCs w:val="24"/>
          <w:highlight w:val="none"/>
          <w:lang w:val="en-US" w:eastAsia="zh-CN"/>
        </w:rPr>
        <w:t>16个、</w:t>
      </w:r>
      <w:r>
        <w:rPr>
          <w:rFonts w:hint="default" w:ascii="Times New Roman" w:hAnsi="Times New Roman" w:cs="Times New Roman"/>
          <w:color w:val="auto"/>
          <w:highlight w:val="none"/>
          <w:lang w:eastAsia="zh-CN"/>
        </w:rPr>
        <w:t>现场平行盲样</w:t>
      </w:r>
      <w:r>
        <w:rPr>
          <w:rFonts w:hint="default" w:ascii="Times New Roman" w:hAnsi="Times New Roman" w:cs="Times New Roman"/>
          <w:color w:val="auto"/>
          <w:highlight w:val="none"/>
          <w:lang w:val="en-US" w:eastAsia="zh-CN"/>
        </w:rPr>
        <w:t>1个和运输空白样1个，共送检18个样品</w:t>
      </w:r>
      <w:r>
        <w:rPr>
          <w:rFonts w:hint="default" w:ascii="Times New Roman" w:hAnsi="Times New Roman" w:cs="Times New Roman"/>
          <w:color w:val="auto"/>
          <w:szCs w:val="24"/>
          <w:highlight w:val="none"/>
        </w:rPr>
        <w:t>，测试项目包括</w:t>
      </w:r>
      <w:r>
        <w:rPr>
          <w:rFonts w:hint="default" w:ascii="Times New Roman" w:hAnsi="Times New Roman" w:cs="Times New Roman"/>
          <w:color w:val="auto"/>
          <w:highlight w:val="none"/>
        </w:rPr>
        <w:t>pH、重金属、挥发性有机物、半挥发性有机物</w:t>
      </w:r>
      <w:r>
        <w:rPr>
          <w:rFonts w:hint="default" w:ascii="Times New Roman" w:hAnsi="Times New Roman" w:cs="Times New Roman"/>
          <w:color w:val="auto"/>
          <w:highlight w:val="none"/>
          <w:lang w:eastAsia="zh-CN"/>
        </w:rPr>
        <w:t>、</w:t>
      </w:r>
      <w:r>
        <w:rPr>
          <w:rFonts w:hint="default" w:ascii="Times New Roman" w:hAnsi="Times New Roman" w:cs="Times New Roman"/>
          <w:color w:val="auto"/>
          <w:kern w:val="0"/>
          <w:sz w:val="24"/>
          <w:highlight w:val="none"/>
          <w:lang w:val="en-US" w:eastAsia="zh-CN"/>
        </w:rPr>
        <w:t>钴、钼、锑、石油烃（C</w:t>
      </w:r>
      <w:r>
        <w:rPr>
          <w:rFonts w:hint="default" w:ascii="Times New Roman" w:hAnsi="Times New Roman" w:cs="Times New Roman"/>
          <w:color w:val="auto"/>
          <w:kern w:val="0"/>
          <w:sz w:val="24"/>
          <w:highlight w:val="none"/>
          <w:vertAlign w:val="subscript"/>
          <w:lang w:val="en-US" w:eastAsia="zh-CN"/>
        </w:rPr>
        <w:t>10</w:t>
      </w:r>
      <w:r>
        <w:rPr>
          <w:rFonts w:hint="default" w:ascii="Times New Roman" w:hAnsi="Times New Roman" w:cs="Times New Roman"/>
          <w:color w:val="auto"/>
          <w:kern w:val="0"/>
          <w:sz w:val="24"/>
          <w:highlight w:val="none"/>
          <w:lang w:val="en-US" w:eastAsia="zh-CN"/>
        </w:rPr>
        <w:t>-C</w:t>
      </w:r>
      <w:r>
        <w:rPr>
          <w:rFonts w:hint="default" w:ascii="Times New Roman" w:hAnsi="Times New Roman" w:cs="Times New Roman"/>
          <w:color w:val="auto"/>
          <w:kern w:val="0"/>
          <w:sz w:val="24"/>
          <w:highlight w:val="none"/>
          <w:vertAlign w:val="subscript"/>
          <w:lang w:val="en-US" w:eastAsia="zh-CN"/>
        </w:rPr>
        <w:t>40</w:t>
      </w:r>
      <w:r>
        <w:rPr>
          <w:rFonts w:hint="default" w:ascii="Times New Roman" w:hAnsi="Times New Roman" w:cs="Times New Roman"/>
          <w:color w:val="auto"/>
          <w:kern w:val="0"/>
          <w:sz w:val="24"/>
          <w:highlight w:val="none"/>
          <w:lang w:val="en-US" w:eastAsia="zh-CN"/>
        </w:rPr>
        <w:t>）、氟化物、</w:t>
      </w:r>
      <w:r>
        <w:rPr>
          <w:rFonts w:hint="default" w:ascii="Times New Roman" w:hAnsi="Times New Roman" w:cs="Times New Roman"/>
          <w:color w:val="auto"/>
          <w:kern w:val="0"/>
          <w:sz w:val="24"/>
          <w:szCs w:val="24"/>
          <w:highlight w:val="none"/>
          <w:lang w:val="en-US" w:eastAsia="zh-CN"/>
        </w:rPr>
        <w:t>二噁英、多氯联苯（总量）、苯酚、2-甲基苯酚、4-甲基苯酚、二硫化碳、1,2,4-三甲基苯、1,3,5-三甲基苯</w:t>
      </w:r>
      <w:r>
        <w:rPr>
          <w:rFonts w:hint="default" w:ascii="Times New Roman" w:hAnsi="Times New Roman" w:cs="Times New Roman"/>
          <w:color w:val="auto"/>
          <w:highlight w:val="none"/>
        </w:rPr>
        <w:t>共计</w:t>
      </w:r>
      <w:r>
        <w:rPr>
          <w:rFonts w:hint="default" w:ascii="Times New Roman" w:hAnsi="Times New Roman" w:cs="Times New Roman"/>
          <w:color w:val="auto"/>
          <w:highlight w:val="none"/>
          <w:lang w:val="en-US" w:eastAsia="zh-CN"/>
        </w:rPr>
        <w:t>61</w:t>
      </w:r>
      <w:r>
        <w:rPr>
          <w:rFonts w:hint="default" w:ascii="Times New Roman" w:hAnsi="Times New Roman" w:cs="Times New Roman"/>
          <w:color w:val="auto"/>
          <w:highlight w:val="none"/>
        </w:rPr>
        <w:t>项</w:t>
      </w:r>
      <w:r>
        <w:rPr>
          <w:rFonts w:hint="default" w:ascii="Times New Roman" w:hAnsi="Times New Roman" w:cs="Times New Roman"/>
          <w:color w:val="auto"/>
          <w:szCs w:val="24"/>
          <w:highlight w:val="none"/>
        </w:rPr>
        <w:t>；</w:t>
      </w:r>
    </w:p>
    <w:p w14:paraId="390A1C55">
      <w:pPr>
        <w:pStyle w:val="31"/>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w:t>
      </w:r>
      <w:r>
        <w:rPr>
          <w:rFonts w:hint="eastAsia"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）设置地下水</w:t>
      </w:r>
      <w:r>
        <w:rPr>
          <w:rFonts w:hint="default" w:ascii="Times New Roman" w:hAnsi="Times New Roman" w:cs="Times New Roman"/>
          <w:color w:val="auto"/>
          <w:sz w:val="24"/>
          <w:highlight w:val="none"/>
        </w:rPr>
        <w:t>采样点</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个，采集并送检</w:t>
      </w:r>
      <w:r>
        <w:rPr>
          <w:rFonts w:hint="default" w:ascii="Times New Roman" w:hAnsi="Times New Roman" w:cs="Times New Roman"/>
          <w:color w:val="auto"/>
          <w:kern w:val="0"/>
          <w:sz w:val="24"/>
          <w:highlight w:val="none"/>
        </w:rPr>
        <w:t>地下水样品</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个，测试项目包括</w:t>
      </w:r>
      <w:r>
        <w:rPr>
          <w:rFonts w:hint="default" w:ascii="Times New Roman" w:hAnsi="Times New Roman" w:cs="Times New Roman"/>
          <w:color w:val="auto"/>
          <w:sz w:val="24"/>
          <w:highlight w:val="none"/>
        </w:rPr>
        <w:t>无机项目（</w:t>
      </w:r>
      <w:r>
        <w:rPr>
          <w:rFonts w:hint="default" w:ascii="Times New Roman" w:hAnsi="Times New Roman" w:cs="Times New Roman"/>
          <w:color w:val="auto"/>
          <w:sz w:val="24"/>
          <w:highlight w:val="none"/>
          <w:lang w:val="en-US" w:eastAsia="zh-CN"/>
        </w:rPr>
        <w:t>14</w:t>
      </w:r>
      <w:r>
        <w:rPr>
          <w:rFonts w:hint="default" w:ascii="Times New Roman" w:hAnsi="Times New Roman" w:cs="Times New Roman"/>
          <w:color w:val="auto"/>
          <w:sz w:val="24"/>
          <w:highlight w:val="none"/>
        </w:rPr>
        <w:t>项）、金属类（</w:t>
      </w:r>
      <w:r>
        <w:rPr>
          <w:rFonts w:hint="default" w:ascii="Times New Roman" w:hAnsi="Times New Roman" w:cs="Times New Roman"/>
          <w:color w:val="auto"/>
          <w:sz w:val="24"/>
          <w:highlight w:val="none"/>
          <w:lang w:val="en-US" w:eastAsia="zh-CN"/>
        </w:rPr>
        <w:t>13</w:t>
      </w:r>
      <w:r>
        <w:rPr>
          <w:rFonts w:hint="default" w:ascii="Times New Roman" w:hAnsi="Times New Roman" w:cs="Times New Roman"/>
          <w:color w:val="auto"/>
          <w:sz w:val="24"/>
          <w:highlight w:val="none"/>
        </w:rPr>
        <w:t>项）、有机类（</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项）等</w:t>
      </w:r>
      <w:r>
        <w:rPr>
          <w:rFonts w:hint="default"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rPr>
        <w:t>项。</w:t>
      </w:r>
    </w:p>
    <w:p w14:paraId="6BCC4CC3">
      <w:pPr>
        <w:pStyle w:val="4"/>
        <w:tabs>
          <w:tab w:val="clear" w:pos="425"/>
        </w:tabs>
        <w:rPr>
          <w:rFonts w:hint="default" w:ascii="Times New Roman" w:hAnsi="Times New Roman" w:cs="Times New Roman"/>
          <w:color w:val="auto"/>
          <w:highlight w:val="none"/>
        </w:rPr>
      </w:pPr>
      <w:bookmarkStart w:id="44" w:name="_Toc14511"/>
      <w:bookmarkStart w:id="45" w:name="_Toc30602"/>
      <w:r>
        <w:rPr>
          <w:rFonts w:hint="eastAsia" w:cs="Times New Roman"/>
          <w:color w:val="auto"/>
          <w:highlight w:val="none"/>
          <w:lang w:val="en-US" w:eastAsia="zh-CN"/>
        </w:rPr>
        <w:t xml:space="preserve"> </w:t>
      </w:r>
      <w:r>
        <w:rPr>
          <w:rFonts w:hint="default" w:ascii="Times New Roman" w:hAnsi="Times New Roman" w:cs="Times New Roman"/>
          <w:color w:val="auto"/>
          <w:highlight w:val="none"/>
          <w:lang w:eastAsia="zh-CN"/>
        </w:rPr>
        <w:t>现场定点测绘</w:t>
      </w:r>
      <w:bookmarkEnd w:id="44"/>
      <w:bookmarkEnd w:id="45"/>
    </w:p>
    <w:p w14:paraId="44E99C54">
      <w:pPr>
        <w:pStyle w:val="31"/>
        <w:spacing w:after="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为了进一步明确，统一各采样点位的实际地理坐标，根据采样布点方案，对每个采样点使用GPS进行现场定点。若存在部分点位因</w:t>
      </w:r>
      <w:r>
        <w:rPr>
          <w:rFonts w:hint="default" w:ascii="Times New Roman" w:hAnsi="Times New Roman" w:cs="Times New Roman"/>
          <w:color w:val="auto"/>
          <w:kern w:val="0"/>
          <w:sz w:val="24"/>
          <w:highlight w:val="none"/>
          <w:lang w:eastAsia="zh-CN"/>
        </w:rPr>
        <w:t>园区</w:t>
      </w:r>
      <w:r>
        <w:rPr>
          <w:rFonts w:hint="default" w:ascii="Times New Roman" w:hAnsi="Times New Roman" w:cs="Times New Roman"/>
          <w:color w:val="auto"/>
          <w:kern w:val="0"/>
          <w:sz w:val="24"/>
          <w:highlight w:val="none"/>
        </w:rPr>
        <w:t>实际条件无法采样时，记录调整后的坐标、偏移方位及距离，及时修正点位，并用GPS记录实际采样点坐标。</w:t>
      </w:r>
    </w:p>
    <w:p w14:paraId="7D36F7C4">
      <w:pPr>
        <w:pStyle w:val="4"/>
        <w:tabs>
          <w:tab w:val="clear" w:pos="425"/>
        </w:tabs>
        <w:rPr>
          <w:rFonts w:hint="default" w:ascii="Times New Roman" w:hAnsi="Times New Roman" w:cs="Times New Roman"/>
          <w:color w:val="auto"/>
          <w:highlight w:val="none"/>
        </w:rPr>
      </w:pPr>
      <w:bookmarkStart w:id="46" w:name="_Toc17669"/>
      <w:bookmarkStart w:id="47" w:name="_Toc25534"/>
      <w:r>
        <w:rPr>
          <w:rFonts w:hint="default" w:ascii="Times New Roman" w:hAnsi="Times New Roman" w:cs="Times New Roman"/>
          <w:color w:val="auto"/>
          <w:highlight w:val="none"/>
          <w:lang w:eastAsia="zh-CN"/>
        </w:rPr>
        <w:t>样品采集</w:t>
      </w:r>
      <w:bookmarkEnd w:id="46"/>
      <w:bookmarkEnd w:id="47"/>
    </w:p>
    <w:p w14:paraId="0166D385">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样品采集</w:t>
      </w:r>
    </w:p>
    <w:p w14:paraId="795A3482">
      <w:pPr>
        <w:spacing w:line="360" w:lineRule="auto"/>
        <w:ind w:firstLine="480" w:firstLineChars="20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土壤样品采集工作委托苏伊士环境检测技术（上海）有限公司承担</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现场采样情况说明见附件5。</w:t>
      </w:r>
    </w:p>
    <w:p w14:paraId="63DA4032">
      <w:pPr>
        <w:pStyle w:val="6"/>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142" w:leftChars="0"/>
        <w:jc w:val="left"/>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4.2.1.1采集工具和方法</w:t>
      </w:r>
    </w:p>
    <w:p w14:paraId="139E521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土壤样品采用</w:t>
      </w:r>
      <w:r>
        <w:rPr>
          <w:rFonts w:hint="default" w:ascii="Times New Roman" w:hAnsi="Times New Roman" w:cs="Times New Roman"/>
          <w:color w:val="auto"/>
          <w:sz w:val="24"/>
          <w:highlight w:val="none"/>
          <w:lang w:eastAsia="zh-CN"/>
        </w:rPr>
        <w:t>手工铲</w:t>
      </w:r>
      <w:r>
        <w:rPr>
          <w:rFonts w:hint="default" w:ascii="Times New Roman" w:hAnsi="Times New Roman" w:cs="Times New Roman"/>
          <w:color w:val="auto"/>
          <w:sz w:val="24"/>
          <w:highlight w:val="none"/>
        </w:rPr>
        <w:t>采集，在技术人员的指导下进行，根据相关技术导则操作。现场采样时，通过辅以样品性状、气味等污染识别方法，取相应深度土壤，专业技术人员戴上一次性的无污染手术用橡胶手套，用</w:t>
      </w:r>
      <w:r>
        <w:rPr>
          <w:rFonts w:hint="default" w:ascii="Times New Roman" w:hAnsi="Times New Roman" w:cs="Times New Roman"/>
          <w:color w:val="auto"/>
          <w:sz w:val="24"/>
          <w:highlight w:val="none"/>
          <w:lang w:eastAsia="zh-CN"/>
        </w:rPr>
        <w:t>手工铲</w:t>
      </w:r>
      <w:r>
        <w:rPr>
          <w:rFonts w:hint="default" w:ascii="Times New Roman" w:hAnsi="Times New Roman" w:cs="Times New Roman"/>
          <w:color w:val="auto"/>
          <w:sz w:val="24"/>
          <w:highlight w:val="none"/>
        </w:rPr>
        <w:t>将取出的土壤装入样品瓶（袋）中，压实密封。用记号笔在每个样品瓶中记录样品名称、编号、采样日期等信息，边采边记，避免遗漏。样品瓶是由负责样品检测单位的实验室提供的、事先准备好带到现场。典型监测点位现场采样及样品照片</w:t>
      </w:r>
      <w:r>
        <w:rPr>
          <w:rFonts w:hint="default" w:ascii="Times New Roman" w:hAnsi="Times New Roman" w:cs="Times New Roman"/>
          <w:color w:val="auto"/>
          <w:sz w:val="24"/>
          <w:highlight w:val="none"/>
          <w:lang w:eastAsia="zh-CN"/>
        </w:rPr>
        <w:t>见下图</w:t>
      </w:r>
      <w:r>
        <w:rPr>
          <w:rFonts w:hint="default" w:ascii="Times New Roman" w:hAnsi="Times New Roman" w:cs="Times New Roman"/>
          <w:color w:val="auto"/>
          <w:sz w:val="24"/>
          <w:highlight w:val="none"/>
        </w:rPr>
        <w:t>。</w:t>
      </w:r>
    </w:p>
    <w:tbl>
      <w:tblPr>
        <w:tblStyle w:val="21"/>
        <w:tblW w:w="97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19"/>
        <w:gridCol w:w="5079"/>
      </w:tblGrid>
      <w:tr w14:paraId="0B50A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719" w:type="dxa"/>
            <w:noWrap w:val="0"/>
            <w:vAlign w:val="center"/>
          </w:tcPr>
          <w:p w14:paraId="725D6C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2778760" cy="2084070"/>
                  <wp:effectExtent l="0" t="0" r="2540" b="11430"/>
                  <wp:docPr id="12" name="图片 12" descr="IMG_20201021_14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0201021_143803"/>
                          <pic:cNvPicPr>
                            <a:picLocks noChangeAspect="1"/>
                          </pic:cNvPicPr>
                        </pic:nvPicPr>
                        <pic:blipFill>
                          <a:blip r:embed="rId27"/>
                          <a:stretch>
                            <a:fillRect/>
                          </a:stretch>
                        </pic:blipFill>
                        <pic:spPr>
                          <a:xfrm>
                            <a:off x="0" y="0"/>
                            <a:ext cx="2778760" cy="2084070"/>
                          </a:xfrm>
                          <a:prstGeom prst="rect">
                            <a:avLst/>
                          </a:prstGeom>
                        </pic:spPr>
                      </pic:pic>
                    </a:graphicData>
                  </a:graphic>
                </wp:inline>
              </w:drawing>
            </w:r>
          </w:p>
        </w:tc>
        <w:tc>
          <w:tcPr>
            <w:tcW w:w="5079" w:type="dxa"/>
            <w:noWrap w:val="0"/>
            <w:vAlign w:val="center"/>
          </w:tcPr>
          <w:p w14:paraId="5FB0C9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b/>
                <w:bCs/>
                <w:color w:val="auto"/>
                <w:highlight w:val="none"/>
                <w:lang w:val="en-US" w:eastAsia="zh-CN"/>
              </w:rPr>
              <w:drawing>
                <wp:inline distT="0" distB="0" distL="114300" distR="114300">
                  <wp:extent cx="2857500" cy="2143125"/>
                  <wp:effectExtent l="0" t="0" r="0" b="9525"/>
                  <wp:docPr id="15" name="图片 15" descr="IMG_20201021_12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0201021_122940"/>
                          <pic:cNvPicPr>
                            <a:picLocks noChangeAspect="1"/>
                          </pic:cNvPicPr>
                        </pic:nvPicPr>
                        <pic:blipFill>
                          <a:blip r:embed="rId28"/>
                          <a:stretch>
                            <a:fillRect/>
                          </a:stretch>
                        </pic:blipFill>
                        <pic:spPr>
                          <a:xfrm>
                            <a:off x="0" y="0"/>
                            <a:ext cx="2857500" cy="2143125"/>
                          </a:xfrm>
                          <a:prstGeom prst="rect">
                            <a:avLst/>
                          </a:prstGeom>
                        </pic:spPr>
                      </pic:pic>
                    </a:graphicData>
                  </a:graphic>
                </wp:inline>
              </w:drawing>
            </w:r>
          </w:p>
        </w:tc>
      </w:tr>
      <w:tr w14:paraId="62782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19" w:type="dxa"/>
            <w:noWrap w:val="0"/>
            <w:vAlign w:val="center"/>
          </w:tcPr>
          <w:p w14:paraId="6C4E06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color w:val="auto"/>
                <w:highlight w:val="none"/>
              </w:rPr>
            </w:pPr>
            <w:r>
              <w:rPr>
                <w:rFonts w:hint="default" w:ascii="Times New Roman" w:hAnsi="Times New Roman" w:cs="Times New Roman"/>
                <w:b/>
                <w:bCs/>
                <w:color w:val="auto"/>
                <w:highlight w:val="none"/>
              </w:rPr>
              <w:t>现场采样照片</w:t>
            </w:r>
          </w:p>
        </w:tc>
        <w:tc>
          <w:tcPr>
            <w:tcW w:w="5079" w:type="dxa"/>
            <w:noWrap w:val="0"/>
            <w:vAlign w:val="center"/>
          </w:tcPr>
          <w:p w14:paraId="422B8467">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color w:val="auto"/>
                <w:highlight w:val="none"/>
              </w:rPr>
            </w:pPr>
            <w:r>
              <w:rPr>
                <w:rFonts w:hint="default" w:ascii="Times New Roman" w:hAnsi="Times New Roman" w:cs="Times New Roman"/>
                <w:b/>
                <w:bCs/>
                <w:color w:val="auto"/>
                <w:highlight w:val="none"/>
              </w:rPr>
              <w:t>现场</w:t>
            </w:r>
            <w:r>
              <w:rPr>
                <w:rFonts w:hint="default" w:ascii="Times New Roman" w:hAnsi="Times New Roman" w:cs="Times New Roman"/>
                <w:b/>
                <w:bCs/>
                <w:color w:val="auto"/>
                <w:highlight w:val="none"/>
                <w:lang w:eastAsia="zh-CN"/>
              </w:rPr>
              <w:t>样品</w:t>
            </w:r>
            <w:r>
              <w:rPr>
                <w:rFonts w:hint="default" w:ascii="Times New Roman" w:hAnsi="Times New Roman" w:cs="Times New Roman"/>
                <w:b/>
                <w:bCs/>
                <w:color w:val="auto"/>
                <w:highlight w:val="none"/>
              </w:rPr>
              <w:t>照片</w:t>
            </w:r>
          </w:p>
        </w:tc>
      </w:tr>
    </w:tbl>
    <w:p w14:paraId="64D66C30">
      <w:pPr>
        <w:spacing w:line="360" w:lineRule="auto"/>
        <w:jc w:val="center"/>
        <w:rPr>
          <w:rFonts w:hint="default" w:ascii="Times New Roman" w:hAnsi="Times New Roman" w:cs="Times New Roman"/>
          <w:color w:val="auto"/>
          <w:highlight w:val="none"/>
        </w:rPr>
      </w:pPr>
      <w:r>
        <w:rPr>
          <w:rFonts w:hint="default" w:ascii="Times New Roman" w:hAnsi="Times New Roman" w:eastAsia="黑体" w:cs="Times New Roman"/>
          <w:b/>
          <w:color w:val="auto"/>
          <w:sz w:val="24"/>
          <w:szCs w:val="20"/>
          <w:highlight w:val="none"/>
        </w:rPr>
        <w:t>图4-2-</w:t>
      </w:r>
      <w:r>
        <w:rPr>
          <w:rFonts w:hint="default" w:ascii="Times New Roman" w:hAnsi="Times New Roman" w:eastAsia="黑体" w:cs="Times New Roman"/>
          <w:b/>
          <w:color w:val="auto"/>
          <w:sz w:val="24"/>
          <w:szCs w:val="20"/>
          <w:highlight w:val="none"/>
          <w:lang w:val="en-US" w:eastAsia="zh-CN"/>
        </w:rPr>
        <w:t>1</w:t>
      </w:r>
      <w:r>
        <w:rPr>
          <w:rFonts w:hint="default" w:ascii="Times New Roman" w:hAnsi="Times New Roman" w:eastAsia="黑体" w:cs="Times New Roman"/>
          <w:b/>
          <w:color w:val="auto"/>
          <w:sz w:val="24"/>
          <w:szCs w:val="20"/>
          <w:highlight w:val="none"/>
        </w:rPr>
        <w:t xml:space="preserve">  典型监测点位现场采样及样品照片</w:t>
      </w:r>
    </w:p>
    <w:p w14:paraId="594B8BBD">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4.2.1.2样品现场筛测</w:t>
      </w:r>
    </w:p>
    <w:p w14:paraId="5F43170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现场技术人员检查和记录土壤的类型，通过目测或嗅闻判断土壤是否有污染痕迹。为了现场判断采样区可疑情况，本次调查采用手持式光离子化检测器（PID）检测土壤中挥发性有机物的含量。同时采集平行样品，用于质量保证和质量控制。现场快速检测典型照片见</w:t>
      </w:r>
      <w:r>
        <w:rPr>
          <w:rFonts w:hint="default" w:ascii="Times New Roman" w:hAnsi="Times New Roman" w:cs="Times New Roman"/>
          <w:color w:val="auto"/>
          <w:sz w:val="24"/>
          <w:highlight w:val="none"/>
          <w:lang w:eastAsia="zh-CN"/>
        </w:rPr>
        <w:t>下图</w:t>
      </w:r>
      <w:r>
        <w:rPr>
          <w:rFonts w:hint="default" w:ascii="Times New Roman" w:hAnsi="Times New Roman" w:cs="Times New Roman"/>
          <w:color w:val="auto"/>
          <w:sz w:val="24"/>
          <w:highlight w:val="none"/>
        </w:rPr>
        <w:t>。</w:t>
      </w:r>
    </w:p>
    <w:tbl>
      <w:tblPr>
        <w:tblStyle w:val="21"/>
        <w:tblW w:w="326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28"/>
      </w:tblGrid>
      <w:tr w14:paraId="533184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5000" w:type="pct"/>
            <w:noWrap w:val="0"/>
            <w:vAlign w:val="center"/>
          </w:tcPr>
          <w:p w14:paraId="58CB1A9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3849370" cy="2297430"/>
                  <wp:effectExtent l="0" t="0" r="17780" b="7620"/>
                  <wp:docPr id="17" name="图片 1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1"/>
                          <pic:cNvPicPr>
                            <a:picLocks noChangeAspect="1"/>
                          </pic:cNvPicPr>
                        </pic:nvPicPr>
                        <pic:blipFill>
                          <a:blip r:embed="rId29"/>
                          <a:stretch>
                            <a:fillRect/>
                          </a:stretch>
                        </pic:blipFill>
                        <pic:spPr>
                          <a:xfrm>
                            <a:off x="0" y="0"/>
                            <a:ext cx="3849370" cy="2297430"/>
                          </a:xfrm>
                          <a:prstGeom prst="rect">
                            <a:avLst/>
                          </a:prstGeom>
                        </pic:spPr>
                      </pic:pic>
                    </a:graphicData>
                  </a:graphic>
                </wp:inline>
              </w:drawing>
            </w:r>
          </w:p>
        </w:tc>
      </w:tr>
      <w:tr w14:paraId="051BA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5000" w:type="pct"/>
            <w:noWrap w:val="0"/>
            <w:vAlign w:val="center"/>
          </w:tcPr>
          <w:p w14:paraId="0730C1AA">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现场PID快速检测</w:t>
            </w:r>
          </w:p>
        </w:tc>
      </w:tr>
    </w:tbl>
    <w:p w14:paraId="3F470677">
      <w:pPr>
        <w:spacing w:line="360" w:lineRule="auto"/>
        <w:ind w:firstLine="482"/>
        <w:jc w:val="center"/>
        <w:rPr>
          <w:rFonts w:hint="default" w:ascii="Times New Roman" w:hAnsi="Times New Roman" w:eastAsia="黑体" w:cs="Times New Roman"/>
          <w:b/>
          <w:color w:val="auto"/>
          <w:sz w:val="24"/>
          <w:szCs w:val="20"/>
          <w:highlight w:val="none"/>
        </w:rPr>
      </w:pPr>
      <w:r>
        <w:rPr>
          <w:rFonts w:hint="default" w:ascii="Times New Roman" w:hAnsi="Times New Roman" w:eastAsia="黑体" w:cs="Times New Roman"/>
          <w:b/>
          <w:color w:val="auto"/>
          <w:sz w:val="24"/>
          <w:szCs w:val="20"/>
          <w:highlight w:val="none"/>
        </w:rPr>
        <w:t>图4-2-2  典型监测点位现场快速检测照片</w:t>
      </w:r>
    </w:p>
    <w:p w14:paraId="5E9CE292">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4.2.1.3样品保存</w:t>
      </w:r>
    </w:p>
    <w:p w14:paraId="61E659FE">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装入土壤样品的样品瓶（袋），需立即放置到冷藏箱中，低温保存。样品采集完成后在样品保存流转时限内送至实验室分析。样品装运前核对采样记录表、样品标签等，如有缺漏项和错误处，将及时补充和修正后方可装运。样品运输过程中严防损失、混淆或玷污。样品送到实验室后，采样人员和实验室样品管理员双方同时清点核实样品，并在样品流转单上签字确认。</w:t>
      </w:r>
    </w:p>
    <w:p w14:paraId="53FB6B4D">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4.2.1.4样品质量控制</w:t>
      </w:r>
    </w:p>
    <w:p w14:paraId="15779A6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采样人员均已通过岗前培训、</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持证上岗，切实掌握土壤、地下水采样技术，熟知采样器具的使用和样品固定、保存、运输条件。样品的质量控制措施严格按照《建设用地土壤污染风险管控和修复监测技术导则》（HJ 25.2-2019）中的技术规范进行操作。</w:t>
      </w:r>
    </w:p>
    <w:p w14:paraId="550725C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（1）所有土壤样品采集后立即装入样品瓶中，保证样品中污染物不会挥发出来。所有样品放置在冷藏箱保存并在样品保存流转时限内运送至实验室。</w:t>
      </w:r>
    </w:p>
    <w:p w14:paraId="7EAF047E">
      <w:pPr>
        <w:ind w:firstLine="480" w:firstLineChars="200"/>
        <w:rPr>
          <w:rFonts w:hint="default" w:ascii="Times New Roman" w:hAnsi="Times New Roman" w:cs="Times New Roman"/>
          <w:highlight w:val="none"/>
        </w:rPr>
      </w:pPr>
      <w:r>
        <w:rPr>
          <w:rFonts w:hint="default" w:ascii="Times New Roman" w:hAnsi="Times New Roman" w:cs="Times New Roman"/>
          <w:color w:val="000000"/>
          <w:highlight w:val="none"/>
        </w:rPr>
        <w:t>（2）</w:t>
      </w:r>
      <w:r>
        <w:rPr>
          <w:rFonts w:hint="default" w:ascii="Times New Roman" w:hAnsi="Times New Roman" w:cs="Times New Roman"/>
          <w:color w:val="000000"/>
          <w:highlight w:val="none"/>
          <w:lang w:val="en-US" w:eastAsia="zh-CN"/>
        </w:rPr>
        <w:t>本次现场采样</w:t>
      </w:r>
      <w:r>
        <w:rPr>
          <w:rFonts w:hint="default" w:ascii="Times New Roman" w:hAnsi="Times New Roman" w:cs="Times New Roman"/>
          <w:color w:val="000000"/>
          <w:highlight w:val="none"/>
        </w:rPr>
        <w:t>5个园区连续采样，分批次送样，每一批次按10%比例设置现场平行盲样。每批次样品设置一个运输空白样，与样品一起送实验室分析。</w:t>
      </w:r>
    </w:p>
    <w:p w14:paraId="5BAD9871">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地下水样品采集</w:t>
      </w:r>
    </w:p>
    <w:p w14:paraId="37477613">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4.2.2.1监测井安装</w:t>
      </w:r>
    </w:p>
    <w:p w14:paraId="008ADAC9">
      <w:pPr>
        <w:spacing w:line="360" w:lineRule="auto"/>
        <w:ind w:left="1"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监测井钻探完成后，安装一根封底硬质PVC井管，PVC井管由底部密闭、管壁可滤水的筛管、上部延伸到地表的实管组成。监测井的深度和筛管的安装位置由专业人员根据现场水位的相对位置及各监测井的不同监测要求综合考虑设定。监测井筛管外侧周围用粒径大于0.25mm的清洁石英砂回填作为滤水层，石英砂回填至地下水水位线处，其上部再回填膨润土至自然地坪处。</w:t>
      </w:r>
    </w:p>
    <w:p w14:paraId="16D2C3CC">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4.2.2.2样品采集</w:t>
      </w:r>
    </w:p>
    <w:p w14:paraId="6B2B0D80">
      <w:pPr>
        <w:ind w:firstLine="480" w:firstLineChars="200"/>
        <w:rPr>
          <w:rFonts w:hint="default" w:ascii="Times New Roman" w:hAnsi="Times New Roman" w:eastAsia="宋体" w:cs="Times New Roman"/>
          <w:highlight w:val="none"/>
          <w:lang w:val="en-US" w:eastAsia="zh-CN"/>
        </w:rPr>
      </w:pPr>
      <w:r>
        <w:rPr>
          <w:rFonts w:hint="default" w:ascii="Times New Roman" w:hAnsi="Times New Roman" w:cs="Times New Roman"/>
          <w:color w:val="000000"/>
          <w:highlight w:val="none"/>
        </w:rPr>
        <w:t>采样前用贝勒管进行洗井。洗井时抽提出来的水量</w:t>
      </w:r>
      <w:r>
        <w:rPr>
          <w:rFonts w:hint="eastAsia" w:cs="Times New Roman"/>
          <w:color w:val="000000"/>
          <w:highlight w:val="none"/>
          <w:lang w:val="en-US" w:eastAsia="zh-CN"/>
        </w:rPr>
        <w:t>为</w:t>
      </w:r>
      <w:r>
        <w:rPr>
          <w:rFonts w:hint="default" w:ascii="Times New Roman" w:hAnsi="Times New Roman" w:cs="Times New Roman"/>
          <w:color w:val="000000"/>
          <w:highlight w:val="none"/>
        </w:rPr>
        <w:t>监测井总量的</w:t>
      </w:r>
      <w:r>
        <w:rPr>
          <w:rFonts w:hint="eastAsia" w:cs="Times New Roman"/>
          <w:color w:val="000000"/>
          <w:highlight w:val="none"/>
          <w:lang w:val="en-US" w:eastAsia="zh-CN"/>
        </w:rPr>
        <w:t>3-5倍</w:t>
      </w:r>
      <w:r>
        <w:rPr>
          <w:rFonts w:hint="default" w:ascii="Times New Roman" w:hAnsi="Times New Roman" w:cs="Times New Roman"/>
          <w:color w:val="000000"/>
          <w:highlight w:val="none"/>
        </w:rPr>
        <w:t>。在监测井洗井稳定24</w:t>
      </w:r>
      <w:r>
        <w:rPr>
          <w:rFonts w:hint="default" w:ascii="Times New Roman" w:hAnsi="Times New Roman" w:cs="Times New Roman"/>
          <w:color w:val="000000"/>
          <w:highlight w:val="none"/>
          <w:lang w:val="en-US" w:eastAsia="zh-CN"/>
        </w:rPr>
        <w:t>h</w:t>
      </w:r>
      <w:r>
        <w:rPr>
          <w:rFonts w:hint="default" w:ascii="Times New Roman" w:hAnsi="Times New Roman" w:cs="Times New Roman"/>
          <w:color w:val="000000"/>
          <w:highlight w:val="none"/>
        </w:rPr>
        <w:t>后，使用贝勒管进行地下水样的采集。为避免监测井中发生浑浊，贝勒管放入和提出时均缓慢进行。采样时，所有地下水样品均迅速转入由实验室提供的专用样品瓶中保存。</w:t>
      </w:r>
      <w:r>
        <w:rPr>
          <w:rFonts w:hint="default" w:ascii="Times New Roman" w:hAnsi="Times New Roman" w:cs="Times New Roman"/>
          <w:highlight w:val="none"/>
        </w:rPr>
        <w:t>调查园区下水监测井成井情况及水样采集照片见图4-2-3。</w:t>
      </w:r>
      <w:r>
        <w:rPr>
          <w:rFonts w:hint="eastAsia" w:cs="Times New Roman"/>
          <w:highlight w:val="none"/>
          <w:lang w:val="en-US" w:eastAsia="zh-CN"/>
        </w:rPr>
        <w:t>地下水监测井洗井记录单见附件6。</w:t>
      </w:r>
    </w:p>
    <w:tbl>
      <w:tblPr>
        <w:tblStyle w:val="21"/>
        <w:tblW w:w="97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02"/>
        <w:gridCol w:w="4896"/>
      </w:tblGrid>
      <w:tr w14:paraId="18DE3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4902" w:type="dxa"/>
            <w:tcBorders>
              <w:tl2br w:val="nil"/>
              <w:tr2bl w:val="nil"/>
            </w:tcBorders>
            <w:noWrap w:val="0"/>
            <w:vAlign w:val="center"/>
          </w:tcPr>
          <w:p w14:paraId="49C855C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auto"/>
                <w:sz w:val="18"/>
                <w:szCs w:val="18"/>
                <w:highlight w:val="none"/>
                <w:lang w:eastAsia="zh-CN"/>
              </w:rPr>
            </w:pPr>
            <w:r>
              <w:rPr>
                <w:rFonts w:hint="default" w:ascii="Times New Roman" w:hAnsi="Times New Roman" w:eastAsia="宋体" w:cs="Times New Roman"/>
                <w:bCs/>
                <w:color w:val="auto"/>
                <w:sz w:val="18"/>
                <w:szCs w:val="18"/>
                <w:highlight w:val="none"/>
                <w:lang w:eastAsia="zh-CN"/>
              </w:rPr>
              <w:drawing>
                <wp:inline distT="0" distB="0" distL="114300" distR="114300">
                  <wp:extent cx="1626870" cy="2169160"/>
                  <wp:effectExtent l="0" t="0" r="11430" b="2540"/>
                  <wp:docPr id="30" name="图片 30" descr="IMG_20201022_10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20201022_102343"/>
                          <pic:cNvPicPr>
                            <a:picLocks noChangeAspect="1"/>
                          </pic:cNvPicPr>
                        </pic:nvPicPr>
                        <pic:blipFill>
                          <a:blip r:embed="rId30"/>
                          <a:stretch>
                            <a:fillRect/>
                          </a:stretch>
                        </pic:blipFill>
                        <pic:spPr>
                          <a:xfrm>
                            <a:off x="0" y="0"/>
                            <a:ext cx="1626870" cy="2169160"/>
                          </a:xfrm>
                          <a:prstGeom prst="rect">
                            <a:avLst/>
                          </a:prstGeom>
                        </pic:spPr>
                      </pic:pic>
                    </a:graphicData>
                  </a:graphic>
                </wp:inline>
              </w:drawing>
            </w:r>
          </w:p>
        </w:tc>
        <w:tc>
          <w:tcPr>
            <w:tcW w:w="4896" w:type="dxa"/>
            <w:tcBorders>
              <w:tl2br w:val="nil"/>
              <w:tr2bl w:val="nil"/>
            </w:tcBorders>
            <w:noWrap w:val="0"/>
            <w:vAlign w:val="center"/>
          </w:tcPr>
          <w:p w14:paraId="7260AC5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auto"/>
                <w:sz w:val="18"/>
                <w:szCs w:val="18"/>
                <w:highlight w:val="none"/>
                <w:lang w:eastAsia="zh-CN"/>
              </w:rPr>
            </w:pPr>
            <w:r>
              <w:rPr>
                <w:rFonts w:hint="default" w:ascii="Times New Roman" w:hAnsi="Times New Roman" w:eastAsia="宋体" w:cs="Times New Roman"/>
                <w:bCs/>
                <w:color w:val="auto"/>
                <w:sz w:val="18"/>
                <w:szCs w:val="18"/>
                <w:highlight w:val="none"/>
                <w:lang w:eastAsia="zh-CN"/>
              </w:rPr>
              <w:drawing>
                <wp:inline distT="0" distB="0" distL="114300" distR="114300">
                  <wp:extent cx="2879725" cy="2160270"/>
                  <wp:effectExtent l="0" t="0" r="15875" b="11430"/>
                  <wp:docPr id="31" name="图片 31" descr="IMG_20201022_16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20201022_165211"/>
                          <pic:cNvPicPr>
                            <a:picLocks noChangeAspect="1"/>
                          </pic:cNvPicPr>
                        </pic:nvPicPr>
                        <pic:blipFill>
                          <a:blip r:embed="rId31"/>
                          <a:stretch>
                            <a:fillRect/>
                          </a:stretch>
                        </pic:blipFill>
                        <pic:spPr>
                          <a:xfrm>
                            <a:off x="0" y="0"/>
                            <a:ext cx="2879725" cy="2160270"/>
                          </a:xfrm>
                          <a:prstGeom prst="rect">
                            <a:avLst/>
                          </a:prstGeom>
                        </pic:spPr>
                      </pic:pic>
                    </a:graphicData>
                  </a:graphic>
                </wp:inline>
              </w:drawing>
            </w:r>
          </w:p>
        </w:tc>
      </w:tr>
      <w:tr w14:paraId="57ECA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4902" w:type="dxa"/>
            <w:tcBorders>
              <w:tl2br w:val="nil"/>
              <w:tr2bl w:val="nil"/>
            </w:tcBorders>
            <w:noWrap w:val="0"/>
            <w:vAlign w:val="center"/>
          </w:tcPr>
          <w:p w14:paraId="49AE511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18"/>
                <w:szCs w:val="18"/>
                <w:highlight w:val="none"/>
                <w:lang w:eastAsia="zh-CN"/>
              </w:rPr>
            </w:pPr>
            <w:r>
              <w:rPr>
                <w:rFonts w:hint="default" w:ascii="Times New Roman" w:hAnsi="Times New Roman" w:cs="Times New Roman"/>
                <w:b/>
                <w:bCs/>
                <w:color w:val="auto"/>
                <w:kern w:val="0"/>
                <w:sz w:val="18"/>
                <w:szCs w:val="18"/>
                <w:highlight w:val="none"/>
                <w:lang w:eastAsia="zh-CN"/>
              </w:rPr>
              <w:t>地下水钻机</w:t>
            </w:r>
          </w:p>
        </w:tc>
        <w:tc>
          <w:tcPr>
            <w:tcW w:w="4896" w:type="dxa"/>
            <w:tcBorders>
              <w:tl2br w:val="nil"/>
              <w:tr2bl w:val="nil"/>
            </w:tcBorders>
            <w:noWrap w:val="0"/>
            <w:vAlign w:val="center"/>
          </w:tcPr>
          <w:p w14:paraId="0FFCB8E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地下水成井</w:t>
            </w:r>
          </w:p>
        </w:tc>
      </w:tr>
      <w:tr w14:paraId="612BC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902" w:type="dxa"/>
            <w:tcBorders>
              <w:tl2br w:val="nil"/>
              <w:tr2bl w:val="nil"/>
            </w:tcBorders>
            <w:noWrap w:val="0"/>
            <w:vAlign w:val="center"/>
          </w:tcPr>
          <w:p w14:paraId="3788EB2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18"/>
                <w:szCs w:val="18"/>
                <w:highlight w:val="none"/>
                <w:lang w:eastAsia="zh-CN"/>
              </w:rPr>
            </w:pPr>
            <w:r>
              <w:rPr>
                <w:rFonts w:hint="default" w:ascii="Times New Roman" w:hAnsi="Times New Roman" w:eastAsia="宋体" w:cs="Times New Roman"/>
                <w:bCs/>
                <w:color w:val="auto"/>
                <w:kern w:val="0"/>
                <w:sz w:val="18"/>
                <w:szCs w:val="18"/>
                <w:highlight w:val="none"/>
                <w:lang w:eastAsia="zh-CN"/>
              </w:rPr>
              <w:drawing>
                <wp:inline distT="0" distB="0" distL="114300" distR="114300">
                  <wp:extent cx="2926080" cy="2194560"/>
                  <wp:effectExtent l="0" t="0" r="7620" b="15240"/>
                  <wp:docPr id="18" name="图片 18" descr="IMG_20201023_14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0201023_143847"/>
                          <pic:cNvPicPr>
                            <a:picLocks noChangeAspect="1"/>
                          </pic:cNvPicPr>
                        </pic:nvPicPr>
                        <pic:blipFill>
                          <a:blip r:embed="rId32"/>
                          <a:stretch>
                            <a:fillRect/>
                          </a:stretch>
                        </pic:blipFill>
                        <pic:spPr>
                          <a:xfrm>
                            <a:off x="0" y="0"/>
                            <a:ext cx="2926080" cy="2194560"/>
                          </a:xfrm>
                          <a:prstGeom prst="rect">
                            <a:avLst/>
                          </a:prstGeom>
                        </pic:spPr>
                      </pic:pic>
                    </a:graphicData>
                  </a:graphic>
                </wp:inline>
              </w:drawing>
            </w:r>
          </w:p>
        </w:tc>
        <w:tc>
          <w:tcPr>
            <w:tcW w:w="4896" w:type="dxa"/>
            <w:tcBorders>
              <w:tl2br w:val="nil"/>
              <w:tr2bl w:val="nil"/>
            </w:tcBorders>
            <w:noWrap w:val="0"/>
            <w:vAlign w:val="center"/>
          </w:tcPr>
          <w:p w14:paraId="1FBB565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18"/>
                <w:szCs w:val="18"/>
                <w:highlight w:val="none"/>
                <w:lang w:eastAsia="zh-CN"/>
              </w:rPr>
            </w:pPr>
            <w:r>
              <w:rPr>
                <w:rFonts w:hint="default" w:ascii="Times New Roman" w:hAnsi="Times New Roman" w:eastAsia="宋体" w:cs="Times New Roman"/>
                <w:bCs/>
                <w:color w:val="auto"/>
                <w:kern w:val="0"/>
                <w:sz w:val="18"/>
                <w:szCs w:val="18"/>
                <w:highlight w:val="none"/>
                <w:lang w:eastAsia="zh-CN"/>
              </w:rPr>
              <w:drawing>
                <wp:inline distT="0" distB="0" distL="114300" distR="114300">
                  <wp:extent cx="1600200" cy="2133600"/>
                  <wp:effectExtent l="0" t="0" r="0" b="0"/>
                  <wp:docPr id="2" name="图片 2" descr="IMG_20201027_12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01027_121725"/>
                          <pic:cNvPicPr>
                            <a:picLocks noChangeAspect="1"/>
                          </pic:cNvPicPr>
                        </pic:nvPicPr>
                        <pic:blipFill>
                          <a:blip r:embed="rId33"/>
                          <a:stretch>
                            <a:fillRect/>
                          </a:stretch>
                        </pic:blipFill>
                        <pic:spPr>
                          <a:xfrm>
                            <a:off x="0" y="0"/>
                            <a:ext cx="1600200" cy="2133600"/>
                          </a:xfrm>
                          <a:prstGeom prst="rect">
                            <a:avLst/>
                          </a:prstGeom>
                        </pic:spPr>
                      </pic:pic>
                    </a:graphicData>
                  </a:graphic>
                </wp:inline>
              </w:drawing>
            </w:r>
          </w:p>
        </w:tc>
      </w:tr>
      <w:tr w14:paraId="0C3A5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902" w:type="dxa"/>
            <w:tcBorders>
              <w:tl2br w:val="nil"/>
              <w:tr2bl w:val="nil"/>
            </w:tcBorders>
            <w:noWrap w:val="0"/>
            <w:vAlign w:val="center"/>
          </w:tcPr>
          <w:p w14:paraId="18634B8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地下水点位钻孔地层分布状况</w:t>
            </w:r>
          </w:p>
        </w:tc>
        <w:tc>
          <w:tcPr>
            <w:tcW w:w="4896" w:type="dxa"/>
            <w:tcBorders>
              <w:tl2br w:val="nil"/>
              <w:tr2bl w:val="nil"/>
            </w:tcBorders>
            <w:noWrap w:val="0"/>
            <w:vAlign w:val="center"/>
          </w:tcPr>
          <w:p w14:paraId="375132E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地下水</w:t>
            </w:r>
            <w:r>
              <w:rPr>
                <w:rFonts w:hint="default" w:ascii="Times New Roman" w:hAnsi="Times New Roman" w:cs="Times New Roman"/>
                <w:b/>
                <w:bCs/>
                <w:color w:val="auto"/>
                <w:kern w:val="0"/>
                <w:sz w:val="18"/>
                <w:szCs w:val="18"/>
                <w:highlight w:val="none"/>
                <w:lang w:eastAsia="zh-CN"/>
              </w:rPr>
              <w:t>样品</w:t>
            </w:r>
          </w:p>
        </w:tc>
      </w:tr>
    </w:tbl>
    <w:p w14:paraId="5FEAEF4D">
      <w:pPr>
        <w:pStyle w:val="34"/>
        <w:spacing w:before="0" w:beforeLines="0"/>
        <w:rPr>
          <w:rFonts w:hint="default" w:ascii="Times New Roman" w:hAnsi="Times New Roman" w:eastAsia="宋体" w:cs="Times New Roman"/>
          <w:color w:val="auto"/>
          <w:kern w:val="0"/>
          <w:szCs w:val="24"/>
          <w:highlight w:val="none"/>
        </w:rPr>
      </w:pPr>
      <w:r>
        <w:rPr>
          <w:rFonts w:hint="default" w:ascii="Times New Roman" w:hAnsi="Times New Roman" w:eastAsia="宋体" w:cs="Times New Roman"/>
          <w:color w:val="auto"/>
          <w:kern w:val="0"/>
          <w:szCs w:val="24"/>
          <w:highlight w:val="none"/>
        </w:rPr>
        <w:t>图4-2-3  典型监测井及地下水取样照片</w:t>
      </w:r>
    </w:p>
    <w:p w14:paraId="37367B84">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4.2.2.3样品保存</w:t>
      </w:r>
    </w:p>
    <w:p w14:paraId="188BC073">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样品贮存间置冷藏柜，防水、防盗和保密措施。样品管理员负责保持样品贮存间的清洁、通风、无腐蚀的环境，并对贮存环境条件加以维持和监控。</w:t>
      </w:r>
    </w:p>
    <w:p w14:paraId="7909B45F">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4.2.2.4样品质量控制</w:t>
      </w:r>
    </w:p>
    <w:p w14:paraId="34549E6B">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样人员均已通过岗前培训、持证上岗，切实掌握土壤、地下水采样技术，熟知采样器具的使用和样品固定、保存、运输条件。同批次水样，加采现场平行样。每次测试结束后，除必要的留存样外，样品容器均及时清洗。</w:t>
      </w:r>
    </w:p>
    <w:p w14:paraId="5DA0CD2C">
      <w:pPr>
        <w:pStyle w:val="4"/>
        <w:tabs>
          <w:tab w:val="clear" w:pos="425"/>
        </w:tabs>
        <w:bidi w:val="0"/>
        <w:rPr>
          <w:rFonts w:hint="default" w:ascii="Times New Roman" w:hAnsi="Times New Roman" w:cs="Times New Roman"/>
          <w:color w:val="auto"/>
          <w:highlight w:val="none"/>
        </w:rPr>
      </w:pPr>
      <w:bookmarkStart w:id="48" w:name="_Toc16343"/>
      <w:bookmarkStart w:id="49" w:name="_Toc24520"/>
      <w:r>
        <w:rPr>
          <w:rFonts w:hint="default" w:ascii="Times New Roman" w:hAnsi="Times New Roman" w:cs="Times New Roman"/>
          <w:color w:val="auto"/>
          <w:highlight w:val="none"/>
        </w:rPr>
        <w:t>现场记录</w:t>
      </w:r>
      <w:bookmarkEnd w:id="48"/>
      <w:bookmarkEnd w:id="49"/>
    </w:p>
    <w:p w14:paraId="3C353A3F">
      <w:pPr>
        <w:pStyle w:val="5"/>
        <w:tabs>
          <w:tab w:val="left" w:pos="425"/>
        </w:tabs>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z w:val="24"/>
          <w:szCs w:val="20"/>
          <w:highlight w:val="none"/>
          <w:lang w:eastAsia="zh-CN"/>
        </w:rPr>
        <w:t>土壤快速检测</w:t>
      </w:r>
      <w:r>
        <w:rPr>
          <w:rFonts w:hint="default" w:ascii="Times New Roman" w:hAnsi="Times New Roman" w:cs="Times New Roman"/>
          <w:color w:val="auto"/>
          <w:highlight w:val="none"/>
        </w:rPr>
        <w:t>记录</w:t>
      </w:r>
    </w:p>
    <w:p w14:paraId="1061E7ED">
      <w:pPr>
        <w:pStyle w:val="31"/>
        <w:adjustRightInd w:val="0"/>
        <w:snapToGrid w:val="0"/>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本次调查期间，采样人员使用手持式光离子化检测器（PID）对位于调查</w:t>
      </w:r>
      <w:r>
        <w:rPr>
          <w:rFonts w:hint="default" w:ascii="Times New Roman" w:hAnsi="Times New Roman" w:cs="Times New Roman"/>
          <w:color w:val="auto"/>
          <w:highlight w:val="none"/>
          <w:lang w:eastAsia="zh-CN"/>
        </w:rPr>
        <w:t>园区</w:t>
      </w:r>
      <w:r>
        <w:rPr>
          <w:rFonts w:hint="default" w:ascii="Times New Roman" w:hAnsi="Times New Roman" w:cs="Times New Roman"/>
          <w:color w:val="auto"/>
          <w:highlight w:val="none"/>
        </w:rPr>
        <w:t>内土壤样品进行了快速检测，共测试</w:t>
      </w:r>
      <w:r>
        <w:rPr>
          <w:rFonts w:hint="default" w:ascii="Times New Roman" w:hAnsi="Times New Roman" w:cs="Times New Roman"/>
          <w:color w:val="auto"/>
          <w:highlight w:val="none"/>
          <w:lang w:val="en-US" w:eastAsia="zh-CN"/>
        </w:rPr>
        <w:t>16</w:t>
      </w:r>
      <w:r>
        <w:rPr>
          <w:rFonts w:hint="default" w:ascii="Times New Roman" w:hAnsi="Times New Roman" w:cs="Times New Roman"/>
          <w:color w:val="auto"/>
          <w:highlight w:val="none"/>
        </w:rPr>
        <w:t>个</w:t>
      </w: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样品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1个</w:t>
      </w:r>
      <w:r>
        <w:rPr>
          <w:rFonts w:hint="default" w:ascii="Times New Roman" w:hAnsi="Times New Roman" w:cs="Times New Roman"/>
          <w:color w:val="auto"/>
          <w:highlight w:val="none"/>
          <w:lang w:eastAsia="zh-CN"/>
        </w:rPr>
        <w:t>平行盲样</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现场记录见附件</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p>
    <w:p w14:paraId="6AB57201">
      <w:pPr>
        <w:pStyle w:val="5"/>
        <w:keepLines w:val="0"/>
        <w:tabs>
          <w:tab w:val="left" w:pos="425"/>
        </w:tabs>
        <w:spacing w:before="0" w:after="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工程地质条件</w:t>
      </w:r>
    </w:p>
    <w:p w14:paraId="29BF0C16">
      <w:pPr>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现场</w:t>
      </w:r>
      <w:r>
        <w:rPr>
          <w:rFonts w:hint="default" w:ascii="Times New Roman" w:hAnsi="Times New Roman" w:cs="Times New Roman"/>
          <w:color w:val="auto"/>
          <w:sz w:val="24"/>
          <w:highlight w:val="none"/>
          <w:lang w:eastAsia="zh-CN"/>
        </w:rPr>
        <w:t>土壤样品主要采集的为表层（0-0.5m）土壤，</w:t>
      </w:r>
      <w:r>
        <w:rPr>
          <w:rFonts w:hint="default" w:ascii="Times New Roman" w:hAnsi="Times New Roman" w:cs="Times New Roman"/>
          <w:color w:val="auto"/>
          <w:sz w:val="24"/>
          <w:highlight w:val="none"/>
          <w:lang w:val="en-US" w:eastAsia="zh-CN"/>
        </w:rPr>
        <w:t>主要为杂填土</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表面</w:t>
      </w:r>
      <w:r>
        <w:rPr>
          <w:rFonts w:hint="default" w:ascii="Times New Roman" w:hAnsi="Times New Roman" w:cs="Times New Roman"/>
          <w:color w:val="auto"/>
          <w:sz w:val="24"/>
          <w:highlight w:val="none"/>
        </w:rPr>
        <w:t>夹杂砖块、碎石</w:t>
      </w:r>
      <w:r>
        <w:rPr>
          <w:rFonts w:hint="default" w:ascii="Times New Roman" w:hAnsi="Times New Roman" w:cs="Times New Roman"/>
          <w:color w:val="auto"/>
          <w:sz w:val="24"/>
          <w:highlight w:val="none"/>
          <w:lang w:eastAsia="zh-CN"/>
        </w:rPr>
        <w:t>、根系等，部分表层样品为素填土、</w:t>
      </w:r>
      <w:r>
        <w:rPr>
          <w:rFonts w:hint="default" w:ascii="Times New Roman" w:hAnsi="Times New Roman" w:cs="Times New Roman"/>
          <w:color w:val="auto"/>
          <w:sz w:val="24"/>
          <w:highlight w:val="none"/>
          <w:lang w:val="en-US" w:eastAsia="zh-CN"/>
        </w:rPr>
        <w:t>耕植土</w:t>
      </w:r>
      <w:r>
        <w:rPr>
          <w:rFonts w:hint="default" w:ascii="Times New Roman" w:hAnsi="Times New Roman" w:cs="Times New Roman"/>
          <w:color w:val="auto"/>
          <w:sz w:val="24"/>
          <w:highlight w:val="none"/>
          <w:lang w:eastAsia="zh-CN"/>
        </w:rPr>
        <w:t>，部分土壤夹杂有少量的铁锰矿物、高岭土。</w:t>
      </w:r>
    </w:p>
    <w:p w14:paraId="29216C1D">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eastAsia="zh-CN"/>
        </w:rPr>
        <w:t>地下水井</w:t>
      </w:r>
      <w:r>
        <w:rPr>
          <w:rFonts w:hint="default" w:ascii="Times New Roman" w:hAnsi="Times New Roman" w:cs="Times New Roman"/>
          <w:color w:val="auto"/>
          <w:sz w:val="24"/>
          <w:highlight w:val="none"/>
        </w:rPr>
        <w:t>钻探期间揭露浅部地层分布状况结构描述</w:t>
      </w:r>
      <w:r>
        <w:rPr>
          <w:rFonts w:hint="default" w:ascii="Times New Roman" w:hAnsi="Times New Roman" w:cs="Times New Roman"/>
          <w:color w:val="auto"/>
          <w:sz w:val="24"/>
          <w:highlight w:val="none"/>
          <w:lang w:eastAsia="zh-CN"/>
        </w:rPr>
        <w:t>见表</w:t>
      </w:r>
      <w:r>
        <w:rPr>
          <w:rFonts w:hint="default" w:ascii="Times New Roman" w:hAnsi="Times New Roman" w:cs="Times New Roman"/>
          <w:color w:val="auto"/>
          <w:sz w:val="24"/>
          <w:highlight w:val="none"/>
          <w:lang w:val="en-US" w:eastAsia="zh-CN"/>
        </w:rPr>
        <w:t>4-3-1。</w:t>
      </w:r>
    </w:p>
    <w:p w14:paraId="0DEBF7D6">
      <w:pPr>
        <w:pStyle w:val="2"/>
        <w:keepNext w:val="0"/>
        <w:keepLines w:val="0"/>
        <w:pageBreakBefore w:val="0"/>
        <w:widowControl w:val="0"/>
        <w:kinsoku/>
        <w:wordWrap/>
        <w:overflowPunct/>
        <w:topLinePunct w:val="0"/>
        <w:autoSpaceDE/>
        <w:autoSpaceDN/>
        <w:bidi w:val="0"/>
        <w:adjustRightInd/>
        <w:snapToGrid/>
        <w:spacing w:before="157" w:beforeLines="50" w:after="0" w:line="240" w:lineRule="auto"/>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sz w:val="24"/>
          <w:highlight w:val="none"/>
          <w:lang w:val="en-US" w:eastAsia="zh-CN"/>
        </w:rPr>
        <w:t>表4-3-1 地下水点位钻孔地层分布状况</w:t>
      </w:r>
    </w:p>
    <w:tbl>
      <w:tblPr>
        <w:tblStyle w:val="21"/>
        <w:tblW w:w="100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22"/>
        <w:gridCol w:w="900"/>
        <w:gridCol w:w="887"/>
        <w:gridCol w:w="667"/>
        <w:gridCol w:w="865"/>
        <w:gridCol w:w="822"/>
        <w:gridCol w:w="825"/>
        <w:gridCol w:w="4130"/>
      </w:tblGrid>
      <w:tr w14:paraId="77902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tcBorders>
              <w:bottom w:val="single" w:color="auto" w:sz="12" w:space="0"/>
            </w:tcBorders>
            <w:shd w:val="clear" w:color="auto" w:fill="auto"/>
            <w:noWrap/>
            <w:tcMar>
              <w:top w:w="15" w:type="dxa"/>
              <w:left w:w="15" w:type="dxa"/>
              <w:right w:w="15" w:type="dxa"/>
            </w:tcMar>
            <w:vAlign w:val="center"/>
          </w:tcPr>
          <w:p w14:paraId="5C1944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钻井编号</w:t>
            </w:r>
          </w:p>
        </w:tc>
        <w:tc>
          <w:tcPr>
            <w:tcW w:w="900" w:type="dxa"/>
            <w:tcBorders>
              <w:bottom w:val="single" w:color="auto" w:sz="12" w:space="0"/>
            </w:tcBorders>
            <w:shd w:val="clear" w:color="auto" w:fill="auto"/>
            <w:noWrap/>
            <w:tcMar>
              <w:top w:w="15" w:type="dxa"/>
              <w:left w:w="15" w:type="dxa"/>
              <w:right w:w="15" w:type="dxa"/>
            </w:tcMar>
            <w:vAlign w:val="center"/>
          </w:tcPr>
          <w:p w14:paraId="038C29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钻井深度</w:t>
            </w:r>
          </w:p>
        </w:tc>
        <w:tc>
          <w:tcPr>
            <w:tcW w:w="887" w:type="dxa"/>
            <w:tcBorders>
              <w:bottom w:val="single" w:color="auto" w:sz="12" w:space="0"/>
            </w:tcBorders>
            <w:shd w:val="clear" w:color="auto" w:fill="auto"/>
            <w:noWrap/>
            <w:tcMar>
              <w:top w:w="15" w:type="dxa"/>
              <w:left w:w="15" w:type="dxa"/>
              <w:right w:w="15" w:type="dxa"/>
            </w:tcMar>
            <w:vAlign w:val="center"/>
          </w:tcPr>
          <w:p w14:paraId="017C89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土壤类型</w:t>
            </w:r>
          </w:p>
        </w:tc>
        <w:tc>
          <w:tcPr>
            <w:tcW w:w="667" w:type="dxa"/>
            <w:tcBorders>
              <w:bottom w:val="single" w:color="auto" w:sz="12" w:space="0"/>
            </w:tcBorders>
            <w:shd w:val="clear" w:color="auto" w:fill="auto"/>
            <w:noWrap/>
            <w:tcMar>
              <w:top w:w="15" w:type="dxa"/>
              <w:left w:w="15" w:type="dxa"/>
              <w:right w:w="15" w:type="dxa"/>
            </w:tcMar>
            <w:vAlign w:val="center"/>
          </w:tcPr>
          <w:p w14:paraId="5A33A7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颜色</w:t>
            </w:r>
          </w:p>
        </w:tc>
        <w:tc>
          <w:tcPr>
            <w:tcW w:w="865" w:type="dxa"/>
            <w:tcBorders>
              <w:bottom w:val="single" w:color="auto" w:sz="12" w:space="0"/>
            </w:tcBorders>
            <w:shd w:val="clear" w:color="auto" w:fill="auto"/>
            <w:noWrap/>
            <w:tcMar>
              <w:top w:w="15" w:type="dxa"/>
              <w:left w:w="15" w:type="dxa"/>
              <w:right w:w="15" w:type="dxa"/>
            </w:tcMar>
            <w:vAlign w:val="center"/>
          </w:tcPr>
          <w:p w14:paraId="378E17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湿度</w:t>
            </w:r>
          </w:p>
        </w:tc>
        <w:tc>
          <w:tcPr>
            <w:tcW w:w="822" w:type="dxa"/>
            <w:tcBorders>
              <w:bottom w:val="single" w:color="auto" w:sz="12" w:space="0"/>
            </w:tcBorders>
            <w:shd w:val="clear" w:color="auto" w:fill="auto"/>
            <w:noWrap/>
            <w:tcMar>
              <w:top w:w="15" w:type="dxa"/>
              <w:left w:w="15" w:type="dxa"/>
              <w:right w:w="15" w:type="dxa"/>
            </w:tcMar>
            <w:vAlign w:val="center"/>
          </w:tcPr>
          <w:p w14:paraId="353E36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气味</w:t>
            </w:r>
          </w:p>
        </w:tc>
        <w:tc>
          <w:tcPr>
            <w:tcW w:w="825" w:type="dxa"/>
            <w:tcBorders>
              <w:bottom w:val="single" w:color="auto" w:sz="12" w:space="0"/>
            </w:tcBorders>
            <w:shd w:val="clear" w:color="auto" w:fill="auto"/>
            <w:noWrap/>
            <w:tcMar>
              <w:top w:w="15" w:type="dxa"/>
              <w:left w:w="15" w:type="dxa"/>
              <w:right w:w="15" w:type="dxa"/>
            </w:tcMar>
            <w:vAlign w:val="center"/>
          </w:tcPr>
          <w:p w14:paraId="77DA64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可塑性</w:t>
            </w:r>
          </w:p>
        </w:tc>
        <w:tc>
          <w:tcPr>
            <w:tcW w:w="4130" w:type="dxa"/>
            <w:tcBorders>
              <w:bottom w:val="single" w:color="auto" w:sz="12" w:space="0"/>
            </w:tcBorders>
            <w:shd w:val="clear" w:color="auto" w:fill="auto"/>
            <w:noWrap/>
            <w:tcMar>
              <w:top w:w="15" w:type="dxa"/>
              <w:left w:w="15" w:type="dxa"/>
              <w:right w:w="15" w:type="dxa"/>
            </w:tcMar>
            <w:vAlign w:val="center"/>
          </w:tcPr>
          <w:p w14:paraId="5CCFA8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夹杂物</w:t>
            </w:r>
          </w:p>
        </w:tc>
      </w:tr>
      <w:tr w14:paraId="4BC583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restart"/>
            <w:tcBorders>
              <w:top w:val="single" w:color="auto" w:sz="12" w:space="0"/>
              <w:tl2br w:val="nil"/>
              <w:tr2bl w:val="nil"/>
            </w:tcBorders>
            <w:shd w:val="clear" w:color="auto" w:fill="auto"/>
            <w:noWrap/>
            <w:tcMar>
              <w:top w:w="15" w:type="dxa"/>
              <w:left w:w="15" w:type="dxa"/>
              <w:right w:w="15" w:type="dxa"/>
            </w:tcMar>
            <w:vAlign w:val="center"/>
          </w:tcPr>
          <w:p w14:paraId="2972BC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SJG</w:t>
            </w:r>
            <w:r>
              <w:rPr>
                <w:rFonts w:hint="default" w:ascii="Times New Roman" w:hAnsi="Times New Roman" w:eastAsia="宋体" w:cs="Times New Roman"/>
                <w:i w:val="0"/>
                <w:color w:val="auto"/>
                <w:kern w:val="0"/>
                <w:sz w:val="21"/>
                <w:szCs w:val="21"/>
                <w:highlight w:val="none"/>
                <w:u w:val="none"/>
                <w:lang w:val="en-US" w:eastAsia="zh-CN" w:bidi="ar"/>
              </w:rPr>
              <w:t>-W1</w:t>
            </w:r>
          </w:p>
        </w:tc>
        <w:tc>
          <w:tcPr>
            <w:tcW w:w="900" w:type="dxa"/>
            <w:tcBorders>
              <w:top w:val="single" w:color="auto" w:sz="12" w:space="0"/>
              <w:tl2br w:val="nil"/>
              <w:tr2bl w:val="nil"/>
            </w:tcBorders>
            <w:shd w:val="clear" w:color="auto" w:fill="auto"/>
            <w:noWrap/>
            <w:tcMar>
              <w:top w:w="15" w:type="dxa"/>
              <w:left w:w="15" w:type="dxa"/>
              <w:right w:w="15" w:type="dxa"/>
            </w:tcMar>
            <w:vAlign w:val="center"/>
          </w:tcPr>
          <w:p w14:paraId="605CA6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w:t>
            </w:r>
          </w:p>
        </w:tc>
        <w:tc>
          <w:tcPr>
            <w:tcW w:w="887" w:type="dxa"/>
            <w:tcBorders>
              <w:top w:val="single" w:color="auto" w:sz="12" w:space="0"/>
              <w:tl2br w:val="nil"/>
              <w:tr2bl w:val="nil"/>
            </w:tcBorders>
            <w:shd w:val="clear" w:color="auto" w:fill="auto"/>
            <w:noWrap/>
            <w:tcMar>
              <w:top w:w="15" w:type="dxa"/>
              <w:left w:w="15" w:type="dxa"/>
              <w:right w:w="15" w:type="dxa"/>
            </w:tcMar>
            <w:vAlign w:val="center"/>
          </w:tcPr>
          <w:p w14:paraId="0035B6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耕植土</w:t>
            </w:r>
          </w:p>
        </w:tc>
        <w:tc>
          <w:tcPr>
            <w:tcW w:w="667" w:type="dxa"/>
            <w:tcBorders>
              <w:top w:val="single" w:color="auto" w:sz="12" w:space="0"/>
              <w:tl2br w:val="nil"/>
              <w:tr2bl w:val="nil"/>
            </w:tcBorders>
            <w:shd w:val="clear" w:color="auto" w:fill="auto"/>
            <w:noWrap/>
            <w:tcMar>
              <w:top w:w="15" w:type="dxa"/>
              <w:left w:w="15" w:type="dxa"/>
              <w:right w:w="15" w:type="dxa"/>
            </w:tcMar>
            <w:vAlign w:val="center"/>
          </w:tcPr>
          <w:p w14:paraId="219D3D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黄褐</w:t>
            </w:r>
          </w:p>
        </w:tc>
        <w:tc>
          <w:tcPr>
            <w:tcW w:w="865" w:type="dxa"/>
            <w:tcBorders>
              <w:top w:val="single" w:color="auto" w:sz="12" w:space="0"/>
              <w:tl2br w:val="nil"/>
              <w:tr2bl w:val="nil"/>
            </w:tcBorders>
            <w:shd w:val="clear" w:color="auto" w:fill="auto"/>
            <w:noWrap/>
            <w:tcMar>
              <w:top w:w="15" w:type="dxa"/>
              <w:left w:w="15" w:type="dxa"/>
              <w:right w:w="15" w:type="dxa"/>
            </w:tcMar>
            <w:vAlign w:val="center"/>
          </w:tcPr>
          <w:p w14:paraId="0E1A94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822" w:type="dxa"/>
            <w:tcBorders>
              <w:top w:val="single" w:color="auto" w:sz="12" w:space="0"/>
              <w:tl2br w:val="nil"/>
              <w:tr2bl w:val="nil"/>
            </w:tcBorders>
            <w:shd w:val="clear" w:color="auto" w:fill="auto"/>
            <w:noWrap/>
            <w:tcMar>
              <w:top w:w="15" w:type="dxa"/>
              <w:left w:w="15" w:type="dxa"/>
              <w:right w:w="15" w:type="dxa"/>
            </w:tcMar>
            <w:vAlign w:val="center"/>
          </w:tcPr>
          <w:p w14:paraId="67145F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op w:val="single" w:color="auto" w:sz="12" w:space="0"/>
              <w:tl2br w:val="nil"/>
              <w:tr2bl w:val="nil"/>
            </w:tcBorders>
            <w:shd w:val="clear" w:color="auto" w:fill="auto"/>
            <w:noWrap/>
            <w:tcMar>
              <w:top w:w="15" w:type="dxa"/>
              <w:left w:w="15" w:type="dxa"/>
              <w:right w:w="15" w:type="dxa"/>
            </w:tcMar>
            <w:vAlign w:val="center"/>
          </w:tcPr>
          <w:p w14:paraId="6E5F66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4130" w:type="dxa"/>
            <w:tcBorders>
              <w:top w:val="single" w:color="auto" w:sz="12" w:space="0"/>
              <w:tl2br w:val="nil"/>
              <w:tr2bl w:val="nil"/>
            </w:tcBorders>
            <w:shd w:val="clear" w:color="auto" w:fill="auto"/>
            <w:noWrap/>
            <w:tcMar>
              <w:top w:w="15" w:type="dxa"/>
              <w:left w:w="15" w:type="dxa"/>
              <w:right w:w="15" w:type="dxa"/>
            </w:tcMar>
            <w:vAlign w:val="center"/>
          </w:tcPr>
          <w:p w14:paraId="3DDF01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含大量植物根系</w:t>
            </w:r>
          </w:p>
        </w:tc>
      </w:tr>
      <w:tr w14:paraId="06DB7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1381743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20D3C4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0.2~7.0</w:t>
            </w:r>
          </w:p>
        </w:tc>
        <w:tc>
          <w:tcPr>
            <w:tcW w:w="887" w:type="dxa"/>
            <w:tcBorders>
              <w:tl2br w:val="nil"/>
              <w:tr2bl w:val="nil"/>
            </w:tcBorders>
            <w:shd w:val="clear" w:color="auto" w:fill="auto"/>
            <w:noWrap/>
            <w:tcMar>
              <w:top w:w="15" w:type="dxa"/>
              <w:left w:w="15" w:type="dxa"/>
              <w:right w:w="15" w:type="dxa"/>
            </w:tcMar>
            <w:vAlign w:val="center"/>
          </w:tcPr>
          <w:p w14:paraId="02659F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粘土</w:t>
            </w:r>
          </w:p>
        </w:tc>
        <w:tc>
          <w:tcPr>
            <w:tcW w:w="667" w:type="dxa"/>
            <w:tcBorders>
              <w:tl2br w:val="nil"/>
              <w:tr2bl w:val="nil"/>
            </w:tcBorders>
            <w:shd w:val="clear" w:color="auto" w:fill="auto"/>
            <w:noWrap/>
            <w:tcMar>
              <w:top w:w="15" w:type="dxa"/>
              <w:left w:w="15" w:type="dxa"/>
              <w:right w:w="15" w:type="dxa"/>
            </w:tcMar>
            <w:vAlign w:val="center"/>
          </w:tcPr>
          <w:p w14:paraId="321142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黄褐</w:t>
            </w:r>
          </w:p>
        </w:tc>
        <w:tc>
          <w:tcPr>
            <w:tcW w:w="865" w:type="dxa"/>
            <w:tcBorders>
              <w:tl2br w:val="nil"/>
              <w:tr2bl w:val="nil"/>
            </w:tcBorders>
            <w:shd w:val="clear" w:color="auto" w:fill="auto"/>
            <w:noWrap/>
            <w:tcMar>
              <w:top w:w="15" w:type="dxa"/>
              <w:left w:w="15" w:type="dxa"/>
              <w:right w:w="15" w:type="dxa"/>
            </w:tcMar>
            <w:vAlign w:val="center"/>
          </w:tcPr>
          <w:p w14:paraId="4E192C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822" w:type="dxa"/>
            <w:tcBorders>
              <w:tl2br w:val="nil"/>
              <w:tr2bl w:val="nil"/>
            </w:tcBorders>
            <w:shd w:val="clear" w:color="auto" w:fill="auto"/>
            <w:noWrap/>
            <w:tcMar>
              <w:top w:w="15" w:type="dxa"/>
              <w:left w:w="15" w:type="dxa"/>
              <w:right w:w="15" w:type="dxa"/>
            </w:tcMar>
            <w:vAlign w:val="center"/>
          </w:tcPr>
          <w:p w14:paraId="1FFA57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6FA444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30DF4B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局部夹少量灰白色高岭土，含少量氧化物</w:t>
            </w:r>
          </w:p>
        </w:tc>
      </w:tr>
      <w:tr w14:paraId="0A9A15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7EC9D9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2A28DB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7.0~8.0</w:t>
            </w:r>
          </w:p>
        </w:tc>
        <w:tc>
          <w:tcPr>
            <w:tcW w:w="887" w:type="dxa"/>
            <w:tcBorders>
              <w:tl2br w:val="nil"/>
              <w:tr2bl w:val="nil"/>
            </w:tcBorders>
            <w:shd w:val="clear" w:color="auto" w:fill="auto"/>
            <w:noWrap/>
            <w:tcMar>
              <w:top w:w="15" w:type="dxa"/>
              <w:left w:w="15" w:type="dxa"/>
              <w:right w:w="15" w:type="dxa"/>
            </w:tcMar>
            <w:vAlign w:val="center"/>
          </w:tcPr>
          <w:p w14:paraId="5D2F9D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红砂岩</w:t>
            </w:r>
          </w:p>
        </w:tc>
        <w:tc>
          <w:tcPr>
            <w:tcW w:w="667" w:type="dxa"/>
            <w:tcBorders>
              <w:tl2br w:val="nil"/>
              <w:tr2bl w:val="nil"/>
            </w:tcBorders>
            <w:shd w:val="clear" w:color="auto" w:fill="auto"/>
            <w:noWrap/>
            <w:tcMar>
              <w:top w:w="15" w:type="dxa"/>
              <w:left w:w="15" w:type="dxa"/>
              <w:right w:w="15" w:type="dxa"/>
            </w:tcMar>
            <w:vAlign w:val="center"/>
          </w:tcPr>
          <w:p w14:paraId="759EF7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棕红</w:t>
            </w:r>
          </w:p>
        </w:tc>
        <w:tc>
          <w:tcPr>
            <w:tcW w:w="865" w:type="dxa"/>
            <w:tcBorders>
              <w:tl2br w:val="nil"/>
              <w:tr2bl w:val="nil"/>
            </w:tcBorders>
            <w:shd w:val="clear" w:color="auto" w:fill="auto"/>
            <w:noWrap/>
            <w:tcMar>
              <w:top w:w="15" w:type="dxa"/>
              <w:left w:w="15" w:type="dxa"/>
              <w:right w:w="15" w:type="dxa"/>
            </w:tcMar>
            <w:vAlign w:val="center"/>
          </w:tcPr>
          <w:p w14:paraId="548789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822" w:type="dxa"/>
            <w:tcBorders>
              <w:tl2br w:val="nil"/>
              <w:tr2bl w:val="nil"/>
            </w:tcBorders>
            <w:shd w:val="clear" w:color="auto" w:fill="auto"/>
            <w:noWrap/>
            <w:tcMar>
              <w:top w:w="15" w:type="dxa"/>
              <w:left w:w="15" w:type="dxa"/>
              <w:right w:w="15" w:type="dxa"/>
            </w:tcMar>
            <w:vAlign w:val="center"/>
          </w:tcPr>
          <w:p w14:paraId="6E82F3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632FD3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全风化</w:t>
            </w:r>
          </w:p>
        </w:tc>
        <w:tc>
          <w:tcPr>
            <w:tcW w:w="4130" w:type="dxa"/>
            <w:tcBorders>
              <w:tl2br w:val="nil"/>
              <w:tr2bl w:val="nil"/>
            </w:tcBorders>
            <w:shd w:val="clear" w:color="auto" w:fill="auto"/>
            <w:noWrap/>
            <w:tcMar>
              <w:top w:w="15" w:type="dxa"/>
              <w:left w:w="15" w:type="dxa"/>
              <w:right w:w="15" w:type="dxa"/>
            </w:tcMar>
            <w:vAlign w:val="center"/>
          </w:tcPr>
          <w:p w14:paraId="473179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粉砂粒状结构，中厚层构造</w:t>
            </w:r>
          </w:p>
        </w:tc>
      </w:tr>
      <w:tr w14:paraId="3FB8F6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restart"/>
            <w:tcBorders>
              <w:tl2br w:val="nil"/>
              <w:tr2bl w:val="nil"/>
            </w:tcBorders>
            <w:shd w:val="clear" w:color="auto" w:fill="auto"/>
            <w:noWrap/>
            <w:tcMar>
              <w:top w:w="15" w:type="dxa"/>
              <w:left w:w="15" w:type="dxa"/>
              <w:right w:w="15" w:type="dxa"/>
            </w:tcMar>
            <w:vAlign w:val="center"/>
          </w:tcPr>
          <w:p w14:paraId="5E8EE0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SJG</w:t>
            </w:r>
            <w:r>
              <w:rPr>
                <w:rFonts w:hint="default" w:ascii="Times New Roman" w:hAnsi="Times New Roman" w:eastAsia="宋体" w:cs="Times New Roman"/>
                <w:i w:val="0"/>
                <w:color w:val="auto"/>
                <w:sz w:val="21"/>
                <w:szCs w:val="21"/>
                <w:highlight w:val="none"/>
                <w:u w:val="none"/>
                <w:lang w:val="en-US" w:eastAsia="zh-CN"/>
              </w:rPr>
              <w:t>-W2</w:t>
            </w:r>
          </w:p>
        </w:tc>
        <w:tc>
          <w:tcPr>
            <w:tcW w:w="900" w:type="dxa"/>
            <w:tcBorders>
              <w:tl2br w:val="nil"/>
              <w:tr2bl w:val="nil"/>
            </w:tcBorders>
            <w:shd w:val="clear" w:color="auto" w:fill="auto"/>
            <w:noWrap/>
            <w:tcMar>
              <w:top w:w="15" w:type="dxa"/>
              <w:left w:w="15" w:type="dxa"/>
              <w:right w:w="15" w:type="dxa"/>
            </w:tcMar>
            <w:vAlign w:val="center"/>
          </w:tcPr>
          <w:p w14:paraId="209F81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w:t>
            </w:r>
          </w:p>
        </w:tc>
        <w:tc>
          <w:tcPr>
            <w:tcW w:w="887" w:type="dxa"/>
            <w:tcBorders>
              <w:tl2br w:val="nil"/>
              <w:tr2bl w:val="nil"/>
            </w:tcBorders>
            <w:shd w:val="clear" w:color="auto" w:fill="auto"/>
            <w:noWrap/>
            <w:tcMar>
              <w:top w:w="15" w:type="dxa"/>
              <w:left w:w="15" w:type="dxa"/>
              <w:right w:w="15" w:type="dxa"/>
            </w:tcMar>
            <w:vAlign w:val="center"/>
          </w:tcPr>
          <w:p w14:paraId="5BC6ED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素填土</w:t>
            </w:r>
          </w:p>
        </w:tc>
        <w:tc>
          <w:tcPr>
            <w:tcW w:w="667" w:type="dxa"/>
            <w:tcBorders>
              <w:tl2br w:val="nil"/>
              <w:tr2bl w:val="nil"/>
            </w:tcBorders>
            <w:shd w:val="clear" w:color="auto" w:fill="auto"/>
            <w:noWrap/>
            <w:tcMar>
              <w:top w:w="15" w:type="dxa"/>
              <w:left w:w="15" w:type="dxa"/>
              <w:right w:w="15" w:type="dxa"/>
            </w:tcMar>
            <w:vAlign w:val="center"/>
          </w:tcPr>
          <w:p w14:paraId="33042C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棕褐</w:t>
            </w:r>
          </w:p>
        </w:tc>
        <w:tc>
          <w:tcPr>
            <w:tcW w:w="865" w:type="dxa"/>
            <w:tcBorders>
              <w:tl2br w:val="nil"/>
              <w:tr2bl w:val="nil"/>
            </w:tcBorders>
            <w:shd w:val="clear" w:color="auto" w:fill="auto"/>
            <w:noWrap/>
            <w:tcMar>
              <w:top w:w="15" w:type="dxa"/>
              <w:left w:w="15" w:type="dxa"/>
              <w:right w:w="15" w:type="dxa"/>
            </w:tcMar>
            <w:vAlign w:val="center"/>
          </w:tcPr>
          <w:p w14:paraId="2C3A04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822" w:type="dxa"/>
            <w:tcBorders>
              <w:tl2br w:val="nil"/>
              <w:tr2bl w:val="nil"/>
            </w:tcBorders>
            <w:shd w:val="clear" w:color="auto" w:fill="auto"/>
            <w:noWrap/>
            <w:tcMar>
              <w:top w:w="15" w:type="dxa"/>
              <w:left w:w="15" w:type="dxa"/>
              <w:right w:w="15" w:type="dxa"/>
            </w:tcMar>
            <w:vAlign w:val="center"/>
          </w:tcPr>
          <w:p w14:paraId="686ACF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4FC71C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4130" w:type="dxa"/>
            <w:tcBorders>
              <w:tl2br w:val="nil"/>
              <w:tr2bl w:val="nil"/>
            </w:tcBorders>
            <w:shd w:val="clear" w:color="auto" w:fill="auto"/>
            <w:noWrap/>
            <w:tcMar>
              <w:top w:w="15" w:type="dxa"/>
              <w:left w:w="15" w:type="dxa"/>
              <w:right w:w="15" w:type="dxa"/>
            </w:tcMar>
            <w:vAlign w:val="center"/>
          </w:tcPr>
          <w:p w14:paraId="786D79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表层夹少量根系，以粉质粘土为主</w:t>
            </w:r>
          </w:p>
        </w:tc>
      </w:tr>
      <w:tr w14:paraId="6B3986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6726D32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0F4D01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0.5~4.8</w:t>
            </w:r>
          </w:p>
        </w:tc>
        <w:tc>
          <w:tcPr>
            <w:tcW w:w="887" w:type="dxa"/>
            <w:tcBorders>
              <w:tl2br w:val="nil"/>
              <w:tr2bl w:val="nil"/>
            </w:tcBorders>
            <w:shd w:val="clear" w:color="auto" w:fill="auto"/>
            <w:noWrap/>
            <w:tcMar>
              <w:top w:w="15" w:type="dxa"/>
              <w:left w:w="15" w:type="dxa"/>
              <w:right w:w="15" w:type="dxa"/>
            </w:tcMar>
            <w:vAlign w:val="center"/>
          </w:tcPr>
          <w:p w14:paraId="08C522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粉质粘土</w:t>
            </w:r>
          </w:p>
        </w:tc>
        <w:tc>
          <w:tcPr>
            <w:tcW w:w="667" w:type="dxa"/>
            <w:tcBorders>
              <w:tl2br w:val="nil"/>
              <w:tr2bl w:val="nil"/>
            </w:tcBorders>
            <w:shd w:val="clear" w:color="auto" w:fill="auto"/>
            <w:noWrap/>
            <w:tcMar>
              <w:top w:w="15" w:type="dxa"/>
              <w:left w:w="15" w:type="dxa"/>
              <w:right w:w="15" w:type="dxa"/>
            </w:tcMar>
            <w:vAlign w:val="center"/>
          </w:tcPr>
          <w:p w14:paraId="7DB48E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棕褐</w:t>
            </w:r>
          </w:p>
        </w:tc>
        <w:tc>
          <w:tcPr>
            <w:tcW w:w="865" w:type="dxa"/>
            <w:tcBorders>
              <w:tl2br w:val="nil"/>
              <w:tr2bl w:val="nil"/>
            </w:tcBorders>
            <w:shd w:val="clear" w:color="auto" w:fill="auto"/>
            <w:noWrap/>
            <w:tcMar>
              <w:top w:w="15" w:type="dxa"/>
              <w:left w:w="15" w:type="dxa"/>
              <w:right w:w="15" w:type="dxa"/>
            </w:tcMar>
            <w:vAlign w:val="center"/>
          </w:tcPr>
          <w:p w14:paraId="76988A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822" w:type="dxa"/>
            <w:tcBorders>
              <w:tl2br w:val="nil"/>
              <w:tr2bl w:val="nil"/>
            </w:tcBorders>
            <w:shd w:val="clear" w:color="auto" w:fill="auto"/>
            <w:noWrap/>
            <w:tcMar>
              <w:top w:w="15" w:type="dxa"/>
              <w:left w:w="15" w:type="dxa"/>
              <w:right w:w="15" w:type="dxa"/>
            </w:tcMar>
            <w:vAlign w:val="center"/>
          </w:tcPr>
          <w:p w14:paraId="2B8347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599B37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059FF3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夹高岭土，铁锰氧化物</w:t>
            </w:r>
          </w:p>
        </w:tc>
      </w:tr>
      <w:tr w14:paraId="4DB4C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2D9590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291983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4.8~8.9</w:t>
            </w:r>
          </w:p>
        </w:tc>
        <w:tc>
          <w:tcPr>
            <w:tcW w:w="887" w:type="dxa"/>
            <w:tcBorders>
              <w:tl2br w:val="nil"/>
              <w:tr2bl w:val="nil"/>
            </w:tcBorders>
            <w:shd w:val="clear" w:color="auto" w:fill="auto"/>
            <w:noWrap/>
            <w:tcMar>
              <w:top w:w="15" w:type="dxa"/>
              <w:left w:w="15" w:type="dxa"/>
              <w:right w:w="15" w:type="dxa"/>
            </w:tcMar>
            <w:vAlign w:val="center"/>
          </w:tcPr>
          <w:p w14:paraId="598E49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粘土</w:t>
            </w:r>
          </w:p>
        </w:tc>
        <w:tc>
          <w:tcPr>
            <w:tcW w:w="667" w:type="dxa"/>
            <w:tcBorders>
              <w:tl2br w:val="nil"/>
              <w:tr2bl w:val="nil"/>
            </w:tcBorders>
            <w:shd w:val="clear" w:color="auto" w:fill="auto"/>
            <w:noWrap/>
            <w:tcMar>
              <w:top w:w="15" w:type="dxa"/>
              <w:left w:w="15" w:type="dxa"/>
              <w:right w:w="15" w:type="dxa"/>
            </w:tcMar>
            <w:vAlign w:val="center"/>
          </w:tcPr>
          <w:p w14:paraId="2FCDE4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红棕</w:t>
            </w:r>
          </w:p>
        </w:tc>
        <w:tc>
          <w:tcPr>
            <w:tcW w:w="865" w:type="dxa"/>
            <w:tcBorders>
              <w:tl2br w:val="nil"/>
              <w:tr2bl w:val="nil"/>
            </w:tcBorders>
            <w:shd w:val="clear" w:color="auto" w:fill="auto"/>
            <w:noWrap/>
            <w:tcMar>
              <w:top w:w="15" w:type="dxa"/>
              <w:left w:w="15" w:type="dxa"/>
              <w:right w:w="15" w:type="dxa"/>
            </w:tcMar>
            <w:vAlign w:val="center"/>
          </w:tcPr>
          <w:p w14:paraId="0DA0E8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822" w:type="dxa"/>
            <w:tcBorders>
              <w:tl2br w:val="nil"/>
              <w:tr2bl w:val="nil"/>
            </w:tcBorders>
            <w:shd w:val="clear" w:color="auto" w:fill="auto"/>
            <w:noWrap/>
            <w:tcMar>
              <w:top w:w="15" w:type="dxa"/>
              <w:left w:w="15" w:type="dxa"/>
              <w:right w:w="15" w:type="dxa"/>
            </w:tcMar>
            <w:vAlign w:val="center"/>
          </w:tcPr>
          <w:p w14:paraId="662F9F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21429B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硬塑</w:t>
            </w:r>
          </w:p>
        </w:tc>
        <w:tc>
          <w:tcPr>
            <w:tcW w:w="4130" w:type="dxa"/>
            <w:tcBorders>
              <w:tl2br w:val="nil"/>
              <w:tr2bl w:val="nil"/>
            </w:tcBorders>
            <w:shd w:val="clear" w:color="auto" w:fill="auto"/>
            <w:noWrap/>
            <w:tcMar>
              <w:top w:w="15" w:type="dxa"/>
              <w:left w:w="15" w:type="dxa"/>
              <w:right w:w="15" w:type="dxa"/>
            </w:tcMar>
            <w:vAlign w:val="center"/>
          </w:tcPr>
          <w:p w14:paraId="783548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夹高岭土，铁锰氧化物</w:t>
            </w:r>
          </w:p>
        </w:tc>
      </w:tr>
      <w:tr w14:paraId="6841BA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5192F85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278032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8.9~10.7</w:t>
            </w:r>
          </w:p>
        </w:tc>
        <w:tc>
          <w:tcPr>
            <w:tcW w:w="887" w:type="dxa"/>
            <w:tcBorders>
              <w:tl2br w:val="nil"/>
              <w:tr2bl w:val="nil"/>
            </w:tcBorders>
            <w:shd w:val="clear" w:color="auto" w:fill="auto"/>
            <w:noWrap/>
            <w:tcMar>
              <w:top w:w="15" w:type="dxa"/>
              <w:left w:w="15" w:type="dxa"/>
              <w:right w:w="15" w:type="dxa"/>
            </w:tcMar>
            <w:vAlign w:val="center"/>
          </w:tcPr>
          <w:p w14:paraId="2B806C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粘土</w:t>
            </w:r>
          </w:p>
        </w:tc>
        <w:tc>
          <w:tcPr>
            <w:tcW w:w="667" w:type="dxa"/>
            <w:tcBorders>
              <w:tl2br w:val="nil"/>
              <w:tr2bl w:val="nil"/>
            </w:tcBorders>
            <w:shd w:val="clear" w:color="auto" w:fill="auto"/>
            <w:noWrap/>
            <w:tcMar>
              <w:top w:w="15" w:type="dxa"/>
              <w:left w:w="15" w:type="dxa"/>
              <w:right w:w="15" w:type="dxa"/>
            </w:tcMar>
            <w:vAlign w:val="center"/>
          </w:tcPr>
          <w:p w14:paraId="2D0E20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黄褐</w:t>
            </w:r>
          </w:p>
        </w:tc>
        <w:tc>
          <w:tcPr>
            <w:tcW w:w="865" w:type="dxa"/>
            <w:tcBorders>
              <w:tl2br w:val="nil"/>
              <w:tr2bl w:val="nil"/>
            </w:tcBorders>
            <w:shd w:val="clear" w:color="auto" w:fill="auto"/>
            <w:noWrap/>
            <w:tcMar>
              <w:top w:w="15" w:type="dxa"/>
              <w:left w:w="15" w:type="dxa"/>
              <w:right w:w="15" w:type="dxa"/>
            </w:tcMar>
            <w:vAlign w:val="center"/>
          </w:tcPr>
          <w:p w14:paraId="6B07C9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822" w:type="dxa"/>
            <w:tcBorders>
              <w:tl2br w:val="nil"/>
              <w:tr2bl w:val="nil"/>
            </w:tcBorders>
            <w:shd w:val="clear" w:color="auto" w:fill="auto"/>
            <w:noWrap/>
            <w:tcMar>
              <w:top w:w="15" w:type="dxa"/>
              <w:left w:w="15" w:type="dxa"/>
              <w:right w:w="15" w:type="dxa"/>
            </w:tcMar>
            <w:vAlign w:val="center"/>
          </w:tcPr>
          <w:p w14:paraId="410237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7F2D20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硬塑</w:t>
            </w:r>
          </w:p>
        </w:tc>
        <w:tc>
          <w:tcPr>
            <w:tcW w:w="4130" w:type="dxa"/>
            <w:tcBorders>
              <w:tl2br w:val="nil"/>
              <w:tr2bl w:val="nil"/>
            </w:tcBorders>
            <w:shd w:val="clear" w:color="auto" w:fill="auto"/>
            <w:noWrap/>
            <w:tcMar>
              <w:top w:w="15" w:type="dxa"/>
              <w:left w:w="15" w:type="dxa"/>
              <w:right w:w="15" w:type="dxa"/>
            </w:tcMar>
            <w:vAlign w:val="center"/>
          </w:tcPr>
          <w:p w14:paraId="22D6F1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夹高岭土，铁锰氧化物</w:t>
            </w:r>
          </w:p>
        </w:tc>
      </w:tr>
      <w:tr w14:paraId="0AE3D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49F50E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141E41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10.7~11.</w:t>
            </w:r>
            <w:r>
              <w:rPr>
                <w:rFonts w:hint="default" w:ascii="Times New Roman" w:hAnsi="Times New Roman" w:cs="Times New Roman"/>
                <w:i w:val="0"/>
                <w:color w:val="auto"/>
                <w:kern w:val="0"/>
                <w:sz w:val="21"/>
                <w:szCs w:val="21"/>
                <w:highlight w:val="none"/>
                <w:u w:val="none"/>
                <w:lang w:val="en-US" w:eastAsia="zh-CN" w:bidi="ar"/>
              </w:rPr>
              <w:t>0</w:t>
            </w:r>
          </w:p>
        </w:tc>
        <w:tc>
          <w:tcPr>
            <w:tcW w:w="887" w:type="dxa"/>
            <w:tcBorders>
              <w:tl2br w:val="nil"/>
              <w:tr2bl w:val="nil"/>
            </w:tcBorders>
            <w:shd w:val="clear" w:color="auto" w:fill="auto"/>
            <w:noWrap/>
            <w:tcMar>
              <w:top w:w="15" w:type="dxa"/>
              <w:left w:w="15" w:type="dxa"/>
              <w:right w:w="15" w:type="dxa"/>
            </w:tcMar>
            <w:vAlign w:val="center"/>
          </w:tcPr>
          <w:p w14:paraId="762E1C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风化岩</w:t>
            </w:r>
          </w:p>
        </w:tc>
        <w:tc>
          <w:tcPr>
            <w:tcW w:w="667" w:type="dxa"/>
            <w:tcBorders>
              <w:tl2br w:val="nil"/>
              <w:tr2bl w:val="nil"/>
            </w:tcBorders>
            <w:shd w:val="clear" w:color="auto" w:fill="auto"/>
            <w:noWrap/>
            <w:tcMar>
              <w:top w:w="15" w:type="dxa"/>
              <w:left w:w="15" w:type="dxa"/>
              <w:right w:w="15" w:type="dxa"/>
            </w:tcMar>
            <w:vAlign w:val="center"/>
          </w:tcPr>
          <w:p w14:paraId="1606E1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灰白</w:t>
            </w:r>
          </w:p>
        </w:tc>
        <w:tc>
          <w:tcPr>
            <w:tcW w:w="865" w:type="dxa"/>
            <w:tcBorders>
              <w:tl2br w:val="nil"/>
              <w:tr2bl w:val="nil"/>
            </w:tcBorders>
            <w:shd w:val="clear" w:color="auto" w:fill="auto"/>
            <w:noWrap/>
            <w:tcMar>
              <w:top w:w="15" w:type="dxa"/>
              <w:left w:w="15" w:type="dxa"/>
              <w:right w:w="15" w:type="dxa"/>
            </w:tcMar>
            <w:vAlign w:val="center"/>
          </w:tcPr>
          <w:p w14:paraId="4733F5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822" w:type="dxa"/>
            <w:tcBorders>
              <w:tl2br w:val="nil"/>
              <w:tr2bl w:val="nil"/>
            </w:tcBorders>
            <w:shd w:val="clear" w:color="auto" w:fill="auto"/>
            <w:noWrap/>
            <w:tcMar>
              <w:top w:w="15" w:type="dxa"/>
              <w:left w:w="15" w:type="dxa"/>
              <w:right w:w="15" w:type="dxa"/>
            </w:tcMar>
            <w:vAlign w:val="center"/>
          </w:tcPr>
          <w:p w14:paraId="54DECC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6D12EF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全风化</w:t>
            </w:r>
          </w:p>
        </w:tc>
        <w:tc>
          <w:tcPr>
            <w:tcW w:w="4130" w:type="dxa"/>
            <w:tcBorders>
              <w:tl2br w:val="nil"/>
              <w:tr2bl w:val="nil"/>
            </w:tcBorders>
            <w:shd w:val="clear" w:color="auto" w:fill="auto"/>
            <w:noWrap/>
            <w:tcMar>
              <w:top w:w="15" w:type="dxa"/>
              <w:left w:w="15" w:type="dxa"/>
              <w:right w:w="15" w:type="dxa"/>
            </w:tcMar>
            <w:vAlign w:val="center"/>
          </w:tcPr>
          <w:p w14:paraId="4EA5D3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p>
        </w:tc>
      </w:tr>
    </w:tbl>
    <w:p w14:paraId="1E4C4891">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水文地质条件</w:t>
      </w:r>
    </w:p>
    <w:p w14:paraId="38009C4A">
      <w:pPr>
        <w:pStyle w:val="31"/>
        <w:adjustRightInd w:val="0"/>
        <w:snapToGrid w:val="0"/>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根据现场情况判断，</w:t>
      </w:r>
      <w:r>
        <w:rPr>
          <w:rFonts w:hint="default" w:ascii="Times New Roman" w:hAnsi="Times New Roman" w:cs="Times New Roman"/>
          <w:color w:val="auto"/>
          <w:highlight w:val="none"/>
          <w:lang w:eastAsia="zh-CN"/>
        </w:rPr>
        <w:t>本次调查钻探的</w:t>
      </w:r>
      <w:r>
        <w:rPr>
          <w:rFonts w:hint="default" w:ascii="Times New Roman" w:hAnsi="Times New Roman" w:cs="Times New Roman"/>
          <w:color w:val="auto"/>
          <w:highlight w:val="none"/>
        </w:rPr>
        <w:t>地下水类型为</w:t>
      </w:r>
      <w:r>
        <w:rPr>
          <w:rFonts w:hint="default" w:ascii="Times New Roman" w:hAnsi="Times New Roman" w:cs="Times New Roman"/>
          <w:color w:val="auto"/>
          <w:highlight w:val="none"/>
          <w:lang w:eastAsia="zh-CN"/>
        </w:rPr>
        <w:t>潜水，</w:t>
      </w:r>
      <w:r>
        <w:rPr>
          <w:rFonts w:hint="default" w:ascii="Times New Roman" w:hAnsi="Times New Roman" w:cs="Times New Roman"/>
          <w:color w:val="auto"/>
          <w:highlight w:val="none"/>
        </w:rPr>
        <w:t>本次调查最大钻探深度为</w:t>
      </w:r>
      <w:r>
        <w:rPr>
          <w:rFonts w:hint="default" w:ascii="Times New Roman" w:hAnsi="Times New Roman" w:cs="Times New Roman"/>
          <w:color w:val="auto"/>
          <w:highlight w:val="none"/>
          <w:lang w:val="en-US" w:eastAsia="zh-CN"/>
        </w:rPr>
        <w:t>11</w:t>
      </w:r>
      <w:r>
        <w:rPr>
          <w:rFonts w:hint="default" w:ascii="Times New Roman" w:hAnsi="Times New Roman" w:cs="Times New Roman"/>
          <w:color w:val="auto"/>
          <w:highlight w:val="none"/>
        </w:rPr>
        <w:t>.0m，现场测得的地下水</w:t>
      </w:r>
      <w:r>
        <w:rPr>
          <w:rFonts w:hint="default" w:ascii="Times New Roman" w:hAnsi="Times New Roman" w:cs="Times New Roman"/>
          <w:color w:val="auto"/>
          <w:highlight w:val="none"/>
          <w:lang w:eastAsia="zh-CN"/>
        </w:rPr>
        <w:t>相关信息</w:t>
      </w:r>
      <w:r>
        <w:rPr>
          <w:rFonts w:hint="default" w:ascii="Times New Roman" w:hAnsi="Times New Roman" w:cs="Times New Roman"/>
          <w:color w:val="auto"/>
          <w:highlight w:val="none"/>
        </w:rPr>
        <w:t>数据见表4-3-</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p>
    <w:p w14:paraId="43BDDCBD">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样品质量控制</w:t>
      </w:r>
    </w:p>
    <w:p w14:paraId="39624E3C">
      <w:pPr>
        <w:pStyle w:val="31"/>
        <w:keepNext w:val="0"/>
        <w:keepLines w:val="0"/>
        <w:pageBreakBefore w:val="0"/>
        <w:widowControl w:val="0"/>
        <w:kinsoku/>
        <w:wordWrap/>
        <w:overflowPunct/>
        <w:topLinePunct w:val="0"/>
        <w:autoSpaceDE/>
        <w:autoSpaceDN/>
        <w:bidi w:val="0"/>
        <w:adjustRightInd w:val="0"/>
        <w:snapToGrid w:val="0"/>
        <w:spacing w:after="0"/>
        <w:ind w:firstLine="48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采样人员均已通过岗前培训、持证上岗，切实掌握土壤、地下水采样技术，熟知采样器具的使用和样品固定、保存、运输条件。同批次水样</w:t>
      </w:r>
      <w:r>
        <w:rPr>
          <w:rFonts w:hint="default" w:ascii="Times New Roman" w:hAnsi="Times New Roman" w:cs="Times New Roman"/>
          <w:color w:val="auto"/>
          <w:highlight w:val="none"/>
          <w:lang w:eastAsia="zh-CN"/>
        </w:rPr>
        <w:t>、土样</w:t>
      </w:r>
      <w:r>
        <w:rPr>
          <w:rFonts w:hint="default" w:ascii="Times New Roman" w:hAnsi="Times New Roman" w:cs="Times New Roman"/>
          <w:color w:val="auto"/>
          <w:highlight w:val="none"/>
        </w:rPr>
        <w:t>，加采现场平行样。每次测试结束后，除必要的留存样外，样品容器均及时清洗</w:t>
      </w:r>
      <w:r>
        <w:rPr>
          <w:rFonts w:hint="default" w:ascii="Times New Roman" w:hAnsi="Times New Roman" w:cs="Times New Roman"/>
          <w:color w:val="auto"/>
          <w:highlight w:val="none"/>
          <w:lang w:eastAsia="zh-CN"/>
        </w:rPr>
        <w:t>。</w:t>
      </w:r>
    </w:p>
    <w:p w14:paraId="3EE8149A">
      <w:pPr>
        <w:pStyle w:val="31"/>
        <w:keepNext w:val="0"/>
        <w:keepLines w:val="0"/>
        <w:pageBreakBefore w:val="0"/>
        <w:widowControl w:val="0"/>
        <w:kinsoku/>
        <w:wordWrap/>
        <w:overflowPunct/>
        <w:topLinePunct w:val="0"/>
        <w:autoSpaceDE/>
        <w:autoSpaceDN/>
        <w:bidi w:val="0"/>
        <w:adjustRightInd w:val="0"/>
        <w:snapToGrid w:val="0"/>
        <w:spacing w:after="0"/>
        <w:ind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本次调查实际共采集</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个</w:t>
      </w: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平行</w:t>
      </w:r>
      <w:r>
        <w:rPr>
          <w:rFonts w:hint="default" w:ascii="Times New Roman" w:hAnsi="Times New Roman" w:cs="Times New Roman"/>
          <w:color w:val="auto"/>
          <w:highlight w:val="none"/>
          <w:lang w:eastAsia="zh-CN"/>
        </w:rPr>
        <w:t>盲</w:t>
      </w:r>
      <w:r>
        <w:rPr>
          <w:rFonts w:hint="default" w:ascii="Times New Roman" w:hAnsi="Times New Roman" w:cs="Times New Roman"/>
          <w:color w:val="auto"/>
          <w:highlight w:val="none"/>
        </w:rPr>
        <w:t>样，具体布设情况见表4-</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w:t>
      </w:r>
    </w:p>
    <w:p w14:paraId="3930A562">
      <w:pPr>
        <w:pStyle w:val="34"/>
        <w:keepNext w:val="0"/>
        <w:keepLines w:val="0"/>
        <w:pageBreakBefore w:val="0"/>
        <w:widowControl w:val="0"/>
        <w:kinsoku/>
        <w:wordWrap/>
        <w:overflowPunct/>
        <w:topLinePunct w:val="0"/>
        <w:autoSpaceDE/>
        <w:autoSpaceDN/>
        <w:bidi w:val="0"/>
        <w:adjustRightInd/>
        <w:snapToGrid/>
        <w:spacing w:before="0" w:beforeLines="0" w:line="240" w:lineRule="auto"/>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表4-3-</w:t>
      </w: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eastAsia="zh-CN"/>
        </w:rPr>
        <w:t>调查范围内</w:t>
      </w:r>
      <w:r>
        <w:rPr>
          <w:rFonts w:hint="default" w:ascii="Times New Roman" w:hAnsi="Times New Roman" w:eastAsia="宋体" w:cs="Times New Roman"/>
          <w:color w:val="auto"/>
          <w:highlight w:val="none"/>
        </w:rPr>
        <w:t>平行盲样布设情况</w:t>
      </w:r>
    </w:p>
    <w:tbl>
      <w:tblPr>
        <w:tblStyle w:val="21"/>
        <w:tblW w:w="9798"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38"/>
        <w:gridCol w:w="2330"/>
        <w:gridCol w:w="3022"/>
        <w:gridCol w:w="3108"/>
      </w:tblGrid>
      <w:tr w14:paraId="514332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blHeader/>
        </w:trPr>
        <w:tc>
          <w:tcPr>
            <w:tcW w:w="1338" w:type="dxa"/>
            <w:tcBorders>
              <w:bottom w:val="single" w:color="auto" w:sz="12" w:space="0"/>
            </w:tcBorders>
            <w:noWrap w:val="0"/>
            <w:vAlign w:val="center"/>
          </w:tcPr>
          <w:p w14:paraId="1918288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序号</w:t>
            </w:r>
          </w:p>
        </w:tc>
        <w:tc>
          <w:tcPr>
            <w:tcW w:w="2330" w:type="dxa"/>
            <w:tcBorders>
              <w:bottom w:val="single" w:color="auto" w:sz="12" w:space="0"/>
            </w:tcBorders>
            <w:noWrap w:val="0"/>
            <w:vAlign w:val="center"/>
          </w:tcPr>
          <w:p w14:paraId="3B86950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平行盲样编号</w:t>
            </w:r>
          </w:p>
        </w:tc>
        <w:tc>
          <w:tcPr>
            <w:tcW w:w="3022" w:type="dxa"/>
            <w:tcBorders>
              <w:bottom w:val="single" w:color="auto" w:sz="12" w:space="0"/>
            </w:tcBorders>
            <w:noWrap w:val="0"/>
            <w:vAlign w:val="center"/>
          </w:tcPr>
          <w:p w14:paraId="75903CB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对应采样点位信息</w:t>
            </w:r>
          </w:p>
        </w:tc>
        <w:tc>
          <w:tcPr>
            <w:tcW w:w="3108" w:type="dxa"/>
            <w:tcBorders>
              <w:bottom w:val="single" w:color="auto" w:sz="12" w:space="0"/>
            </w:tcBorders>
            <w:noWrap w:val="0"/>
            <w:vAlign w:val="center"/>
          </w:tcPr>
          <w:p w14:paraId="4ADB756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样品类型</w:t>
            </w:r>
          </w:p>
        </w:tc>
      </w:tr>
      <w:tr w14:paraId="7C1B8D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338" w:type="dxa"/>
            <w:tcBorders>
              <w:top w:val="single" w:color="auto" w:sz="12" w:space="0"/>
            </w:tcBorders>
            <w:noWrap w:val="0"/>
            <w:vAlign w:val="center"/>
          </w:tcPr>
          <w:p w14:paraId="237D802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w:t>
            </w:r>
          </w:p>
        </w:tc>
        <w:tc>
          <w:tcPr>
            <w:tcW w:w="2330" w:type="dxa"/>
            <w:tcBorders>
              <w:top w:val="single" w:color="auto" w:sz="12" w:space="0"/>
            </w:tcBorders>
            <w:noWrap w:val="0"/>
            <w:vAlign w:val="center"/>
          </w:tcPr>
          <w:p w14:paraId="37615A4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Cs/>
                <w:color w:val="auto"/>
                <w:sz w:val="21"/>
                <w:szCs w:val="21"/>
                <w:highlight w:val="none"/>
                <w:lang w:val="en-US"/>
              </w:rPr>
            </w:pPr>
            <w:r>
              <w:rPr>
                <w:rFonts w:hint="default" w:ascii="Times New Roman" w:hAnsi="Times New Roman" w:cs="Times New Roman"/>
                <w:bCs/>
                <w:color w:val="auto"/>
                <w:sz w:val="21"/>
                <w:szCs w:val="21"/>
                <w:highlight w:val="none"/>
              </w:rPr>
              <w:t>QC-</w:t>
            </w:r>
            <w:r>
              <w:rPr>
                <w:rFonts w:hint="default" w:ascii="Times New Roman" w:hAnsi="Times New Roman" w:cs="Times New Roman"/>
                <w:bCs/>
                <w:color w:val="auto"/>
                <w:sz w:val="21"/>
                <w:szCs w:val="21"/>
                <w:highlight w:val="none"/>
                <w:lang w:val="en-US"/>
              </w:rPr>
              <w:t>3</w:t>
            </w:r>
          </w:p>
        </w:tc>
        <w:tc>
          <w:tcPr>
            <w:tcW w:w="3022" w:type="dxa"/>
            <w:tcBorders>
              <w:top w:val="single" w:color="auto" w:sz="12" w:space="0"/>
            </w:tcBorders>
            <w:noWrap w:val="0"/>
            <w:vAlign w:val="center"/>
          </w:tcPr>
          <w:p w14:paraId="61E2A4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SJG-2-75</w:t>
            </w:r>
          </w:p>
        </w:tc>
        <w:tc>
          <w:tcPr>
            <w:tcW w:w="3108" w:type="dxa"/>
            <w:tcBorders>
              <w:top w:val="single" w:color="auto" w:sz="12" w:space="0"/>
            </w:tcBorders>
            <w:noWrap w:val="0"/>
            <w:vAlign w:val="center"/>
          </w:tcPr>
          <w:p w14:paraId="521BEA4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土壤</w:t>
            </w:r>
          </w:p>
        </w:tc>
      </w:tr>
    </w:tbl>
    <w:p w14:paraId="0A352E07">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土壤样品采集</w:t>
      </w:r>
    </w:p>
    <w:p w14:paraId="4B827CE8">
      <w:pPr>
        <w:pStyle w:val="31"/>
        <w:adjustRightInd w:val="0"/>
        <w:snapToGrid w:val="0"/>
        <w:spacing w:after="0"/>
        <w:ind w:firstLine="48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结合</w:t>
      </w:r>
      <w:r>
        <w:rPr>
          <w:rFonts w:hint="default" w:ascii="Times New Roman" w:hAnsi="Times New Roman" w:cs="Times New Roman"/>
          <w:color w:val="auto"/>
          <w:highlight w:val="none"/>
          <w:lang w:eastAsia="zh-CN"/>
        </w:rPr>
        <w:t>园区</w:t>
      </w:r>
      <w:r>
        <w:rPr>
          <w:rFonts w:hint="default" w:ascii="Times New Roman" w:hAnsi="Times New Roman" w:cs="Times New Roman"/>
          <w:color w:val="auto"/>
          <w:highlight w:val="none"/>
        </w:rPr>
        <w:t>实际情况，本次调查实际共布设土壤监测点</w:t>
      </w:r>
      <w:r>
        <w:rPr>
          <w:rFonts w:hint="default" w:ascii="Times New Roman" w:hAnsi="Times New Roman" w:cs="Times New Roman"/>
          <w:color w:val="auto"/>
          <w:highlight w:val="none"/>
          <w:lang w:val="en-US" w:eastAsia="zh-CN"/>
        </w:rPr>
        <w:t>16</w:t>
      </w:r>
      <w:r>
        <w:rPr>
          <w:rFonts w:hint="default" w:ascii="Times New Roman" w:hAnsi="Times New Roman" w:cs="Times New Roman"/>
          <w:color w:val="auto"/>
          <w:highlight w:val="none"/>
        </w:rPr>
        <w:t>个，采集土壤样品</w:t>
      </w:r>
      <w:r>
        <w:rPr>
          <w:rFonts w:hint="default" w:ascii="Times New Roman" w:hAnsi="Times New Roman" w:cs="Times New Roman"/>
          <w:color w:val="auto"/>
          <w:highlight w:val="none"/>
          <w:lang w:val="en-US" w:eastAsia="zh-CN"/>
        </w:rPr>
        <w:t>16个，另采集现场平行盲样1个及运输空白样1个</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共</w:t>
      </w:r>
      <w:r>
        <w:rPr>
          <w:rFonts w:hint="default" w:ascii="Times New Roman" w:hAnsi="Times New Roman" w:cs="Times New Roman"/>
          <w:color w:val="auto"/>
          <w:highlight w:val="none"/>
        </w:rPr>
        <w:t>送检土壤样品</w:t>
      </w:r>
      <w:r>
        <w:rPr>
          <w:rFonts w:hint="default" w:ascii="Times New Roman" w:hAnsi="Times New Roman" w:cs="Times New Roman"/>
          <w:color w:val="auto"/>
          <w:highlight w:val="none"/>
          <w:lang w:val="en-US" w:eastAsia="zh-CN"/>
        </w:rPr>
        <w:t>18</w:t>
      </w:r>
      <w:r>
        <w:rPr>
          <w:rFonts w:hint="default" w:ascii="Times New Roman" w:hAnsi="Times New Roman" w:cs="Times New Roman"/>
          <w:color w:val="auto"/>
          <w:highlight w:val="none"/>
        </w:rPr>
        <w:t>个。</w:t>
      </w:r>
      <w:r>
        <w:rPr>
          <w:rFonts w:hint="default" w:ascii="Times New Roman" w:hAnsi="Times New Roman" w:cs="Times New Roman"/>
          <w:color w:val="auto"/>
          <w:highlight w:val="none"/>
          <w:lang w:val="en-US" w:eastAsia="zh-CN"/>
        </w:rPr>
        <w:t>实际采样点位于方案阶段一致，点位位置见表3-1-1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现场记录见附件</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w:t>
      </w:r>
      <w:r>
        <w:rPr>
          <w:rFonts w:hint="default" w:ascii="Times New Roman" w:hAnsi="Times New Roman" w:cs="Times New Roman"/>
          <w:bCs/>
          <w:caps/>
          <w:color w:val="auto"/>
          <w:szCs w:val="24"/>
          <w:highlight w:val="none"/>
          <w:lang w:val="en-US" w:eastAsia="zh-CN"/>
        </w:rPr>
        <w:t>土壤和地下水实际采样点位分布图见附图6</w:t>
      </w:r>
      <w:r>
        <w:rPr>
          <w:rFonts w:hint="default" w:ascii="Times New Roman" w:hAnsi="Times New Roman" w:cs="Times New Roman"/>
          <w:color w:val="auto"/>
          <w:highlight w:val="none"/>
          <w:lang w:eastAsia="zh-CN"/>
        </w:rPr>
        <w:t>。</w:t>
      </w:r>
    </w:p>
    <w:p w14:paraId="749ABA09">
      <w:pPr>
        <w:pStyle w:val="31"/>
        <w:adjustRightInd w:val="0"/>
        <w:snapToGrid w:val="0"/>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园区</w:t>
      </w:r>
      <w:r>
        <w:rPr>
          <w:rFonts w:hint="default" w:ascii="Times New Roman" w:hAnsi="Times New Roman" w:cs="Times New Roman"/>
          <w:color w:val="auto"/>
          <w:highlight w:val="none"/>
        </w:rPr>
        <w:t>各采样点位土层土壤类型、颜色、湿度、气味、夹杂物情况等性状，以及土壤样品采集情况详见表4-</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p>
    <w:p w14:paraId="41777061">
      <w:pPr>
        <w:spacing w:line="240" w:lineRule="auto"/>
        <w:jc w:val="center"/>
        <w:rPr>
          <w:rFonts w:hint="default" w:ascii="Times New Roman" w:hAnsi="Times New Roman" w:eastAsia="黑体" w:cs="Times New Roman"/>
          <w:b/>
          <w:color w:val="auto"/>
          <w:sz w:val="24"/>
          <w:szCs w:val="20"/>
          <w:highlight w:val="none"/>
        </w:rPr>
        <w:sectPr>
          <w:headerReference r:id="rId15"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06D57EE8">
      <w:pPr>
        <w:spacing w:line="400" w:lineRule="atLeast"/>
        <w:jc w:val="center"/>
        <w:rPr>
          <w:rFonts w:hint="default" w:ascii="Times New Roman" w:hAnsi="Times New Roman" w:cs="Times New Roman"/>
          <w:color w:val="auto"/>
          <w:highlight w:val="none"/>
        </w:rPr>
      </w:pPr>
      <w:r>
        <w:rPr>
          <w:rFonts w:hint="default" w:ascii="Times New Roman" w:hAnsi="Times New Roman" w:eastAsia="黑体" w:cs="Times New Roman"/>
          <w:b/>
          <w:color w:val="auto"/>
          <w:sz w:val="24"/>
          <w:szCs w:val="20"/>
          <w:highlight w:val="none"/>
        </w:rPr>
        <w:t>表4-</w:t>
      </w:r>
      <w:r>
        <w:rPr>
          <w:rFonts w:hint="default" w:ascii="Times New Roman" w:hAnsi="Times New Roman" w:eastAsia="黑体" w:cs="Times New Roman"/>
          <w:b/>
          <w:color w:val="auto"/>
          <w:sz w:val="24"/>
          <w:szCs w:val="20"/>
          <w:highlight w:val="none"/>
          <w:lang w:val="en-US" w:eastAsia="zh-CN"/>
        </w:rPr>
        <w:t>3</w:t>
      </w:r>
      <w:r>
        <w:rPr>
          <w:rFonts w:hint="default" w:ascii="Times New Roman" w:hAnsi="Times New Roman" w:eastAsia="黑体" w:cs="Times New Roman"/>
          <w:b/>
          <w:color w:val="auto"/>
          <w:sz w:val="24"/>
          <w:szCs w:val="20"/>
          <w:highlight w:val="none"/>
        </w:rPr>
        <w:t>-</w:t>
      </w:r>
      <w:r>
        <w:rPr>
          <w:rFonts w:hint="default" w:ascii="Times New Roman" w:hAnsi="Times New Roman" w:eastAsia="黑体" w:cs="Times New Roman"/>
          <w:b/>
          <w:color w:val="auto"/>
          <w:sz w:val="24"/>
          <w:szCs w:val="20"/>
          <w:highlight w:val="none"/>
          <w:lang w:val="en-US" w:eastAsia="zh-CN"/>
        </w:rPr>
        <w:t>3</w:t>
      </w:r>
      <w:r>
        <w:rPr>
          <w:rFonts w:hint="default" w:ascii="Times New Roman" w:hAnsi="Times New Roman" w:eastAsia="黑体" w:cs="Times New Roman"/>
          <w:b/>
          <w:color w:val="auto"/>
          <w:sz w:val="24"/>
          <w:szCs w:val="20"/>
          <w:highlight w:val="none"/>
        </w:rPr>
        <w:t xml:space="preserve">  土壤采样点位现场记录统计表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44"/>
        <w:gridCol w:w="1071"/>
        <w:gridCol w:w="1282"/>
        <w:gridCol w:w="1016"/>
        <w:gridCol w:w="782"/>
        <w:gridCol w:w="1069"/>
        <w:gridCol w:w="739"/>
        <w:gridCol w:w="903"/>
        <w:gridCol w:w="7293"/>
      </w:tblGrid>
      <w:tr w14:paraId="7F04A3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bottom w:val="single" w:color="auto" w:sz="12" w:space="0"/>
              <w:tl2br w:val="nil"/>
              <w:tr2bl w:val="nil"/>
            </w:tcBorders>
            <w:shd w:val="clear" w:color="auto" w:fill="auto"/>
            <w:noWrap/>
            <w:tcMar>
              <w:top w:w="15" w:type="dxa"/>
              <w:left w:w="15" w:type="dxa"/>
              <w:right w:w="15" w:type="dxa"/>
            </w:tcMar>
            <w:vAlign w:val="center"/>
          </w:tcPr>
          <w:p w14:paraId="567E3E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序号</w:t>
            </w:r>
          </w:p>
        </w:tc>
        <w:tc>
          <w:tcPr>
            <w:tcW w:w="366" w:type="pct"/>
            <w:tcBorders>
              <w:bottom w:val="single" w:color="auto" w:sz="12" w:space="0"/>
              <w:tl2br w:val="nil"/>
              <w:tr2bl w:val="nil"/>
            </w:tcBorders>
            <w:shd w:val="clear" w:color="auto" w:fill="auto"/>
            <w:noWrap/>
            <w:tcMar>
              <w:top w:w="15" w:type="dxa"/>
              <w:left w:w="15" w:type="dxa"/>
              <w:right w:w="15" w:type="dxa"/>
            </w:tcMar>
            <w:vAlign w:val="center"/>
          </w:tcPr>
          <w:p w14:paraId="2A86E4F1">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color w:val="auto"/>
                <w:sz w:val="21"/>
                <w:szCs w:val="21"/>
                <w:highlight w:val="none"/>
                <w:lang w:val="en-US" w:eastAsia="zh-CN"/>
              </w:rPr>
              <w:t>点位类型</w:t>
            </w:r>
          </w:p>
        </w:tc>
        <w:tc>
          <w:tcPr>
            <w:tcW w:w="439" w:type="pct"/>
            <w:tcBorders>
              <w:bottom w:val="single" w:color="auto" w:sz="12" w:space="0"/>
              <w:tl2br w:val="nil"/>
              <w:tr2bl w:val="nil"/>
            </w:tcBorders>
            <w:shd w:val="clear" w:color="auto" w:fill="auto"/>
            <w:noWrap/>
            <w:tcMar>
              <w:top w:w="15" w:type="dxa"/>
              <w:left w:w="15" w:type="dxa"/>
              <w:right w:w="15" w:type="dxa"/>
            </w:tcMar>
            <w:vAlign w:val="center"/>
          </w:tcPr>
          <w:p w14:paraId="13081E1D">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color w:val="auto"/>
                <w:sz w:val="21"/>
                <w:szCs w:val="21"/>
                <w:highlight w:val="none"/>
                <w:lang w:val="en-US" w:eastAsia="zh-CN"/>
              </w:rPr>
              <w:t>检测点位</w:t>
            </w:r>
          </w:p>
        </w:tc>
        <w:tc>
          <w:tcPr>
            <w:tcW w:w="348" w:type="pct"/>
            <w:tcBorders>
              <w:bottom w:val="single" w:color="auto" w:sz="12" w:space="0"/>
              <w:tl2br w:val="nil"/>
              <w:tr2bl w:val="nil"/>
            </w:tcBorders>
            <w:shd w:val="clear" w:color="auto" w:fill="auto"/>
            <w:noWrap/>
            <w:tcMar>
              <w:top w:w="15" w:type="dxa"/>
              <w:left w:w="15" w:type="dxa"/>
              <w:right w:w="15" w:type="dxa"/>
            </w:tcMar>
            <w:vAlign w:val="center"/>
          </w:tcPr>
          <w:p w14:paraId="7D4776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土壤类型</w:t>
            </w:r>
          </w:p>
        </w:tc>
        <w:tc>
          <w:tcPr>
            <w:tcW w:w="268" w:type="pct"/>
            <w:tcBorders>
              <w:bottom w:val="single" w:color="auto" w:sz="12" w:space="0"/>
              <w:tl2br w:val="nil"/>
              <w:tr2bl w:val="nil"/>
            </w:tcBorders>
            <w:shd w:val="clear" w:color="auto" w:fill="auto"/>
            <w:noWrap/>
            <w:tcMar>
              <w:top w:w="15" w:type="dxa"/>
              <w:left w:w="15" w:type="dxa"/>
              <w:right w:w="15" w:type="dxa"/>
            </w:tcMar>
            <w:vAlign w:val="center"/>
          </w:tcPr>
          <w:p w14:paraId="41A138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颜色</w:t>
            </w:r>
          </w:p>
        </w:tc>
        <w:tc>
          <w:tcPr>
            <w:tcW w:w="366" w:type="pct"/>
            <w:tcBorders>
              <w:bottom w:val="single" w:color="auto" w:sz="12" w:space="0"/>
              <w:tl2br w:val="nil"/>
              <w:tr2bl w:val="nil"/>
            </w:tcBorders>
            <w:shd w:val="clear" w:color="auto" w:fill="auto"/>
            <w:noWrap/>
            <w:tcMar>
              <w:top w:w="15" w:type="dxa"/>
              <w:left w:w="15" w:type="dxa"/>
              <w:right w:w="15" w:type="dxa"/>
            </w:tcMar>
            <w:vAlign w:val="center"/>
          </w:tcPr>
          <w:p w14:paraId="1FD57E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湿度</w:t>
            </w:r>
          </w:p>
        </w:tc>
        <w:tc>
          <w:tcPr>
            <w:tcW w:w="252" w:type="pct"/>
            <w:tcBorders>
              <w:bottom w:val="single" w:color="auto" w:sz="12" w:space="0"/>
              <w:tl2br w:val="nil"/>
              <w:tr2bl w:val="nil"/>
            </w:tcBorders>
            <w:shd w:val="clear" w:color="auto" w:fill="auto"/>
            <w:noWrap/>
            <w:tcMar>
              <w:top w:w="15" w:type="dxa"/>
              <w:left w:w="15" w:type="dxa"/>
              <w:right w:w="15" w:type="dxa"/>
            </w:tcMar>
            <w:vAlign w:val="center"/>
          </w:tcPr>
          <w:p w14:paraId="60AE12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气味</w:t>
            </w:r>
          </w:p>
        </w:tc>
        <w:tc>
          <w:tcPr>
            <w:tcW w:w="309" w:type="pct"/>
            <w:tcBorders>
              <w:bottom w:val="single" w:color="auto" w:sz="12" w:space="0"/>
              <w:tl2br w:val="nil"/>
              <w:tr2bl w:val="nil"/>
            </w:tcBorders>
            <w:shd w:val="clear" w:color="auto" w:fill="auto"/>
            <w:noWrap/>
            <w:tcMar>
              <w:top w:w="15" w:type="dxa"/>
              <w:left w:w="15" w:type="dxa"/>
              <w:right w:w="15" w:type="dxa"/>
            </w:tcMar>
            <w:vAlign w:val="center"/>
          </w:tcPr>
          <w:p w14:paraId="1F1F95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可塑性</w:t>
            </w:r>
          </w:p>
        </w:tc>
        <w:tc>
          <w:tcPr>
            <w:tcW w:w="2497" w:type="pct"/>
            <w:tcBorders>
              <w:bottom w:val="single" w:color="auto" w:sz="12" w:space="0"/>
              <w:tl2br w:val="nil"/>
              <w:tr2bl w:val="nil"/>
            </w:tcBorders>
            <w:shd w:val="clear" w:color="auto" w:fill="auto"/>
            <w:noWrap/>
            <w:tcMar>
              <w:top w:w="15" w:type="dxa"/>
              <w:left w:w="15" w:type="dxa"/>
              <w:right w:w="15" w:type="dxa"/>
            </w:tcMar>
            <w:vAlign w:val="center"/>
          </w:tcPr>
          <w:p w14:paraId="277F01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夹杂物</w:t>
            </w:r>
          </w:p>
        </w:tc>
      </w:tr>
      <w:tr w14:paraId="6CFDA7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op w:val="single" w:color="auto" w:sz="12" w:space="0"/>
              <w:tl2br w:val="nil"/>
              <w:tr2bl w:val="nil"/>
            </w:tcBorders>
            <w:shd w:val="clear" w:color="auto" w:fill="auto"/>
            <w:noWrap/>
            <w:tcMar>
              <w:top w:w="15" w:type="dxa"/>
              <w:left w:w="15" w:type="dxa"/>
              <w:right w:w="15" w:type="dxa"/>
            </w:tcMar>
            <w:vAlign w:val="center"/>
          </w:tcPr>
          <w:p w14:paraId="0E6E9B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366" w:type="pct"/>
            <w:vMerge w:val="restart"/>
            <w:tcBorders>
              <w:top w:val="single" w:color="auto" w:sz="12" w:space="0"/>
              <w:tl2br w:val="nil"/>
              <w:tr2bl w:val="nil"/>
            </w:tcBorders>
            <w:shd w:val="clear" w:color="auto" w:fill="auto"/>
            <w:noWrap/>
            <w:tcMar>
              <w:top w:w="15" w:type="dxa"/>
              <w:left w:w="15" w:type="dxa"/>
              <w:right w:w="15" w:type="dxa"/>
            </w:tcMar>
            <w:vAlign w:val="center"/>
          </w:tcPr>
          <w:p w14:paraId="43A20C5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工业园周边点位</w:t>
            </w:r>
          </w:p>
        </w:tc>
        <w:tc>
          <w:tcPr>
            <w:tcW w:w="439" w:type="pct"/>
            <w:tcBorders>
              <w:top w:val="single" w:color="auto" w:sz="12" w:space="0"/>
              <w:tl2br w:val="nil"/>
              <w:tr2bl w:val="nil"/>
            </w:tcBorders>
            <w:shd w:val="clear" w:color="auto" w:fill="auto"/>
            <w:noWrap/>
            <w:tcMar>
              <w:top w:w="15" w:type="dxa"/>
              <w:left w:w="15" w:type="dxa"/>
              <w:right w:w="15" w:type="dxa"/>
            </w:tcMar>
            <w:vAlign w:val="center"/>
          </w:tcPr>
          <w:p w14:paraId="54AEF0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348" w:type="pct"/>
            <w:tcBorders>
              <w:top w:val="single" w:color="auto" w:sz="12" w:space="0"/>
              <w:tl2br w:val="nil"/>
              <w:tr2bl w:val="nil"/>
            </w:tcBorders>
            <w:shd w:val="clear" w:color="auto" w:fill="auto"/>
            <w:noWrap/>
            <w:tcMar>
              <w:top w:w="15" w:type="dxa"/>
              <w:left w:w="15" w:type="dxa"/>
              <w:right w:w="15" w:type="dxa"/>
            </w:tcMar>
            <w:vAlign w:val="center"/>
          </w:tcPr>
          <w:p w14:paraId="70621B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素填土</w:t>
            </w:r>
          </w:p>
        </w:tc>
        <w:tc>
          <w:tcPr>
            <w:tcW w:w="268" w:type="pct"/>
            <w:tcBorders>
              <w:top w:val="single" w:color="auto" w:sz="12" w:space="0"/>
              <w:tl2br w:val="nil"/>
              <w:tr2bl w:val="nil"/>
            </w:tcBorders>
            <w:shd w:val="clear" w:color="auto" w:fill="auto"/>
            <w:noWrap/>
            <w:tcMar>
              <w:top w:w="15" w:type="dxa"/>
              <w:left w:w="15" w:type="dxa"/>
              <w:right w:w="15" w:type="dxa"/>
            </w:tcMar>
            <w:vAlign w:val="center"/>
          </w:tcPr>
          <w:p w14:paraId="445525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棕褐色</w:t>
            </w:r>
          </w:p>
        </w:tc>
        <w:tc>
          <w:tcPr>
            <w:tcW w:w="366" w:type="pct"/>
            <w:tcBorders>
              <w:top w:val="single" w:color="auto" w:sz="12" w:space="0"/>
              <w:tl2br w:val="nil"/>
              <w:tr2bl w:val="nil"/>
            </w:tcBorders>
            <w:shd w:val="clear" w:color="auto" w:fill="auto"/>
            <w:noWrap/>
            <w:tcMar>
              <w:top w:w="15" w:type="dxa"/>
              <w:left w:w="15" w:type="dxa"/>
              <w:right w:w="15" w:type="dxa"/>
            </w:tcMar>
            <w:vAlign w:val="center"/>
          </w:tcPr>
          <w:p w14:paraId="1250DD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252" w:type="pct"/>
            <w:tcBorders>
              <w:top w:val="single" w:color="auto" w:sz="12" w:space="0"/>
              <w:tl2br w:val="nil"/>
              <w:tr2bl w:val="nil"/>
            </w:tcBorders>
            <w:shd w:val="clear" w:color="auto" w:fill="auto"/>
            <w:noWrap/>
            <w:tcMar>
              <w:top w:w="15" w:type="dxa"/>
              <w:left w:w="15" w:type="dxa"/>
              <w:right w:w="15" w:type="dxa"/>
            </w:tcMar>
            <w:vAlign w:val="center"/>
          </w:tcPr>
          <w:p w14:paraId="1066E9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op w:val="single" w:color="auto" w:sz="12" w:space="0"/>
              <w:tl2br w:val="nil"/>
              <w:tr2bl w:val="nil"/>
            </w:tcBorders>
            <w:shd w:val="clear" w:color="auto" w:fill="auto"/>
            <w:noWrap/>
            <w:tcMar>
              <w:top w:w="15" w:type="dxa"/>
              <w:left w:w="15" w:type="dxa"/>
              <w:right w:w="15" w:type="dxa"/>
            </w:tcMar>
            <w:vAlign w:val="center"/>
          </w:tcPr>
          <w:p w14:paraId="7D4E42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op w:val="single" w:color="auto" w:sz="12" w:space="0"/>
              <w:tl2br w:val="nil"/>
              <w:tr2bl w:val="nil"/>
            </w:tcBorders>
            <w:shd w:val="clear" w:color="auto" w:fill="auto"/>
            <w:noWrap/>
            <w:tcMar>
              <w:top w:w="15" w:type="dxa"/>
              <w:left w:w="15" w:type="dxa"/>
              <w:right w:w="15" w:type="dxa"/>
            </w:tcMar>
            <w:vAlign w:val="center"/>
          </w:tcPr>
          <w:p w14:paraId="4F69E9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表面含根系，含少量砂质</w:t>
            </w:r>
          </w:p>
        </w:tc>
      </w:tr>
      <w:tr w14:paraId="588D5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60B8B3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366" w:type="pct"/>
            <w:vMerge w:val="continue"/>
            <w:tcBorders>
              <w:tl2br w:val="nil"/>
              <w:tr2bl w:val="nil"/>
            </w:tcBorders>
            <w:shd w:val="clear" w:color="auto" w:fill="auto"/>
            <w:noWrap/>
            <w:tcMar>
              <w:top w:w="15" w:type="dxa"/>
              <w:left w:w="15" w:type="dxa"/>
              <w:right w:w="15" w:type="dxa"/>
            </w:tcMar>
            <w:vAlign w:val="center"/>
          </w:tcPr>
          <w:p w14:paraId="37A285B8">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429DA9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348" w:type="pct"/>
            <w:tcBorders>
              <w:tl2br w:val="nil"/>
              <w:tr2bl w:val="nil"/>
            </w:tcBorders>
            <w:shd w:val="clear" w:color="auto" w:fill="auto"/>
            <w:noWrap/>
            <w:tcMar>
              <w:top w:w="15" w:type="dxa"/>
              <w:left w:w="15" w:type="dxa"/>
              <w:right w:w="15" w:type="dxa"/>
            </w:tcMar>
            <w:vAlign w:val="center"/>
          </w:tcPr>
          <w:p w14:paraId="4D3C03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3F4ACC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47ADF1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252" w:type="pct"/>
            <w:tcBorders>
              <w:tl2br w:val="nil"/>
              <w:tr2bl w:val="nil"/>
            </w:tcBorders>
            <w:shd w:val="clear" w:color="auto" w:fill="auto"/>
            <w:noWrap/>
            <w:tcMar>
              <w:top w:w="15" w:type="dxa"/>
              <w:left w:w="15" w:type="dxa"/>
              <w:right w:w="15" w:type="dxa"/>
            </w:tcMar>
            <w:vAlign w:val="center"/>
          </w:tcPr>
          <w:p w14:paraId="0FDF9A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01B6BA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610D90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表面含根系、石块、砂质，下层由粘土组成（原始土）</w:t>
            </w:r>
          </w:p>
        </w:tc>
      </w:tr>
      <w:tr w14:paraId="4EBF33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5E63A2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366" w:type="pct"/>
            <w:vMerge w:val="continue"/>
            <w:tcBorders>
              <w:tl2br w:val="nil"/>
              <w:tr2bl w:val="nil"/>
            </w:tcBorders>
            <w:shd w:val="clear" w:color="auto" w:fill="auto"/>
            <w:noWrap/>
            <w:tcMar>
              <w:top w:w="15" w:type="dxa"/>
              <w:left w:w="15" w:type="dxa"/>
              <w:right w:w="15" w:type="dxa"/>
            </w:tcMar>
            <w:vAlign w:val="center"/>
          </w:tcPr>
          <w:p w14:paraId="44B8F891">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704FBA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348" w:type="pct"/>
            <w:tcBorders>
              <w:tl2br w:val="nil"/>
              <w:tr2bl w:val="nil"/>
            </w:tcBorders>
            <w:shd w:val="clear" w:color="auto" w:fill="auto"/>
            <w:noWrap/>
            <w:tcMar>
              <w:top w:w="15" w:type="dxa"/>
              <w:left w:w="15" w:type="dxa"/>
              <w:right w:w="15" w:type="dxa"/>
            </w:tcMar>
            <w:vAlign w:val="center"/>
          </w:tcPr>
          <w:p w14:paraId="6261D1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素填土</w:t>
            </w:r>
          </w:p>
        </w:tc>
        <w:tc>
          <w:tcPr>
            <w:tcW w:w="268" w:type="pct"/>
            <w:tcBorders>
              <w:tl2br w:val="nil"/>
              <w:tr2bl w:val="nil"/>
            </w:tcBorders>
            <w:shd w:val="clear" w:color="auto" w:fill="auto"/>
            <w:noWrap/>
            <w:tcMar>
              <w:top w:w="15" w:type="dxa"/>
              <w:left w:w="15" w:type="dxa"/>
              <w:right w:w="15" w:type="dxa"/>
            </w:tcMar>
            <w:vAlign w:val="center"/>
          </w:tcPr>
          <w:p w14:paraId="054160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黄褐色</w:t>
            </w:r>
          </w:p>
        </w:tc>
        <w:tc>
          <w:tcPr>
            <w:tcW w:w="366" w:type="pct"/>
            <w:tcBorders>
              <w:tl2br w:val="nil"/>
              <w:tr2bl w:val="nil"/>
            </w:tcBorders>
            <w:shd w:val="clear" w:color="auto" w:fill="auto"/>
            <w:noWrap/>
            <w:tcMar>
              <w:top w:w="15" w:type="dxa"/>
              <w:left w:w="15" w:type="dxa"/>
              <w:right w:w="15" w:type="dxa"/>
            </w:tcMar>
            <w:vAlign w:val="center"/>
          </w:tcPr>
          <w:p w14:paraId="5C399D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2F4D42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2B8F6D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2B1540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表面含根系、石块，下层主要由粉砂质粘土组成，含氧化物</w:t>
            </w:r>
          </w:p>
        </w:tc>
      </w:tr>
      <w:tr w14:paraId="05DC3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3A86D5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366" w:type="pct"/>
            <w:vMerge w:val="continue"/>
            <w:tcBorders>
              <w:tl2br w:val="nil"/>
              <w:tr2bl w:val="nil"/>
            </w:tcBorders>
            <w:shd w:val="clear" w:color="auto" w:fill="auto"/>
            <w:noWrap/>
            <w:tcMar>
              <w:top w:w="15" w:type="dxa"/>
              <w:left w:w="15" w:type="dxa"/>
              <w:right w:w="15" w:type="dxa"/>
            </w:tcMar>
            <w:vAlign w:val="center"/>
          </w:tcPr>
          <w:p w14:paraId="43AC3BF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49A524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348" w:type="pct"/>
            <w:tcBorders>
              <w:tl2br w:val="nil"/>
              <w:tr2bl w:val="nil"/>
            </w:tcBorders>
            <w:shd w:val="clear" w:color="auto" w:fill="auto"/>
            <w:noWrap/>
            <w:tcMar>
              <w:top w:w="15" w:type="dxa"/>
              <w:left w:w="15" w:type="dxa"/>
              <w:right w:w="15" w:type="dxa"/>
            </w:tcMar>
            <w:vAlign w:val="center"/>
          </w:tcPr>
          <w:p w14:paraId="6D27D1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素填土</w:t>
            </w:r>
          </w:p>
        </w:tc>
        <w:tc>
          <w:tcPr>
            <w:tcW w:w="268" w:type="pct"/>
            <w:tcBorders>
              <w:tl2br w:val="nil"/>
              <w:tr2bl w:val="nil"/>
            </w:tcBorders>
            <w:shd w:val="clear" w:color="auto" w:fill="auto"/>
            <w:noWrap/>
            <w:tcMar>
              <w:top w:w="15" w:type="dxa"/>
              <w:left w:w="15" w:type="dxa"/>
              <w:right w:w="15" w:type="dxa"/>
            </w:tcMar>
            <w:vAlign w:val="center"/>
          </w:tcPr>
          <w:p w14:paraId="3248A3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黄褐色</w:t>
            </w:r>
          </w:p>
        </w:tc>
        <w:tc>
          <w:tcPr>
            <w:tcW w:w="366" w:type="pct"/>
            <w:tcBorders>
              <w:tl2br w:val="nil"/>
              <w:tr2bl w:val="nil"/>
            </w:tcBorders>
            <w:shd w:val="clear" w:color="auto" w:fill="auto"/>
            <w:noWrap/>
            <w:tcMar>
              <w:top w:w="15" w:type="dxa"/>
              <w:left w:w="15" w:type="dxa"/>
              <w:right w:w="15" w:type="dxa"/>
            </w:tcMar>
            <w:vAlign w:val="center"/>
          </w:tcPr>
          <w:p w14:paraId="176DB4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4797AA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34DD9E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779BB3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表面含根系、石块，含较多腐殖质，下层主要由粘土组成，含高岭土</w:t>
            </w:r>
          </w:p>
        </w:tc>
      </w:tr>
      <w:tr w14:paraId="618CE3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6C0A05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366" w:type="pct"/>
            <w:vMerge w:val="continue"/>
            <w:tcBorders>
              <w:tl2br w:val="nil"/>
              <w:tr2bl w:val="nil"/>
            </w:tcBorders>
            <w:shd w:val="clear" w:color="auto" w:fill="auto"/>
            <w:noWrap/>
            <w:tcMar>
              <w:top w:w="15" w:type="dxa"/>
              <w:left w:w="15" w:type="dxa"/>
              <w:right w:w="15" w:type="dxa"/>
            </w:tcMar>
            <w:vAlign w:val="center"/>
          </w:tcPr>
          <w:p w14:paraId="2DA4D4DD">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786899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348" w:type="pct"/>
            <w:tcBorders>
              <w:tl2br w:val="nil"/>
              <w:tr2bl w:val="nil"/>
            </w:tcBorders>
            <w:shd w:val="clear" w:color="auto" w:fill="auto"/>
            <w:noWrap/>
            <w:tcMar>
              <w:top w:w="15" w:type="dxa"/>
              <w:left w:w="15" w:type="dxa"/>
              <w:right w:w="15" w:type="dxa"/>
            </w:tcMar>
            <w:vAlign w:val="center"/>
          </w:tcPr>
          <w:p w14:paraId="63B401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00E208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7F0CC0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50EFA4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5A8836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可塑</w:t>
            </w:r>
          </w:p>
        </w:tc>
        <w:tc>
          <w:tcPr>
            <w:tcW w:w="2497" w:type="pct"/>
            <w:tcBorders>
              <w:tl2br w:val="nil"/>
              <w:tr2bl w:val="nil"/>
            </w:tcBorders>
            <w:shd w:val="clear" w:color="auto" w:fill="auto"/>
            <w:noWrap/>
            <w:tcMar>
              <w:top w:w="15" w:type="dxa"/>
              <w:left w:w="15" w:type="dxa"/>
              <w:right w:w="15" w:type="dxa"/>
            </w:tcMar>
            <w:vAlign w:val="center"/>
          </w:tcPr>
          <w:p w14:paraId="4C9C9E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表面含根系、石块，含腐殖质，下层主要由粘土组成</w:t>
            </w:r>
          </w:p>
        </w:tc>
      </w:tr>
      <w:tr w14:paraId="297711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7F6A15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366" w:type="pct"/>
            <w:vMerge w:val="continue"/>
            <w:tcBorders>
              <w:tl2br w:val="nil"/>
              <w:tr2bl w:val="nil"/>
            </w:tcBorders>
            <w:shd w:val="clear" w:color="auto" w:fill="auto"/>
            <w:noWrap/>
            <w:tcMar>
              <w:top w:w="15" w:type="dxa"/>
              <w:left w:w="15" w:type="dxa"/>
              <w:right w:w="15" w:type="dxa"/>
            </w:tcMar>
            <w:vAlign w:val="center"/>
          </w:tcPr>
          <w:p w14:paraId="352E93B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6C613E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348" w:type="pct"/>
            <w:tcBorders>
              <w:tl2br w:val="nil"/>
              <w:tr2bl w:val="nil"/>
            </w:tcBorders>
            <w:shd w:val="clear" w:color="auto" w:fill="auto"/>
            <w:noWrap/>
            <w:tcMar>
              <w:top w:w="15" w:type="dxa"/>
              <w:left w:w="15" w:type="dxa"/>
              <w:right w:w="15" w:type="dxa"/>
            </w:tcMar>
            <w:vAlign w:val="center"/>
          </w:tcPr>
          <w:p w14:paraId="458A49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素填土</w:t>
            </w:r>
          </w:p>
        </w:tc>
        <w:tc>
          <w:tcPr>
            <w:tcW w:w="268" w:type="pct"/>
            <w:tcBorders>
              <w:tl2br w:val="nil"/>
              <w:tr2bl w:val="nil"/>
            </w:tcBorders>
            <w:shd w:val="clear" w:color="auto" w:fill="auto"/>
            <w:noWrap/>
            <w:tcMar>
              <w:top w:w="15" w:type="dxa"/>
              <w:left w:w="15" w:type="dxa"/>
              <w:right w:w="15" w:type="dxa"/>
            </w:tcMar>
            <w:vAlign w:val="center"/>
          </w:tcPr>
          <w:p w14:paraId="2B39C6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棕褐色</w:t>
            </w:r>
          </w:p>
        </w:tc>
        <w:tc>
          <w:tcPr>
            <w:tcW w:w="366" w:type="pct"/>
            <w:tcBorders>
              <w:tl2br w:val="nil"/>
              <w:tr2bl w:val="nil"/>
            </w:tcBorders>
            <w:shd w:val="clear" w:color="auto" w:fill="auto"/>
            <w:noWrap/>
            <w:tcMar>
              <w:top w:w="15" w:type="dxa"/>
              <w:left w:w="15" w:type="dxa"/>
              <w:right w:w="15" w:type="dxa"/>
            </w:tcMar>
            <w:vAlign w:val="center"/>
          </w:tcPr>
          <w:p w14:paraId="2680A2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潮湿</w:t>
            </w:r>
          </w:p>
        </w:tc>
        <w:tc>
          <w:tcPr>
            <w:tcW w:w="252" w:type="pct"/>
            <w:tcBorders>
              <w:tl2br w:val="nil"/>
              <w:tr2bl w:val="nil"/>
            </w:tcBorders>
            <w:shd w:val="clear" w:color="auto" w:fill="auto"/>
            <w:noWrap/>
            <w:tcMar>
              <w:top w:w="15" w:type="dxa"/>
              <w:left w:w="15" w:type="dxa"/>
              <w:right w:w="15" w:type="dxa"/>
            </w:tcMar>
            <w:vAlign w:val="center"/>
          </w:tcPr>
          <w:p w14:paraId="700893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460411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3FDA2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表面含根系、石块，下层主要由粉质粘土组成，含高岭土</w:t>
            </w:r>
          </w:p>
        </w:tc>
      </w:tr>
      <w:tr w14:paraId="4D2A7B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54B8E7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366" w:type="pct"/>
            <w:vMerge w:val="continue"/>
            <w:tcBorders>
              <w:tl2br w:val="nil"/>
              <w:tr2bl w:val="nil"/>
            </w:tcBorders>
            <w:shd w:val="clear" w:color="auto" w:fill="auto"/>
            <w:noWrap/>
            <w:tcMar>
              <w:top w:w="15" w:type="dxa"/>
              <w:left w:w="15" w:type="dxa"/>
              <w:right w:w="15" w:type="dxa"/>
            </w:tcMar>
            <w:vAlign w:val="center"/>
          </w:tcPr>
          <w:p w14:paraId="5ECD70F1">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48EAEB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348" w:type="pct"/>
            <w:tcBorders>
              <w:tl2br w:val="nil"/>
              <w:tr2bl w:val="nil"/>
            </w:tcBorders>
            <w:shd w:val="clear" w:color="auto" w:fill="auto"/>
            <w:noWrap/>
            <w:tcMar>
              <w:top w:w="15" w:type="dxa"/>
              <w:left w:w="15" w:type="dxa"/>
              <w:right w:w="15" w:type="dxa"/>
            </w:tcMar>
            <w:vAlign w:val="center"/>
          </w:tcPr>
          <w:p w14:paraId="09AD93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砂土</w:t>
            </w:r>
          </w:p>
        </w:tc>
        <w:tc>
          <w:tcPr>
            <w:tcW w:w="268" w:type="pct"/>
            <w:tcBorders>
              <w:tl2br w:val="nil"/>
              <w:tr2bl w:val="nil"/>
            </w:tcBorders>
            <w:shd w:val="clear" w:color="auto" w:fill="auto"/>
            <w:noWrap/>
            <w:tcMar>
              <w:top w:w="15" w:type="dxa"/>
              <w:left w:w="15" w:type="dxa"/>
              <w:right w:w="15" w:type="dxa"/>
            </w:tcMar>
            <w:vAlign w:val="center"/>
          </w:tcPr>
          <w:p w14:paraId="05BAB6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灰黑</w:t>
            </w:r>
          </w:p>
        </w:tc>
        <w:tc>
          <w:tcPr>
            <w:tcW w:w="366" w:type="pct"/>
            <w:tcBorders>
              <w:tl2br w:val="nil"/>
              <w:tr2bl w:val="nil"/>
            </w:tcBorders>
            <w:shd w:val="clear" w:color="auto" w:fill="auto"/>
            <w:noWrap/>
            <w:tcMar>
              <w:top w:w="15" w:type="dxa"/>
              <w:left w:w="15" w:type="dxa"/>
              <w:right w:w="15" w:type="dxa"/>
            </w:tcMar>
            <w:vAlign w:val="center"/>
          </w:tcPr>
          <w:p w14:paraId="170D83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18022B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495F36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244CC2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表面含根系，含少量淤泥，夹杂贝类，石英砂，主要由砂土组成</w:t>
            </w:r>
          </w:p>
        </w:tc>
      </w:tr>
      <w:tr w14:paraId="2DFD77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70F2B6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366" w:type="pct"/>
            <w:vMerge w:val="restart"/>
            <w:tcBorders>
              <w:tl2br w:val="nil"/>
              <w:tr2bl w:val="nil"/>
            </w:tcBorders>
            <w:shd w:val="clear" w:color="auto" w:fill="auto"/>
            <w:noWrap/>
            <w:tcMar>
              <w:top w:w="15" w:type="dxa"/>
              <w:left w:w="15" w:type="dxa"/>
              <w:right w:w="15" w:type="dxa"/>
            </w:tcMar>
            <w:vAlign w:val="center"/>
          </w:tcPr>
          <w:p w14:paraId="780532B7">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企业聚集区周边</w:t>
            </w:r>
          </w:p>
        </w:tc>
        <w:tc>
          <w:tcPr>
            <w:tcW w:w="439" w:type="pct"/>
            <w:tcBorders>
              <w:tl2br w:val="nil"/>
              <w:tr2bl w:val="nil"/>
            </w:tcBorders>
            <w:shd w:val="clear" w:color="auto" w:fill="auto"/>
            <w:noWrap/>
            <w:tcMar>
              <w:top w:w="15" w:type="dxa"/>
              <w:left w:w="15" w:type="dxa"/>
              <w:right w:w="15" w:type="dxa"/>
            </w:tcMar>
            <w:vAlign w:val="center"/>
          </w:tcPr>
          <w:p w14:paraId="066870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348" w:type="pct"/>
            <w:tcBorders>
              <w:tl2br w:val="nil"/>
              <w:tr2bl w:val="nil"/>
            </w:tcBorders>
            <w:shd w:val="clear" w:color="auto" w:fill="auto"/>
            <w:noWrap/>
            <w:tcMar>
              <w:top w:w="15" w:type="dxa"/>
              <w:left w:w="15" w:type="dxa"/>
              <w:right w:w="15" w:type="dxa"/>
            </w:tcMar>
            <w:vAlign w:val="center"/>
          </w:tcPr>
          <w:p w14:paraId="434DDF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耕植土</w:t>
            </w:r>
          </w:p>
        </w:tc>
        <w:tc>
          <w:tcPr>
            <w:tcW w:w="268" w:type="pct"/>
            <w:tcBorders>
              <w:tl2br w:val="nil"/>
              <w:tr2bl w:val="nil"/>
            </w:tcBorders>
            <w:shd w:val="clear" w:color="auto" w:fill="auto"/>
            <w:noWrap/>
            <w:tcMar>
              <w:top w:w="15" w:type="dxa"/>
              <w:left w:w="15" w:type="dxa"/>
              <w:right w:w="15" w:type="dxa"/>
            </w:tcMar>
            <w:vAlign w:val="center"/>
          </w:tcPr>
          <w:p w14:paraId="30408E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黄褐色</w:t>
            </w:r>
          </w:p>
        </w:tc>
        <w:tc>
          <w:tcPr>
            <w:tcW w:w="366" w:type="pct"/>
            <w:tcBorders>
              <w:tl2br w:val="nil"/>
              <w:tr2bl w:val="nil"/>
            </w:tcBorders>
            <w:shd w:val="clear" w:color="auto" w:fill="auto"/>
            <w:noWrap/>
            <w:tcMar>
              <w:top w:w="15" w:type="dxa"/>
              <w:left w:w="15" w:type="dxa"/>
              <w:right w:w="15" w:type="dxa"/>
            </w:tcMar>
            <w:vAlign w:val="center"/>
          </w:tcPr>
          <w:p w14:paraId="27F140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6A6046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7AAF62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389285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表面含根系、石块，下层主要由粉质粘土组成，含高岭土、黑色铁锰氧化物</w:t>
            </w:r>
          </w:p>
        </w:tc>
      </w:tr>
      <w:tr w14:paraId="7495EB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29B9FF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366" w:type="pct"/>
            <w:vMerge w:val="continue"/>
            <w:tcBorders>
              <w:tl2br w:val="nil"/>
              <w:tr2bl w:val="nil"/>
            </w:tcBorders>
            <w:shd w:val="clear" w:color="auto" w:fill="auto"/>
            <w:noWrap/>
            <w:tcMar>
              <w:top w:w="15" w:type="dxa"/>
              <w:left w:w="15" w:type="dxa"/>
              <w:right w:w="15" w:type="dxa"/>
            </w:tcMar>
            <w:vAlign w:val="center"/>
          </w:tcPr>
          <w:p w14:paraId="37657E66">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75E8FB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348" w:type="pct"/>
            <w:tcBorders>
              <w:tl2br w:val="nil"/>
              <w:tr2bl w:val="nil"/>
            </w:tcBorders>
            <w:shd w:val="clear" w:color="auto" w:fill="auto"/>
            <w:noWrap/>
            <w:tcMar>
              <w:top w:w="15" w:type="dxa"/>
              <w:left w:w="15" w:type="dxa"/>
              <w:right w:w="15" w:type="dxa"/>
            </w:tcMar>
            <w:vAlign w:val="center"/>
          </w:tcPr>
          <w:p w14:paraId="2E31A6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0BE5E6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755E8C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266398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17AE7C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软塑</w:t>
            </w:r>
          </w:p>
        </w:tc>
        <w:tc>
          <w:tcPr>
            <w:tcW w:w="2497" w:type="pct"/>
            <w:tcBorders>
              <w:tl2br w:val="nil"/>
              <w:tr2bl w:val="nil"/>
            </w:tcBorders>
            <w:shd w:val="clear" w:color="auto" w:fill="auto"/>
            <w:noWrap/>
            <w:tcMar>
              <w:top w:w="15" w:type="dxa"/>
              <w:left w:w="15" w:type="dxa"/>
              <w:right w:w="15" w:type="dxa"/>
            </w:tcMar>
            <w:vAlign w:val="center"/>
          </w:tcPr>
          <w:p w14:paraId="554BBD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表面含根系、石块，下层主要由粉质粘土组成</w:t>
            </w:r>
          </w:p>
        </w:tc>
      </w:tr>
      <w:tr w14:paraId="042C31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2A48DE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366" w:type="pct"/>
            <w:vMerge w:val="continue"/>
            <w:tcBorders>
              <w:tl2br w:val="nil"/>
              <w:tr2bl w:val="nil"/>
            </w:tcBorders>
            <w:shd w:val="clear" w:color="auto" w:fill="auto"/>
            <w:noWrap/>
            <w:tcMar>
              <w:top w:w="15" w:type="dxa"/>
              <w:left w:w="15" w:type="dxa"/>
              <w:right w:w="15" w:type="dxa"/>
            </w:tcMar>
            <w:vAlign w:val="center"/>
          </w:tcPr>
          <w:p w14:paraId="4CE4A38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4EA1AA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348" w:type="pct"/>
            <w:tcBorders>
              <w:tl2br w:val="nil"/>
              <w:tr2bl w:val="nil"/>
            </w:tcBorders>
            <w:shd w:val="clear" w:color="auto" w:fill="auto"/>
            <w:noWrap/>
            <w:tcMar>
              <w:top w:w="15" w:type="dxa"/>
              <w:left w:w="15" w:type="dxa"/>
              <w:right w:w="15" w:type="dxa"/>
            </w:tcMar>
            <w:vAlign w:val="center"/>
          </w:tcPr>
          <w:p w14:paraId="140292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492859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67D1CD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干</w:t>
            </w:r>
          </w:p>
        </w:tc>
        <w:tc>
          <w:tcPr>
            <w:tcW w:w="252" w:type="pct"/>
            <w:tcBorders>
              <w:tl2br w:val="nil"/>
              <w:tr2bl w:val="nil"/>
            </w:tcBorders>
            <w:shd w:val="clear" w:color="auto" w:fill="auto"/>
            <w:noWrap/>
            <w:tcMar>
              <w:top w:w="15" w:type="dxa"/>
              <w:left w:w="15" w:type="dxa"/>
              <w:right w:w="15" w:type="dxa"/>
            </w:tcMar>
            <w:vAlign w:val="center"/>
          </w:tcPr>
          <w:p w14:paraId="30F9EC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6023C2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506807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表面含根系、石块，含较多砂质，下层主要由粉质粘土组成</w:t>
            </w:r>
          </w:p>
        </w:tc>
      </w:tr>
      <w:tr w14:paraId="72D09F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599717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366" w:type="pct"/>
            <w:vMerge w:val="continue"/>
            <w:tcBorders>
              <w:tl2br w:val="nil"/>
              <w:tr2bl w:val="nil"/>
            </w:tcBorders>
            <w:shd w:val="clear" w:color="auto" w:fill="auto"/>
            <w:noWrap/>
            <w:tcMar>
              <w:top w:w="15" w:type="dxa"/>
              <w:left w:w="15" w:type="dxa"/>
              <w:right w:w="15" w:type="dxa"/>
            </w:tcMar>
            <w:vAlign w:val="center"/>
          </w:tcPr>
          <w:p w14:paraId="1F5A71F1">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139F24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348" w:type="pct"/>
            <w:tcBorders>
              <w:tl2br w:val="nil"/>
              <w:tr2bl w:val="nil"/>
            </w:tcBorders>
            <w:shd w:val="clear" w:color="auto" w:fill="auto"/>
            <w:noWrap/>
            <w:tcMar>
              <w:top w:w="15" w:type="dxa"/>
              <w:left w:w="15" w:type="dxa"/>
              <w:right w:w="15" w:type="dxa"/>
            </w:tcMar>
            <w:vAlign w:val="center"/>
          </w:tcPr>
          <w:p w14:paraId="78759D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素填土</w:t>
            </w:r>
          </w:p>
        </w:tc>
        <w:tc>
          <w:tcPr>
            <w:tcW w:w="268" w:type="pct"/>
            <w:tcBorders>
              <w:tl2br w:val="nil"/>
              <w:tr2bl w:val="nil"/>
            </w:tcBorders>
            <w:shd w:val="clear" w:color="auto" w:fill="auto"/>
            <w:noWrap/>
            <w:tcMar>
              <w:top w:w="15" w:type="dxa"/>
              <w:left w:w="15" w:type="dxa"/>
              <w:right w:w="15" w:type="dxa"/>
            </w:tcMar>
            <w:vAlign w:val="center"/>
          </w:tcPr>
          <w:p w14:paraId="4D765D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黄褐色</w:t>
            </w:r>
          </w:p>
        </w:tc>
        <w:tc>
          <w:tcPr>
            <w:tcW w:w="366" w:type="pct"/>
            <w:tcBorders>
              <w:tl2br w:val="nil"/>
              <w:tr2bl w:val="nil"/>
            </w:tcBorders>
            <w:shd w:val="clear" w:color="auto" w:fill="auto"/>
            <w:noWrap/>
            <w:tcMar>
              <w:top w:w="15" w:type="dxa"/>
              <w:left w:w="15" w:type="dxa"/>
              <w:right w:w="15" w:type="dxa"/>
            </w:tcMar>
            <w:vAlign w:val="center"/>
          </w:tcPr>
          <w:p w14:paraId="7AFFF5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05605B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755F8E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337227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表面含根系、石块，下层主要由粉质粘土组成</w:t>
            </w:r>
          </w:p>
        </w:tc>
      </w:tr>
      <w:tr w14:paraId="695C5B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3F4CE7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366" w:type="pct"/>
            <w:vMerge w:val="continue"/>
            <w:tcBorders>
              <w:tl2br w:val="nil"/>
              <w:tr2bl w:val="nil"/>
            </w:tcBorders>
            <w:shd w:val="clear" w:color="auto" w:fill="auto"/>
            <w:noWrap/>
            <w:tcMar>
              <w:top w:w="15" w:type="dxa"/>
              <w:left w:w="15" w:type="dxa"/>
              <w:right w:w="15" w:type="dxa"/>
            </w:tcMar>
            <w:vAlign w:val="center"/>
          </w:tcPr>
          <w:p w14:paraId="758EAD7C">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439" w:type="pct"/>
            <w:tcBorders>
              <w:tl2br w:val="nil"/>
              <w:tr2bl w:val="nil"/>
            </w:tcBorders>
            <w:shd w:val="clear" w:color="auto" w:fill="auto"/>
            <w:noWrap/>
            <w:tcMar>
              <w:top w:w="15" w:type="dxa"/>
              <w:left w:w="15" w:type="dxa"/>
              <w:right w:w="15" w:type="dxa"/>
            </w:tcMar>
            <w:vAlign w:val="center"/>
          </w:tcPr>
          <w:p w14:paraId="129139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348" w:type="pct"/>
            <w:tcBorders>
              <w:tl2br w:val="nil"/>
              <w:tr2bl w:val="nil"/>
            </w:tcBorders>
            <w:shd w:val="clear" w:color="auto" w:fill="auto"/>
            <w:noWrap/>
            <w:tcMar>
              <w:top w:w="15" w:type="dxa"/>
              <w:left w:w="15" w:type="dxa"/>
              <w:right w:w="15" w:type="dxa"/>
            </w:tcMar>
            <w:vAlign w:val="center"/>
          </w:tcPr>
          <w:p w14:paraId="4DA6C4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489B84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137311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73CFE1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6D02A5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4C2B6F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表面夹较多碎石、根系、腐殖质，下层为粉质粘土原始土</w:t>
            </w:r>
          </w:p>
        </w:tc>
      </w:tr>
      <w:tr w14:paraId="273606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4AC3D1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366" w:type="pct"/>
            <w:vMerge w:val="continue"/>
            <w:tcBorders>
              <w:tl2br w:val="nil"/>
              <w:tr2bl w:val="nil"/>
            </w:tcBorders>
            <w:shd w:val="clear" w:color="auto" w:fill="auto"/>
            <w:noWrap/>
            <w:tcMar>
              <w:top w:w="15" w:type="dxa"/>
              <w:left w:w="15" w:type="dxa"/>
              <w:right w:w="15" w:type="dxa"/>
            </w:tcMar>
            <w:vAlign w:val="center"/>
          </w:tcPr>
          <w:p w14:paraId="5B1EE93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tcBorders>
              <w:tl2br w:val="nil"/>
              <w:tr2bl w:val="nil"/>
            </w:tcBorders>
            <w:shd w:val="clear" w:color="auto" w:fill="auto"/>
            <w:noWrap/>
            <w:tcMar>
              <w:top w:w="15" w:type="dxa"/>
              <w:left w:w="15" w:type="dxa"/>
              <w:right w:w="15" w:type="dxa"/>
            </w:tcMar>
            <w:vAlign w:val="center"/>
          </w:tcPr>
          <w:p w14:paraId="4F01DB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348" w:type="pct"/>
            <w:tcBorders>
              <w:tl2br w:val="nil"/>
              <w:tr2bl w:val="nil"/>
            </w:tcBorders>
            <w:shd w:val="clear" w:color="auto" w:fill="auto"/>
            <w:noWrap/>
            <w:tcMar>
              <w:top w:w="15" w:type="dxa"/>
              <w:left w:w="15" w:type="dxa"/>
              <w:right w:w="15" w:type="dxa"/>
            </w:tcMar>
            <w:vAlign w:val="center"/>
          </w:tcPr>
          <w:p w14:paraId="45879F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0DC753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28A172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246878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1A0B92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018749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表面含较多根系、石块，下层主要由粘土组成</w:t>
            </w:r>
          </w:p>
        </w:tc>
      </w:tr>
      <w:tr w14:paraId="56AEA7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62F37D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366" w:type="pct"/>
            <w:vMerge w:val="continue"/>
            <w:tcBorders>
              <w:tl2br w:val="nil"/>
              <w:tr2bl w:val="nil"/>
            </w:tcBorders>
            <w:shd w:val="clear" w:color="auto" w:fill="auto"/>
            <w:noWrap/>
            <w:tcMar>
              <w:top w:w="15" w:type="dxa"/>
              <w:left w:w="15" w:type="dxa"/>
              <w:right w:w="15" w:type="dxa"/>
            </w:tcMar>
            <w:vAlign w:val="center"/>
          </w:tcPr>
          <w:p w14:paraId="2D14DF5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tcBorders>
              <w:tl2br w:val="nil"/>
              <w:tr2bl w:val="nil"/>
            </w:tcBorders>
            <w:shd w:val="clear" w:color="auto" w:fill="auto"/>
            <w:noWrap/>
            <w:tcMar>
              <w:top w:w="15" w:type="dxa"/>
              <w:left w:w="15" w:type="dxa"/>
              <w:right w:w="15" w:type="dxa"/>
            </w:tcMar>
            <w:vAlign w:val="center"/>
          </w:tcPr>
          <w:p w14:paraId="298F24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348" w:type="pct"/>
            <w:tcBorders>
              <w:tl2br w:val="nil"/>
              <w:tr2bl w:val="nil"/>
            </w:tcBorders>
            <w:shd w:val="clear" w:color="auto" w:fill="auto"/>
            <w:noWrap/>
            <w:tcMar>
              <w:top w:w="15" w:type="dxa"/>
              <w:left w:w="15" w:type="dxa"/>
              <w:right w:w="15" w:type="dxa"/>
            </w:tcMar>
            <w:vAlign w:val="center"/>
          </w:tcPr>
          <w:p w14:paraId="2906A2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56D52D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186812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27E918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0CC40B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641D36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表面含根系、树叶</w:t>
            </w:r>
          </w:p>
        </w:tc>
      </w:tr>
      <w:tr w14:paraId="690DDF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1A91D2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366" w:type="pct"/>
            <w:vMerge w:val="continue"/>
            <w:tcBorders>
              <w:tl2br w:val="nil"/>
              <w:tr2bl w:val="nil"/>
            </w:tcBorders>
            <w:shd w:val="clear" w:color="auto" w:fill="auto"/>
            <w:noWrap/>
            <w:tcMar>
              <w:top w:w="15" w:type="dxa"/>
              <w:left w:w="15" w:type="dxa"/>
              <w:right w:w="15" w:type="dxa"/>
            </w:tcMar>
            <w:vAlign w:val="center"/>
          </w:tcPr>
          <w:p w14:paraId="1CDA811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4176AB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348" w:type="pct"/>
            <w:tcBorders>
              <w:tl2br w:val="nil"/>
              <w:tr2bl w:val="nil"/>
            </w:tcBorders>
            <w:shd w:val="clear" w:color="auto" w:fill="auto"/>
            <w:noWrap/>
            <w:tcMar>
              <w:top w:w="15" w:type="dxa"/>
              <w:left w:w="15" w:type="dxa"/>
              <w:right w:w="15" w:type="dxa"/>
            </w:tcMar>
            <w:vAlign w:val="center"/>
          </w:tcPr>
          <w:p w14:paraId="3A495D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573665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7B8C25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47FED9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7522DA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3F3EF3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表面含根系、砖块、碎石，下层为松散的回填土，含较多砂质</w:t>
            </w:r>
          </w:p>
        </w:tc>
      </w:tr>
      <w:tr w14:paraId="2C7E1B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7B1CA8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366" w:type="pct"/>
            <w:vMerge w:val="continue"/>
            <w:tcBorders>
              <w:tl2br w:val="nil"/>
              <w:tr2bl w:val="nil"/>
            </w:tcBorders>
            <w:shd w:val="clear" w:color="auto" w:fill="auto"/>
            <w:noWrap/>
            <w:tcMar>
              <w:top w:w="15" w:type="dxa"/>
              <w:left w:w="15" w:type="dxa"/>
              <w:right w:w="15" w:type="dxa"/>
            </w:tcMar>
            <w:vAlign w:val="center"/>
          </w:tcPr>
          <w:p w14:paraId="3C575200">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eastAsia="zh-CN"/>
              </w:rPr>
            </w:pPr>
          </w:p>
        </w:tc>
        <w:tc>
          <w:tcPr>
            <w:tcW w:w="439" w:type="pct"/>
            <w:tcBorders>
              <w:tl2br w:val="nil"/>
              <w:tr2bl w:val="nil"/>
            </w:tcBorders>
            <w:shd w:val="clear" w:color="auto" w:fill="auto"/>
            <w:noWrap/>
            <w:tcMar>
              <w:top w:w="15" w:type="dxa"/>
              <w:left w:w="15" w:type="dxa"/>
              <w:right w:w="15" w:type="dxa"/>
            </w:tcMar>
            <w:vAlign w:val="center"/>
          </w:tcPr>
          <w:p w14:paraId="4A22F4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348" w:type="pct"/>
            <w:tcBorders>
              <w:tl2br w:val="nil"/>
              <w:tr2bl w:val="nil"/>
            </w:tcBorders>
            <w:shd w:val="clear" w:color="auto" w:fill="auto"/>
            <w:noWrap/>
            <w:tcMar>
              <w:top w:w="15" w:type="dxa"/>
              <w:left w:w="15" w:type="dxa"/>
              <w:right w:w="15" w:type="dxa"/>
            </w:tcMar>
            <w:vAlign w:val="center"/>
          </w:tcPr>
          <w:p w14:paraId="52B8B1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杂填土</w:t>
            </w:r>
          </w:p>
        </w:tc>
        <w:tc>
          <w:tcPr>
            <w:tcW w:w="268" w:type="pct"/>
            <w:tcBorders>
              <w:tl2br w:val="nil"/>
              <w:tr2bl w:val="nil"/>
            </w:tcBorders>
            <w:shd w:val="clear" w:color="auto" w:fill="auto"/>
            <w:noWrap/>
            <w:tcMar>
              <w:top w:w="15" w:type="dxa"/>
              <w:left w:w="15" w:type="dxa"/>
              <w:right w:w="15" w:type="dxa"/>
            </w:tcMar>
            <w:vAlign w:val="center"/>
          </w:tcPr>
          <w:p w14:paraId="6ED71C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杂色</w:t>
            </w:r>
          </w:p>
        </w:tc>
        <w:tc>
          <w:tcPr>
            <w:tcW w:w="366" w:type="pct"/>
            <w:tcBorders>
              <w:tl2br w:val="nil"/>
              <w:tr2bl w:val="nil"/>
            </w:tcBorders>
            <w:shd w:val="clear" w:color="auto" w:fill="auto"/>
            <w:noWrap/>
            <w:tcMar>
              <w:top w:w="15" w:type="dxa"/>
              <w:left w:w="15" w:type="dxa"/>
              <w:right w:w="15" w:type="dxa"/>
            </w:tcMar>
            <w:vAlign w:val="center"/>
          </w:tcPr>
          <w:p w14:paraId="202844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稍湿</w:t>
            </w:r>
          </w:p>
        </w:tc>
        <w:tc>
          <w:tcPr>
            <w:tcW w:w="252" w:type="pct"/>
            <w:tcBorders>
              <w:tl2br w:val="nil"/>
              <w:tr2bl w:val="nil"/>
            </w:tcBorders>
            <w:shd w:val="clear" w:color="auto" w:fill="auto"/>
            <w:noWrap/>
            <w:tcMar>
              <w:top w:w="15" w:type="dxa"/>
              <w:left w:w="15" w:type="dxa"/>
              <w:right w:w="15" w:type="dxa"/>
            </w:tcMar>
            <w:vAlign w:val="center"/>
          </w:tcPr>
          <w:p w14:paraId="65B0E6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w:t>
            </w:r>
          </w:p>
        </w:tc>
        <w:tc>
          <w:tcPr>
            <w:tcW w:w="309" w:type="pct"/>
            <w:tcBorders>
              <w:tl2br w:val="nil"/>
              <w:tr2bl w:val="nil"/>
            </w:tcBorders>
            <w:shd w:val="clear" w:color="auto" w:fill="auto"/>
            <w:noWrap/>
            <w:tcMar>
              <w:top w:w="15" w:type="dxa"/>
              <w:left w:w="15" w:type="dxa"/>
              <w:right w:w="15" w:type="dxa"/>
            </w:tcMar>
            <w:vAlign w:val="center"/>
          </w:tcPr>
          <w:p w14:paraId="1FEBD4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067BBC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表面含根系、石块，含较多砂质、腐殖质，下层主要由粘土组成</w:t>
            </w:r>
          </w:p>
        </w:tc>
      </w:tr>
    </w:tbl>
    <w:p w14:paraId="398F9A59">
      <w:pPr>
        <w:pStyle w:val="31"/>
        <w:adjustRightInd w:val="0"/>
        <w:snapToGrid w:val="0"/>
        <w:spacing w:after="0" w:line="240" w:lineRule="auto"/>
        <w:ind w:firstLine="480"/>
        <w:rPr>
          <w:rFonts w:hint="default" w:ascii="Times New Roman" w:hAnsi="Times New Roman" w:cs="Times New Roman"/>
          <w:b/>
          <w:bCs/>
          <w:color w:val="auto"/>
          <w:sz w:val="18"/>
          <w:szCs w:val="18"/>
          <w:highlight w:val="none"/>
          <w:lang w:eastAsia="zh-CN"/>
        </w:rPr>
        <w:sectPr>
          <w:headerReference r:id="rId16" w:type="default"/>
          <w:footerReference r:id="rId17"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7B51A37A">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地下水样品采集</w:t>
      </w:r>
    </w:p>
    <w:p w14:paraId="5BAB9A35">
      <w:pPr>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highlight w:val="none"/>
          <w:lang w:eastAsia="zh-CN"/>
        </w:rPr>
        <w:t>调查范围</w:t>
      </w:r>
      <w:r>
        <w:rPr>
          <w:rFonts w:hint="default" w:ascii="Times New Roman" w:hAnsi="Times New Roman" w:cs="Times New Roman"/>
          <w:color w:val="auto"/>
          <w:sz w:val="24"/>
          <w:highlight w:val="none"/>
        </w:rPr>
        <w:t>内</w:t>
      </w:r>
      <w:r>
        <w:rPr>
          <w:rFonts w:hint="default" w:ascii="Times New Roman" w:hAnsi="Times New Roman" w:cs="Times New Roman"/>
          <w:color w:val="auto"/>
          <w:sz w:val="24"/>
          <w:highlight w:val="none"/>
          <w:lang w:eastAsia="zh-CN"/>
        </w:rPr>
        <w:t>共有</w:t>
      </w:r>
      <w:r>
        <w:rPr>
          <w:rFonts w:hint="default" w:ascii="Times New Roman" w:hAnsi="Times New Roman" w:cs="Times New Roman"/>
          <w:color w:val="auto"/>
          <w:sz w:val="24"/>
          <w:highlight w:val="none"/>
          <w:lang w:val="en-US" w:eastAsia="zh-CN"/>
        </w:rPr>
        <w:t>2个地下水监测井，</w:t>
      </w:r>
      <w:r>
        <w:rPr>
          <w:rFonts w:hint="default" w:ascii="Times New Roman" w:hAnsi="Times New Roman" w:cs="Times New Roman"/>
          <w:color w:val="auto"/>
          <w:sz w:val="24"/>
          <w:highlight w:val="none"/>
        </w:rPr>
        <w:t>每个点位取1个样品，共采集</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个样品调查</w:t>
      </w:r>
      <w:r>
        <w:rPr>
          <w:rFonts w:hint="default" w:ascii="Times New Roman" w:hAnsi="Times New Roman" w:cs="Times New Roman"/>
          <w:color w:val="auto"/>
          <w:sz w:val="24"/>
          <w:highlight w:val="none"/>
          <w:lang w:eastAsia="zh-CN"/>
        </w:rPr>
        <w:t>。</w:t>
      </w:r>
    </w:p>
    <w:p w14:paraId="55094DD3">
      <w:pPr>
        <w:spacing w:line="360" w:lineRule="auto"/>
        <w:ind w:firstLine="420" w:firstLineChars="0"/>
        <w:rPr>
          <w:rFonts w:hint="default" w:ascii="Times New Roman" w:hAnsi="Times New Roman" w:cs="Times New Roman"/>
          <w:color w:val="auto"/>
          <w:highlight w:val="none"/>
          <w:lang w:eastAsia="zh-CN"/>
        </w:rPr>
      </w:pPr>
      <w:r>
        <w:rPr>
          <w:rFonts w:hint="default" w:ascii="Times New Roman" w:hAnsi="Times New Roman" w:cs="Times New Roman"/>
          <w:color w:val="auto"/>
          <w:sz w:val="24"/>
          <w:szCs w:val="24"/>
          <w:highlight w:val="none"/>
          <w:lang w:eastAsia="zh-CN"/>
        </w:rPr>
        <w:t>具体</w:t>
      </w:r>
      <w:r>
        <w:rPr>
          <w:rFonts w:hint="default" w:ascii="Times New Roman" w:hAnsi="Times New Roman" w:cs="Times New Roman"/>
          <w:color w:val="auto"/>
          <w:sz w:val="24"/>
          <w:highlight w:val="none"/>
        </w:rPr>
        <w:t>地下水样采集情况详见表4-3-</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p>
    <w:p w14:paraId="2D2C7F34">
      <w:pPr>
        <w:pStyle w:val="34"/>
        <w:spacing w:before="0" w:beforeLine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表4-3-</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 xml:space="preserve">  地下水现场采样信息统计</w:t>
      </w:r>
    </w:p>
    <w:tbl>
      <w:tblPr>
        <w:tblStyle w:val="2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1172"/>
        <w:gridCol w:w="1308"/>
        <w:gridCol w:w="1123"/>
        <w:gridCol w:w="813"/>
        <w:gridCol w:w="1085"/>
        <w:gridCol w:w="1073"/>
        <w:gridCol w:w="1136"/>
        <w:gridCol w:w="1137"/>
      </w:tblGrid>
      <w:tr w14:paraId="57EBE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0" w:type="pct"/>
            <w:vMerge w:val="restart"/>
            <w:tcBorders>
              <w:tl2br w:val="nil"/>
              <w:tr2bl w:val="nil"/>
            </w:tcBorders>
            <w:noWrap w:val="0"/>
            <w:vAlign w:val="center"/>
          </w:tcPr>
          <w:p w14:paraId="6110FBB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点位</w:t>
            </w:r>
          </w:p>
          <w:p w14:paraId="7652880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编号</w:t>
            </w:r>
          </w:p>
        </w:tc>
        <w:tc>
          <w:tcPr>
            <w:tcW w:w="597" w:type="pct"/>
            <w:vMerge w:val="restart"/>
            <w:tcBorders>
              <w:tl2br w:val="nil"/>
              <w:tr2bl w:val="nil"/>
            </w:tcBorders>
            <w:noWrap w:val="0"/>
            <w:vAlign w:val="center"/>
          </w:tcPr>
          <w:p w14:paraId="0A74921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对应土壤</w:t>
            </w:r>
          </w:p>
          <w:p w14:paraId="685A081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点位</w:t>
            </w:r>
          </w:p>
        </w:tc>
        <w:tc>
          <w:tcPr>
            <w:tcW w:w="1238" w:type="pct"/>
            <w:gridSpan w:val="2"/>
            <w:tcBorders>
              <w:tl2br w:val="nil"/>
              <w:tr2bl w:val="nil"/>
            </w:tcBorders>
            <w:noWrap w:val="0"/>
            <w:vAlign w:val="center"/>
          </w:tcPr>
          <w:p w14:paraId="06D5E5F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坐标</w:t>
            </w:r>
          </w:p>
        </w:tc>
        <w:tc>
          <w:tcPr>
            <w:tcW w:w="392" w:type="pct"/>
            <w:vMerge w:val="restart"/>
            <w:tcBorders>
              <w:tl2br w:val="nil"/>
              <w:tr2bl w:val="nil"/>
            </w:tcBorders>
            <w:noWrap w:val="0"/>
            <w:vAlign w:val="center"/>
          </w:tcPr>
          <w:p w14:paraId="24EDAE0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井深</w:t>
            </w:r>
          </w:p>
          <w:p w14:paraId="5F49F3D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（m）</w:t>
            </w:r>
          </w:p>
        </w:tc>
        <w:tc>
          <w:tcPr>
            <w:tcW w:w="553" w:type="pct"/>
            <w:vMerge w:val="restart"/>
            <w:tcBorders>
              <w:tl2br w:val="nil"/>
              <w:tr2bl w:val="nil"/>
            </w:tcBorders>
            <w:noWrap w:val="0"/>
            <w:vAlign w:val="center"/>
          </w:tcPr>
          <w:p w14:paraId="76B3A981">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初见水位</w:t>
            </w:r>
            <w:r>
              <w:rPr>
                <w:rFonts w:hint="default" w:ascii="Times New Roman" w:hAnsi="Times New Roman" w:cs="Times New Roman"/>
                <w:b/>
                <w:bCs/>
                <w:color w:val="auto"/>
                <w:sz w:val="21"/>
                <w:szCs w:val="21"/>
                <w:highlight w:val="none"/>
                <w:vertAlign w:val="superscript"/>
                <w:lang w:eastAsia="zh-CN"/>
              </w:rPr>
              <w:t>①</w:t>
            </w:r>
            <w:r>
              <w:rPr>
                <w:rFonts w:hint="default" w:ascii="Times New Roman" w:hAnsi="Times New Roman" w:cs="Times New Roman"/>
                <w:b/>
                <w:bCs/>
                <w:color w:val="auto"/>
                <w:sz w:val="21"/>
                <w:szCs w:val="21"/>
                <w:highlight w:val="none"/>
              </w:rPr>
              <w:t>（</w:t>
            </w:r>
            <w:r>
              <w:rPr>
                <w:rFonts w:hint="default" w:ascii="Times New Roman" w:hAnsi="Times New Roman" w:cs="Times New Roman"/>
                <w:b/>
                <w:color w:val="auto"/>
                <w:sz w:val="21"/>
                <w:szCs w:val="21"/>
                <w:highlight w:val="none"/>
              </w:rPr>
              <w:t>m</w:t>
            </w:r>
            <w:r>
              <w:rPr>
                <w:rFonts w:hint="default" w:ascii="Times New Roman" w:hAnsi="Times New Roman" w:cs="Times New Roman"/>
                <w:b/>
                <w:bCs/>
                <w:color w:val="auto"/>
                <w:sz w:val="21"/>
                <w:szCs w:val="21"/>
                <w:highlight w:val="none"/>
              </w:rPr>
              <w:t>）</w:t>
            </w:r>
          </w:p>
        </w:tc>
        <w:tc>
          <w:tcPr>
            <w:tcW w:w="547" w:type="pct"/>
            <w:vMerge w:val="restart"/>
            <w:tcBorders>
              <w:tl2br w:val="nil"/>
              <w:tr2bl w:val="nil"/>
            </w:tcBorders>
            <w:noWrap w:val="0"/>
            <w:vAlign w:val="center"/>
          </w:tcPr>
          <w:p w14:paraId="687BFC2B">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稳定水</w:t>
            </w:r>
            <w:r>
              <w:rPr>
                <w:rFonts w:hint="default" w:ascii="Times New Roman" w:hAnsi="Times New Roman" w:cs="Times New Roman"/>
                <w:b/>
                <w:bCs/>
                <w:color w:val="auto"/>
                <w:sz w:val="21"/>
                <w:szCs w:val="21"/>
                <w:highlight w:val="none"/>
                <w:lang w:val="en-US" w:eastAsia="zh-CN"/>
              </w:rPr>
              <w:t>位</w:t>
            </w:r>
            <w:r>
              <w:rPr>
                <w:rFonts w:hint="default" w:ascii="Times New Roman" w:hAnsi="Times New Roman" w:cs="Times New Roman"/>
                <w:b/>
                <w:color w:val="auto"/>
                <w:kern w:val="0"/>
                <w:sz w:val="18"/>
                <w:szCs w:val="18"/>
                <w:highlight w:val="none"/>
                <w:vertAlign w:val="superscript"/>
              </w:rPr>
              <w:t>①</w:t>
            </w:r>
            <w:r>
              <w:rPr>
                <w:rFonts w:hint="default" w:ascii="Times New Roman" w:hAnsi="Times New Roman" w:cs="Times New Roman"/>
                <w:b/>
                <w:bCs/>
                <w:color w:val="auto"/>
                <w:sz w:val="21"/>
                <w:szCs w:val="21"/>
                <w:highlight w:val="none"/>
              </w:rPr>
              <w:t>（</w:t>
            </w:r>
            <w:r>
              <w:rPr>
                <w:rFonts w:hint="default" w:ascii="Times New Roman" w:hAnsi="Times New Roman" w:cs="Times New Roman"/>
                <w:b/>
                <w:color w:val="auto"/>
                <w:sz w:val="21"/>
                <w:szCs w:val="21"/>
                <w:highlight w:val="none"/>
              </w:rPr>
              <w:t>m</w:t>
            </w:r>
            <w:r>
              <w:rPr>
                <w:rFonts w:hint="default" w:ascii="Times New Roman" w:hAnsi="Times New Roman" w:cs="Times New Roman"/>
                <w:b/>
                <w:bCs/>
                <w:color w:val="auto"/>
                <w:sz w:val="21"/>
                <w:szCs w:val="21"/>
                <w:highlight w:val="none"/>
              </w:rPr>
              <w:t>）</w:t>
            </w:r>
          </w:p>
        </w:tc>
        <w:tc>
          <w:tcPr>
            <w:tcW w:w="579" w:type="pct"/>
            <w:vMerge w:val="restart"/>
            <w:tcBorders>
              <w:tl2br w:val="nil"/>
              <w:tr2bl w:val="nil"/>
            </w:tcBorders>
            <w:noWrap w:val="0"/>
            <w:vAlign w:val="center"/>
          </w:tcPr>
          <w:p w14:paraId="5BA8ED5B">
            <w:pPr>
              <w:pStyle w:val="30"/>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花管埋深（m）</w:t>
            </w:r>
          </w:p>
        </w:tc>
        <w:tc>
          <w:tcPr>
            <w:tcW w:w="579" w:type="pct"/>
            <w:vMerge w:val="restart"/>
            <w:tcBorders>
              <w:tl2br w:val="nil"/>
              <w:tr2bl w:val="nil"/>
            </w:tcBorders>
            <w:noWrap w:val="0"/>
            <w:vAlign w:val="center"/>
          </w:tcPr>
          <w:p w14:paraId="7267FA20">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地下水类型</w:t>
            </w:r>
          </w:p>
        </w:tc>
      </w:tr>
      <w:tr w14:paraId="09017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0" w:type="pct"/>
            <w:vMerge w:val="continue"/>
            <w:tcBorders>
              <w:bottom w:val="single" w:color="auto" w:sz="12" w:space="0"/>
              <w:tl2br w:val="nil"/>
              <w:tr2bl w:val="nil"/>
            </w:tcBorders>
            <w:noWrap w:val="0"/>
            <w:vAlign w:val="center"/>
          </w:tcPr>
          <w:p w14:paraId="2816A6D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97" w:type="pct"/>
            <w:vMerge w:val="continue"/>
            <w:tcBorders>
              <w:bottom w:val="single" w:color="auto" w:sz="12" w:space="0"/>
              <w:tl2br w:val="nil"/>
              <w:tr2bl w:val="nil"/>
            </w:tcBorders>
            <w:noWrap w:val="0"/>
            <w:vAlign w:val="center"/>
          </w:tcPr>
          <w:p w14:paraId="6416D54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666" w:type="pct"/>
            <w:tcBorders>
              <w:bottom w:val="single" w:color="auto" w:sz="12" w:space="0"/>
              <w:tl2br w:val="nil"/>
              <w:tr2bl w:val="nil"/>
            </w:tcBorders>
            <w:noWrap w:val="0"/>
            <w:vAlign w:val="center"/>
          </w:tcPr>
          <w:p w14:paraId="1C7350C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lang w:val="en-US" w:eastAsia="zh-CN"/>
              </w:rPr>
              <w:t>经度（°）</w:t>
            </w:r>
          </w:p>
        </w:tc>
        <w:tc>
          <w:tcPr>
            <w:tcW w:w="572" w:type="pct"/>
            <w:tcBorders>
              <w:bottom w:val="single" w:color="auto" w:sz="12" w:space="0"/>
              <w:tl2br w:val="nil"/>
              <w:tr2bl w:val="nil"/>
            </w:tcBorders>
            <w:noWrap w:val="0"/>
            <w:vAlign w:val="center"/>
          </w:tcPr>
          <w:p w14:paraId="70E46B93">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sz w:val="21"/>
                <w:szCs w:val="21"/>
                <w:highlight w:val="none"/>
                <w:lang w:val="en-US" w:eastAsia="zh-CN"/>
              </w:rPr>
              <w:t>纬度（°）</w:t>
            </w:r>
          </w:p>
        </w:tc>
        <w:tc>
          <w:tcPr>
            <w:tcW w:w="392" w:type="pct"/>
            <w:vMerge w:val="continue"/>
            <w:tcBorders>
              <w:bottom w:val="single" w:color="auto" w:sz="12" w:space="0"/>
              <w:tl2br w:val="nil"/>
              <w:tr2bl w:val="nil"/>
            </w:tcBorders>
            <w:noWrap w:val="0"/>
            <w:vAlign w:val="center"/>
          </w:tcPr>
          <w:p w14:paraId="79BBEEA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53" w:type="pct"/>
            <w:vMerge w:val="continue"/>
            <w:tcBorders>
              <w:bottom w:val="single" w:color="auto" w:sz="12" w:space="0"/>
              <w:tl2br w:val="nil"/>
              <w:tr2bl w:val="nil"/>
            </w:tcBorders>
            <w:noWrap w:val="0"/>
            <w:vAlign w:val="center"/>
          </w:tcPr>
          <w:p w14:paraId="46E1A3F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47" w:type="pct"/>
            <w:vMerge w:val="continue"/>
            <w:tcBorders>
              <w:bottom w:val="single" w:color="auto" w:sz="12" w:space="0"/>
              <w:tl2br w:val="nil"/>
              <w:tr2bl w:val="nil"/>
            </w:tcBorders>
            <w:noWrap w:val="0"/>
            <w:vAlign w:val="center"/>
          </w:tcPr>
          <w:p w14:paraId="6DF1AA4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79" w:type="pct"/>
            <w:vMerge w:val="continue"/>
            <w:tcBorders>
              <w:bottom w:val="single" w:color="auto" w:sz="12" w:space="0"/>
              <w:tl2br w:val="nil"/>
              <w:tr2bl w:val="nil"/>
            </w:tcBorders>
            <w:noWrap w:val="0"/>
            <w:vAlign w:val="center"/>
          </w:tcPr>
          <w:p w14:paraId="15280B8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c>
          <w:tcPr>
            <w:tcW w:w="579" w:type="pct"/>
            <w:vMerge w:val="continue"/>
            <w:tcBorders>
              <w:bottom w:val="single" w:color="auto" w:sz="12" w:space="0"/>
              <w:tl2br w:val="nil"/>
              <w:tr2bl w:val="nil"/>
            </w:tcBorders>
            <w:noWrap w:val="0"/>
            <w:vAlign w:val="center"/>
          </w:tcPr>
          <w:p w14:paraId="35DCC1D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auto"/>
                <w:kern w:val="0"/>
                <w:sz w:val="21"/>
                <w:szCs w:val="21"/>
                <w:highlight w:val="none"/>
              </w:rPr>
            </w:pPr>
          </w:p>
        </w:tc>
      </w:tr>
      <w:tr w14:paraId="32E94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0" w:type="pct"/>
            <w:tcBorders>
              <w:top w:val="single" w:color="auto" w:sz="12" w:space="0"/>
            </w:tcBorders>
            <w:noWrap w:val="0"/>
            <w:vAlign w:val="center"/>
          </w:tcPr>
          <w:p w14:paraId="2120A02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SJG-</w:t>
            </w:r>
            <w:r>
              <w:rPr>
                <w:rFonts w:hint="default" w:ascii="Times New Roman" w:hAnsi="Times New Roman" w:cs="Times New Roman"/>
                <w:color w:val="auto"/>
                <w:kern w:val="0"/>
                <w:sz w:val="21"/>
                <w:szCs w:val="21"/>
                <w:highlight w:val="none"/>
              </w:rPr>
              <w:t>W1</w:t>
            </w:r>
          </w:p>
        </w:tc>
        <w:tc>
          <w:tcPr>
            <w:tcW w:w="597" w:type="pct"/>
            <w:tcBorders>
              <w:top w:val="single" w:color="auto" w:sz="12" w:space="0"/>
            </w:tcBorders>
            <w:noWrap w:val="0"/>
            <w:vAlign w:val="center"/>
          </w:tcPr>
          <w:p w14:paraId="56E4B1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i w:val="0"/>
                <w:color w:val="auto"/>
                <w:kern w:val="0"/>
                <w:sz w:val="21"/>
                <w:szCs w:val="21"/>
                <w:highlight w:val="none"/>
                <w:u w:val="none"/>
                <w:lang w:val="en-US" w:eastAsia="zh-CN" w:bidi="ar"/>
              </w:rPr>
              <w:t>SJG</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JJ</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w:t>
            </w:r>
          </w:p>
        </w:tc>
        <w:tc>
          <w:tcPr>
            <w:tcW w:w="666" w:type="pct"/>
            <w:tcBorders>
              <w:top w:val="single" w:color="auto" w:sz="12" w:space="0"/>
            </w:tcBorders>
            <w:noWrap w:val="0"/>
            <w:vAlign w:val="center"/>
          </w:tcPr>
          <w:p w14:paraId="346E67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114.801465</w:t>
            </w:r>
          </w:p>
        </w:tc>
        <w:tc>
          <w:tcPr>
            <w:tcW w:w="572" w:type="pct"/>
            <w:tcBorders>
              <w:top w:val="single" w:color="auto" w:sz="12" w:space="0"/>
            </w:tcBorders>
            <w:noWrap w:val="0"/>
            <w:vAlign w:val="center"/>
          </w:tcPr>
          <w:p w14:paraId="21754F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30.535717</w:t>
            </w:r>
          </w:p>
        </w:tc>
        <w:tc>
          <w:tcPr>
            <w:tcW w:w="392" w:type="pct"/>
            <w:tcBorders>
              <w:top w:val="single" w:color="auto" w:sz="12" w:space="0"/>
            </w:tcBorders>
            <w:noWrap w:val="0"/>
            <w:vAlign w:val="center"/>
          </w:tcPr>
          <w:p w14:paraId="0D85995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8.0</w:t>
            </w:r>
          </w:p>
        </w:tc>
        <w:tc>
          <w:tcPr>
            <w:tcW w:w="553" w:type="pct"/>
            <w:tcBorders>
              <w:top w:val="single" w:color="auto" w:sz="12" w:space="0"/>
            </w:tcBorders>
            <w:noWrap w:val="0"/>
            <w:vAlign w:val="center"/>
          </w:tcPr>
          <w:p w14:paraId="23BDFE5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6.0</w:t>
            </w:r>
          </w:p>
        </w:tc>
        <w:tc>
          <w:tcPr>
            <w:tcW w:w="547" w:type="pct"/>
            <w:tcBorders>
              <w:top w:val="single" w:color="auto" w:sz="12" w:space="0"/>
            </w:tcBorders>
            <w:noWrap w:val="0"/>
            <w:vAlign w:val="center"/>
          </w:tcPr>
          <w:p w14:paraId="3DC5D47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1.0</w:t>
            </w:r>
          </w:p>
        </w:tc>
        <w:tc>
          <w:tcPr>
            <w:tcW w:w="579" w:type="pct"/>
            <w:tcBorders>
              <w:top w:val="single" w:color="auto" w:sz="12" w:space="0"/>
            </w:tcBorders>
            <w:noWrap w:val="0"/>
            <w:vAlign w:val="center"/>
          </w:tcPr>
          <w:p w14:paraId="5D2210B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4.0-7.5</w:t>
            </w:r>
          </w:p>
        </w:tc>
        <w:tc>
          <w:tcPr>
            <w:tcW w:w="579" w:type="pct"/>
            <w:tcBorders>
              <w:top w:val="single" w:color="auto" w:sz="12" w:space="0"/>
            </w:tcBorders>
            <w:noWrap w:val="0"/>
            <w:vAlign w:val="center"/>
          </w:tcPr>
          <w:p w14:paraId="25F22DC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潜水</w:t>
            </w:r>
          </w:p>
        </w:tc>
      </w:tr>
      <w:tr w14:paraId="29B784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0" w:type="pct"/>
            <w:noWrap w:val="0"/>
            <w:vAlign w:val="center"/>
          </w:tcPr>
          <w:p w14:paraId="45F3F76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val="en-US" w:eastAsia="zh-CN"/>
              </w:rPr>
              <w:t>SJG-</w:t>
            </w:r>
            <w:r>
              <w:rPr>
                <w:rFonts w:hint="default" w:ascii="Times New Roman" w:hAnsi="Times New Roman" w:cs="Times New Roman"/>
                <w:color w:val="auto"/>
                <w:kern w:val="0"/>
                <w:sz w:val="21"/>
                <w:szCs w:val="21"/>
                <w:highlight w:val="none"/>
              </w:rPr>
              <w:t>W2</w:t>
            </w:r>
          </w:p>
        </w:tc>
        <w:tc>
          <w:tcPr>
            <w:tcW w:w="597" w:type="pct"/>
            <w:noWrap w:val="0"/>
            <w:vAlign w:val="center"/>
          </w:tcPr>
          <w:p w14:paraId="77E91A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i w:val="0"/>
                <w:color w:val="auto"/>
                <w:kern w:val="0"/>
                <w:sz w:val="21"/>
                <w:szCs w:val="21"/>
                <w:highlight w:val="none"/>
                <w:u w:val="none"/>
                <w:lang w:val="en-US" w:eastAsia="zh-CN" w:bidi="ar"/>
              </w:rPr>
              <w:t>SJG</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1-75</w:t>
            </w:r>
          </w:p>
        </w:tc>
        <w:tc>
          <w:tcPr>
            <w:tcW w:w="666" w:type="pct"/>
            <w:noWrap w:val="0"/>
            <w:vAlign w:val="center"/>
          </w:tcPr>
          <w:p w14:paraId="04CD91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114.753141</w:t>
            </w:r>
          </w:p>
        </w:tc>
        <w:tc>
          <w:tcPr>
            <w:tcW w:w="572" w:type="pct"/>
            <w:noWrap w:val="0"/>
            <w:vAlign w:val="center"/>
          </w:tcPr>
          <w:p w14:paraId="43BE72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30.520153</w:t>
            </w:r>
          </w:p>
        </w:tc>
        <w:tc>
          <w:tcPr>
            <w:tcW w:w="392" w:type="pct"/>
            <w:noWrap w:val="0"/>
            <w:vAlign w:val="center"/>
          </w:tcPr>
          <w:p w14:paraId="5544325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11.0</w:t>
            </w:r>
          </w:p>
        </w:tc>
        <w:tc>
          <w:tcPr>
            <w:tcW w:w="553" w:type="pct"/>
            <w:noWrap w:val="0"/>
            <w:vAlign w:val="center"/>
          </w:tcPr>
          <w:p w14:paraId="461EB51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9.0</w:t>
            </w:r>
          </w:p>
        </w:tc>
        <w:tc>
          <w:tcPr>
            <w:tcW w:w="547" w:type="pct"/>
            <w:noWrap w:val="0"/>
            <w:vAlign w:val="center"/>
          </w:tcPr>
          <w:p w14:paraId="59C153A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5.0</w:t>
            </w:r>
          </w:p>
        </w:tc>
        <w:tc>
          <w:tcPr>
            <w:tcW w:w="579" w:type="pct"/>
            <w:noWrap w:val="0"/>
            <w:vAlign w:val="center"/>
          </w:tcPr>
          <w:p w14:paraId="3535F76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8.0-10.5</w:t>
            </w:r>
          </w:p>
        </w:tc>
        <w:tc>
          <w:tcPr>
            <w:tcW w:w="579" w:type="pct"/>
            <w:noWrap w:val="0"/>
            <w:vAlign w:val="center"/>
          </w:tcPr>
          <w:p w14:paraId="1D3D48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潜水</w:t>
            </w:r>
          </w:p>
        </w:tc>
      </w:tr>
    </w:tbl>
    <w:p w14:paraId="1FC03072">
      <w:pPr>
        <w:widowControl/>
        <w:spacing w:line="240" w:lineRule="auto"/>
        <w:rPr>
          <w:rFonts w:hint="default" w:ascii="Times New Roman" w:hAnsi="Times New Roman" w:cs="Times New Roman"/>
          <w:b/>
          <w:color w:val="auto"/>
          <w:kern w:val="0"/>
          <w:sz w:val="18"/>
          <w:szCs w:val="18"/>
          <w:highlight w:val="none"/>
        </w:rPr>
      </w:pPr>
      <w:r>
        <w:rPr>
          <w:rFonts w:hint="default" w:ascii="Times New Roman" w:hAnsi="Times New Roman" w:cs="Times New Roman"/>
          <w:b/>
          <w:color w:val="auto"/>
          <w:kern w:val="0"/>
          <w:sz w:val="18"/>
          <w:szCs w:val="18"/>
          <w:highlight w:val="none"/>
        </w:rPr>
        <w:t>备注：①初见水位和稳定水位均为距离地面的距离</w:t>
      </w:r>
      <w:r>
        <w:rPr>
          <w:rFonts w:hint="default" w:ascii="Times New Roman" w:hAnsi="Times New Roman" w:cs="Times New Roman"/>
          <w:b/>
          <w:color w:val="auto"/>
          <w:kern w:val="0"/>
          <w:sz w:val="18"/>
          <w:szCs w:val="18"/>
          <w:highlight w:val="none"/>
          <w:lang w:eastAsia="zh-CN"/>
        </w:rPr>
        <w:t>。</w:t>
      </w:r>
    </w:p>
    <w:p w14:paraId="5E453297">
      <w:pPr>
        <w:pStyle w:val="4"/>
        <w:rPr>
          <w:rFonts w:hint="default" w:ascii="Times New Roman" w:hAnsi="Times New Roman" w:cs="Times New Roman"/>
          <w:highlight w:val="none"/>
        </w:rPr>
      </w:pPr>
      <w:bookmarkStart w:id="50" w:name="_Toc10149"/>
      <w:bookmarkStart w:id="51" w:name="_Toc9682"/>
      <w:r>
        <w:rPr>
          <w:rFonts w:hint="default" w:ascii="Times New Roman" w:hAnsi="Times New Roman" w:cs="Times New Roman"/>
          <w:highlight w:val="none"/>
        </w:rPr>
        <w:t>实验室分析</w:t>
      </w:r>
      <w:bookmarkEnd w:id="50"/>
      <w:bookmarkEnd w:id="51"/>
    </w:p>
    <w:p w14:paraId="516DB0D9">
      <w:pPr>
        <w:spacing w:line="360" w:lineRule="auto"/>
        <w:ind w:left="1"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本次调查</w:t>
      </w:r>
      <w:r>
        <w:rPr>
          <w:rFonts w:hint="eastAsia" w:cs="Times New Roman"/>
          <w:color w:val="auto"/>
          <w:sz w:val="24"/>
          <w:highlight w:val="none"/>
          <w:lang w:val="en-US" w:eastAsia="zh-CN"/>
        </w:rPr>
        <w:t>向每家检测单位</w:t>
      </w:r>
      <w:r>
        <w:rPr>
          <w:rFonts w:hint="default" w:ascii="Times New Roman" w:hAnsi="Times New Roman" w:cs="Times New Roman"/>
          <w:color w:val="auto"/>
          <w:sz w:val="24"/>
          <w:highlight w:val="none"/>
        </w:rPr>
        <w:t>送检</w:t>
      </w:r>
      <w:r>
        <w:rPr>
          <w:rFonts w:hint="default" w:ascii="Times New Roman" w:hAnsi="Times New Roman" w:cs="Times New Roman"/>
          <w:color w:val="auto"/>
          <w:sz w:val="24"/>
          <w:highlight w:val="none"/>
          <w:lang w:val="en-US" w:eastAsia="zh-CN"/>
        </w:rPr>
        <w:t>16</w:t>
      </w:r>
      <w:r>
        <w:rPr>
          <w:rFonts w:hint="default" w:ascii="Times New Roman" w:hAnsi="Times New Roman" w:cs="Times New Roman"/>
          <w:color w:val="auto"/>
          <w:sz w:val="24"/>
          <w:highlight w:val="none"/>
        </w:rPr>
        <w:t>个土壤样品</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个平行盲样</w:t>
      </w:r>
      <w:r>
        <w:rPr>
          <w:rFonts w:hint="default" w:ascii="Times New Roman" w:hAnsi="Times New Roman" w:cs="Times New Roman"/>
          <w:color w:val="auto"/>
          <w:sz w:val="24"/>
          <w:highlight w:val="none"/>
          <w:lang w:eastAsia="zh-CN"/>
        </w:rPr>
        <w:t>和</w:t>
      </w:r>
      <w:r>
        <w:rPr>
          <w:rFonts w:hint="default" w:ascii="Times New Roman" w:hAnsi="Times New Roman" w:cs="Times New Roman"/>
          <w:color w:val="auto"/>
          <w:kern w:val="0"/>
          <w:sz w:val="24"/>
          <w:highlight w:val="none"/>
        </w:rPr>
        <w:t>1个运输空白样</w:t>
      </w:r>
      <w:r>
        <w:rPr>
          <w:rFonts w:hint="default" w:ascii="Times New Roman" w:hAnsi="Times New Roman" w:cs="Times New Roman"/>
          <w:color w:val="auto"/>
          <w:sz w:val="24"/>
          <w:highlight w:val="none"/>
        </w:rPr>
        <w:t>，土壤样品</w:t>
      </w:r>
      <w:r>
        <w:rPr>
          <w:rFonts w:hint="default" w:ascii="Times New Roman" w:hAnsi="Times New Roman" w:cs="Times New Roman"/>
          <w:color w:val="auto"/>
          <w:sz w:val="24"/>
          <w:highlight w:val="none"/>
          <w:lang w:eastAsia="zh-CN"/>
        </w:rPr>
        <w:t>中</w:t>
      </w:r>
      <w:r>
        <w:rPr>
          <w:rFonts w:hint="default" w:ascii="Times New Roman" w:hAnsi="Times New Roman" w:cs="Times New Roman"/>
          <w:color w:val="auto"/>
          <w:sz w:val="24"/>
          <w:highlight w:val="none"/>
        </w:rPr>
        <w:t>所有</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测试工作委托第三方实验室武汉仲联诚鉴检测技术有限公司承担，</w:t>
      </w:r>
      <w:r>
        <w:rPr>
          <w:rFonts w:hint="default" w:ascii="Times New Roman" w:hAnsi="Times New Roman" w:cs="Times New Roman"/>
          <w:color w:val="auto"/>
          <w:sz w:val="24"/>
          <w:highlight w:val="none"/>
          <w:lang w:eastAsia="zh-CN"/>
        </w:rPr>
        <w:t>二噁英的测试工作委托通标技术服务（上海）有限公司承担，</w:t>
      </w:r>
      <w:r>
        <w:rPr>
          <w:rFonts w:hint="default" w:ascii="Times New Roman" w:hAnsi="Times New Roman" w:cs="Times New Roman"/>
          <w:color w:val="auto"/>
          <w:sz w:val="24"/>
          <w:highlight w:val="none"/>
        </w:rPr>
        <w:t>其余测试项目均委托苏伊士环境检测技术（上海）有限公司</w:t>
      </w:r>
      <w:r>
        <w:rPr>
          <w:rFonts w:hint="default" w:ascii="Times New Roman" w:hAnsi="Times New Roman" w:cs="Times New Roman"/>
          <w:color w:val="auto"/>
          <w:sz w:val="24"/>
          <w:highlight w:val="none"/>
          <w:lang w:eastAsia="zh-CN"/>
        </w:rPr>
        <w:t>北京分公司</w:t>
      </w:r>
      <w:r>
        <w:rPr>
          <w:rFonts w:hint="default" w:ascii="Times New Roman" w:hAnsi="Times New Roman" w:cs="Times New Roman"/>
          <w:color w:val="auto"/>
          <w:sz w:val="24"/>
          <w:highlight w:val="none"/>
        </w:rPr>
        <w:t>承担</w:t>
      </w:r>
      <w:r>
        <w:rPr>
          <w:rFonts w:hint="eastAsia" w:cs="Times New Roman"/>
          <w:color w:val="auto"/>
          <w:sz w:val="24"/>
          <w:highlight w:val="none"/>
          <w:lang w:eastAsia="zh-CN"/>
        </w:rPr>
        <w:t>。</w:t>
      </w:r>
      <w:r>
        <w:rPr>
          <w:rFonts w:hint="eastAsia" w:cs="Times New Roman"/>
          <w:color w:val="auto"/>
          <w:sz w:val="24"/>
          <w:highlight w:val="none"/>
          <w:lang w:val="en-US" w:eastAsia="zh-CN"/>
        </w:rPr>
        <w:t>2个</w:t>
      </w:r>
      <w:r>
        <w:rPr>
          <w:rFonts w:hint="default" w:ascii="Times New Roman" w:hAnsi="Times New Roman" w:cs="Times New Roman"/>
          <w:color w:val="auto"/>
          <w:sz w:val="24"/>
          <w:highlight w:val="none"/>
          <w:lang w:eastAsia="zh-CN"/>
        </w:rPr>
        <w:t>地下水样品均委托</w:t>
      </w:r>
      <w:r>
        <w:rPr>
          <w:rFonts w:hint="default" w:ascii="Times New Roman" w:hAnsi="Times New Roman" w:cs="Times New Roman"/>
          <w:color w:val="auto"/>
          <w:sz w:val="24"/>
          <w:highlight w:val="none"/>
        </w:rPr>
        <w:t>武汉仲联诚鉴检测技术有限公司承担</w:t>
      </w:r>
      <w:r>
        <w:rPr>
          <w:rFonts w:hint="default" w:ascii="Times New Roman" w:hAnsi="Times New Roman" w:cs="Times New Roman"/>
          <w:color w:val="auto"/>
          <w:sz w:val="24"/>
          <w:highlight w:val="none"/>
          <w:lang w:eastAsia="zh-CN"/>
        </w:rPr>
        <w:t>。</w:t>
      </w:r>
    </w:p>
    <w:p w14:paraId="38C5FB7D">
      <w:pPr>
        <w:pStyle w:val="5"/>
        <w:tabs>
          <w:tab w:val="left" w:pos="425"/>
        </w:tabs>
        <w:spacing w:before="120"/>
        <w:rPr>
          <w:rFonts w:hint="default" w:ascii="Times New Roman" w:hAnsi="Times New Roman" w:cs="Times New Roman"/>
          <w:bCs w:val="0"/>
          <w:color w:val="auto"/>
          <w:highlight w:val="none"/>
        </w:rPr>
      </w:pPr>
      <w:r>
        <w:rPr>
          <w:rFonts w:hint="default" w:ascii="Times New Roman" w:hAnsi="Times New Roman" w:cs="Times New Roman"/>
          <w:bCs w:val="0"/>
          <w:color w:val="auto"/>
          <w:highlight w:val="none"/>
        </w:rPr>
        <w:t>检测单位介绍</w:t>
      </w:r>
    </w:p>
    <w:p w14:paraId="49DC0AD6">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委托开展样品测试的第三方检测单位（苏伊士环境检测技术（上海）有限公司北京分公司、武汉仲联诚鉴检测技术有限公司</w:t>
      </w:r>
      <w:r>
        <w:rPr>
          <w:rFonts w:hint="default" w:ascii="Times New Roman" w:hAnsi="Times New Roman" w:cs="Times New Roman"/>
          <w:color w:val="auto"/>
          <w:sz w:val="24"/>
          <w:highlight w:val="none"/>
          <w:lang w:eastAsia="zh-CN"/>
        </w:rPr>
        <w:t>、通标技术服务（上海）有限公司</w:t>
      </w:r>
      <w:r>
        <w:rPr>
          <w:rFonts w:hint="default" w:ascii="Times New Roman" w:hAnsi="Times New Roman" w:cs="Times New Roman"/>
          <w:color w:val="auto"/>
          <w:sz w:val="24"/>
          <w:highlight w:val="none"/>
        </w:rPr>
        <w:t>）均具有CMA计量认证，可提供现场采样以及现场监测服务。</w:t>
      </w:r>
    </w:p>
    <w:p w14:paraId="0BC9C719">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检测单位资质证书见附件2。</w:t>
      </w:r>
    </w:p>
    <w:p w14:paraId="716C3E0C">
      <w:pPr>
        <w:pStyle w:val="5"/>
        <w:tabs>
          <w:tab w:val="left" w:pos="425"/>
        </w:tabs>
        <w:spacing w:before="120"/>
        <w:rPr>
          <w:rFonts w:hint="default" w:ascii="Times New Roman" w:hAnsi="Times New Roman" w:cs="Times New Roman"/>
          <w:color w:val="auto"/>
          <w:highlight w:val="none"/>
        </w:rPr>
      </w:pPr>
      <w:r>
        <w:rPr>
          <w:rFonts w:hint="default" w:ascii="Times New Roman" w:hAnsi="Times New Roman" w:cs="Times New Roman"/>
          <w:color w:val="auto"/>
          <w:highlight w:val="none"/>
        </w:rPr>
        <w:t>监测分析方法</w:t>
      </w:r>
    </w:p>
    <w:p w14:paraId="270CF9A6">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土壤样品</w:t>
      </w:r>
      <w:r>
        <w:rPr>
          <w:rFonts w:hint="default" w:ascii="Times New Roman" w:hAnsi="Times New Roman" w:cs="Times New Roman"/>
          <w:color w:val="auto"/>
          <w:sz w:val="24"/>
          <w:highlight w:val="none"/>
        </w:rPr>
        <w:t>各检测指标检测方法和检出限详见表4-</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-1。</w:t>
      </w:r>
    </w:p>
    <w:p w14:paraId="0B6D5BA4">
      <w:pPr>
        <w:spacing w:line="360" w:lineRule="auto"/>
        <w:ind w:left="1"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lang w:eastAsia="zh-CN"/>
        </w:rPr>
        <w:t>地下水样品</w:t>
      </w:r>
      <w:r>
        <w:rPr>
          <w:rFonts w:hint="default" w:ascii="Times New Roman" w:hAnsi="Times New Roman" w:cs="Times New Roman"/>
          <w:color w:val="auto"/>
          <w:sz w:val="24"/>
          <w:highlight w:val="none"/>
        </w:rPr>
        <w:t>各检测指标检测方法和检出限详见表4-</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3669535E">
      <w:pPr>
        <w:spacing w:before="156" w:beforeLines="50" w:line="240" w:lineRule="auto"/>
        <w:jc w:val="center"/>
        <w:rPr>
          <w:rFonts w:hint="default" w:ascii="Times New Roman" w:hAnsi="Times New Roman" w:eastAsia="黑体" w:cs="Times New Roman"/>
          <w:b/>
          <w:bCs/>
          <w:color w:val="auto"/>
          <w:sz w:val="24"/>
          <w:highlight w:val="none"/>
        </w:rPr>
      </w:pPr>
      <w:r>
        <w:rPr>
          <w:rFonts w:hint="default" w:ascii="Times New Roman" w:hAnsi="Times New Roman" w:eastAsia="黑体" w:cs="Times New Roman"/>
          <w:b/>
          <w:bCs/>
          <w:color w:val="auto"/>
          <w:sz w:val="24"/>
          <w:highlight w:val="none"/>
        </w:rPr>
        <w:t>表4-</w:t>
      </w:r>
      <w:r>
        <w:rPr>
          <w:rFonts w:hint="default" w:ascii="Times New Roman" w:hAnsi="Times New Roman" w:eastAsia="黑体" w:cs="Times New Roman"/>
          <w:b/>
          <w:bCs/>
          <w:color w:val="auto"/>
          <w:sz w:val="24"/>
          <w:highlight w:val="none"/>
          <w:lang w:val="en-US" w:eastAsia="zh-CN"/>
        </w:rPr>
        <w:t>4</w:t>
      </w:r>
      <w:r>
        <w:rPr>
          <w:rFonts w:hint="default" w:ascii="Times New Roman" w:hAnsi="Times New Roman" w:eastAsia="黑体" w:cs="Times New Roman"/>
          <w:b/>
          <w:bCs/>
          <w:color w:val="auto"/>
          <w:sz w:val="24"/>
          <w:highlight w:val="none"/>
        </w:rPr>
        <w:t>-1  土壤监测分析方法及检出限汇总</w:t>
      </w:r>
    </w:p>
    <w:tbl>
      <w:tblPr>
        <w:tblStyle w:val="21"/>
        <w:tblW w:w="5000" w:type="pct"/>
        <w:jc w:val="center"/>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01"/>
        <w:gridCol w:w="1817"/>
        <w:gridCol w:w="3714"/>
        <w:gridCol w:w="1358"/>
        <w:gridCol w:w="1438"/>
      </w:tblGrid>
      <w:tr w14:paraId="532208F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25" w:type="dxa"/>
            <w:tcBorders>
              <w:top w:val="single" w:color="auto" w:sz="12" w:space="0"/>
              <w:left w:val="nil"/>
              <w:bottom w:val="single" w:color="auto" w:sz="12" w:space="0"/>
              <w:right w:val="single" w:color="auto" w:sz="4" w:space="0"/>
            </w:tcBorders>
            <w:noWrap w:val="0"/>
            <w:vAlign w:val="center"/>
          </w:tcPr>
          <w:p w14:paraId="55EC18B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类型</w:t>
            </w:r>
          </w:p>
        </w:tc>
        <w:tc>
          <w:tcPr>
            <w:tcW w:w="2718" w:type="dxa"/>
            <w:gridSpan w:val="2"/>
            <w:tcBorders>
              <w:top w:val="single" w:color="auto" w:sz="12" w:space="0"/>
              <w:left w:val="single" w:color="auto" w:sz="4" w:space="0"/>
              <w:bottom w:val="single" w:color="auto" w:sz="12" w:space="0"/>
              <w:right w:val="single" w:color="auto" w:sz="4" w:space="0"/>
            </w:tcBorders>
            <w:noWrap w:val="0"/>
            <w:vAlign w:val="center"/>
          </w:tcPr>
          <w:p w14:paraId="356268F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
                <w:color w:val="auto"/>
                <w:sz w:val="21"/>
                <w:szCs w:val="21"/>
                <w:highlight w:val="none"/>
                <w:lang w:eastAsia="zh-CN"/>
              </w:rPr>
            </w:pPr>
            <w:r>
              <w:rPr>
                <w:rFonts w:hint="default" w:ascii="Times New Roman" w:hAnsi="Times New Roman" w:cs="Times New Roman"/>
                <w:b/>
                <w:color w:val="auto"/>
                <w:sz w:val="21"/>
                <w:szCs w:val="21"/>
                <w:highlight w:val="none"/>
              </w:rPr>
              <w:t>监测</w:t>
            </w:r>
            <w:r>
              <w:rPr>
                <w:rFonts w:hint="default" w:ascii="Times New Roman" w:hAnsi="Times New Roman" w:cs="Times New Roman"/>
                <w:b/>
                <w:color w:val="auto"/>
                <w:sz w:val="21"/>
                <w:szCs w:val="21"/>
                <w:highlight w:val="none"/>
                <w:lang w:eastAsia="zh-CN"/>
              </w:rPr>
              <w:t>污染指标</w:t>
            </w:r>
          </w:p>
        </w:tc>
        <w:tc>
          <w:tcPr>
            <w:tcW w:w="3714" w:type="dxa"/>
            <w:tcBorders>
              <w:top w:val="single" w:color="auto" w:sz="12" w:space="0"/>
              <w:left w:val="single" w:color="auto" w:sz="4" w:space="0"/>
              <w:bottom w:val="single" w:color="auto" w:sz="12" w:space="0"/>
              <w:right w:val="single" w:color="auto" w:sz="4" w:space="0"/>
            </w:tcBorders>
            <w:noWrap w:val="0"/>
            <w:vAlign w:val="center"/>
          </w:tcPr>
          <w:p w14:paraId="68AA8B1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分析方法及依据</w:t>
            </w:r>
          </w:p>
        </w:tc>
        <w:tc>
          <w:tcPr>
            <w:tcW w:w="1358" w:type="dxa"/>
            <w:tcBorders>
              <w:top w:val="single" w:color="auto" w:sz="12" w:space="0"/>
              <w:left w:val="single" w:color="auto" w:sz="4" w:space="0"/>
              <w:bottom w:val="single" w:color="auto" w:sz="12" w:space="0"/>
              <w:right w:val="single" w:color="auto" w:sz="4" w:space="0"/>
            </w:tcBorders>
            <w:noWrap w:val="0"/>
            <w:vAlign w:val="center"/>
          </w:tcPr>
          <w:p w14:paraId="739F5E0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标准编号</w:t>
            </w:r>
          </w:p>
        </w:tc>
        <w:tc>
          <w:tcPr>
            <w:tcW w:w="1438" w:type="dxa"/>
            <w:tcBorders>
              <w:top w:val="single" w:color="auto" w:sz="12" w:space="0"/>
              <w:left w:val="single" w:color="auto" w:sz="4" w:space="0"/>
              <w:bottom w:val="single" w:color="auto" w:sz="12" w:space="0"/>
              <w:right w:val="nil"/>
            </w:tcBorders>
            <w:noWrap w:val="0"/>
            <w:vAlign w:val="center"/>
          </w:tcPr>
          <w:p w14:paraId="495D6C4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检出限</w:t>
            </w:r>
            <w:r>
              <w:rPr>
                <w:rFonts w:hint="default" w:ascii="Times New Roman" w:hAnsi="Times New Roman" w:cs="Times New Roman"/>
                <w:b/>
                <w:color w:val="auto"/>
                <w:sz w:val="21"/>
                <w:szCs w:val="21"/>
                <w:highlight w:val="none"/>
                <w:vertAlign w:val="superscript"/>
                <w:lang w:val="en-US" w:eastAsia="zh-CN"/>
              </w:rPr>
              <w:t>①</w:t>
            </w:r>
            <w:r>
              <w:rPr>
                <w:rFonts w:hint="default" w:ascii="Times New Roman" w:hAnsi="Times New Roman" w:cs="Times New Roman"/>
                <w:b/>
                <w:color w:val="auto"/>
                <w:kern w:val="0"/>
                <w:sz w:val="21"/>
                <w:szCs w:val="21"/>
                <w:highlight w:val="none"/>
              </w:rPr>
              <w:t>（mg/kg）</w:t>
            </w:r>
          </w:p>
        </w:tc>
      </w:tr>
      <w:tr w14:paraId="2A3EB68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restart"/>
            <w:tcBorders>
              <w:top w:val="single" w:color="auto" w:sz="12" w:space="0"/>
              <w:left w:val="nil"/>
              <w:bottom w:val="single" w:color="auto" w:sz="4" w:space="0"/>
              <w:right w:val="single" w:color="auto" w:sz="4" w:space="0"/>
            </w:tcBorders>
            <w:noWrap w:val="0"/>
            <w:vAlign w:val="center"/>
          </w:tcPr>
          <w:p w14:paraId="0FF8A38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w:t>
            </w:r>
          </w:p>
        </w:tc>
        <w:tc>
          <w:tcPr>
            <w:tcW w:w="2718" w:type="dxa"/>
            <w:gridSpan w:val="2"/>
            <w:tcBorders>
              <w:top w:val="single" w:color="auto" w:sz="12" w:space="0"/>
              <w:left w:val="single" w:color="auto" w:sz="4" w:space="0"/>
              <w:bottom w:val="single" w:color="auto" w:sz="4" w:space="0"/>
              <w:right w:val="single" w:color="auto" w:sz="4" w:space="0"/>
            </w:tcBorders>
            <w:noWrap w:val="0"/>
            <w:vAlign w:val="center"/>
          </w:tcPr>
          <w:p w14:paraId="04C649D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pH值</w:t>
            </w:r>
          </w:p>
        </w:tc>
        <w:tc>
          <w:tcPr>
            <w:tcW w:w="3714" w:type="dxa"/>
            <w:tcBorders>
              <w:top w:val="single" w:color="auto" w:sz="12" w:space="0"/>
              <w:left w:val="single" w:color="auto" w:sz="4" w:space="0"/>
              <w:bottom w:val="single" w:color="auto" w:sz="4" w:space="0"/>
              <w:right w:val="single" w:color="auto" w:sz="4" w:space="0"/>
            </w:tcBorders>
            <w:noWrap w:val="0"/>
            <w:vAlign w:val="center"/>
          </w:tcPr>
          <w:p w14:paraId="300FF65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土壤 pH值的测定 电位法</w:t>
            </w:r>
          </w:p>
        </w:tc>
        <w:tc>
          <w:tcPr>
            <w:tcW w:w="1358" w:type="dxa"/>
            <w:tcBorders>
              <w:top w:val="single" w:color="auto" w:sz="12" w:space="0"/>
              <w:left w:val="single" w:color="auto" w:sz="4" w:space="0"/>
              <w:bottom w:val="single" w:color="auto" w:sz="4" w:space="0"/>
              <w:right w:val="single" w:color="auto" w:sz="4" w:space="0"/>
            </w:tcBorders>
            <w:noWrap w:val="0"/>
            <w:vAlign w:val="center"/>
          </w:tcPr>
          <w:p w14:paraId="5537EEC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HJ 962-2018</w:t>
            </w:r>
          </w:p>
        </w:tc>
        <w:tc>
          <w:tcPr>
            <w:tcW w:w="1438" w:type="dxa"/>
            <w:tcBorders>
              <w:top w:val="single" w:color="auto" w:sz="12" w:space="0"/>
              <w:left w:val="single" w:color="auto" w:sz="4" w:space="0"/>
              <w:bottom w:val="single" w:color="auto" w:sz="4" w:space="0"/>
              <w:right w:val="nil"/>
            </w:tcBorders>
            <w:noWrap w:val="0"/>
            <w:vAlign w:val="center"/>
          </w:tcPr>
          <w:p w14:paraId="55C2097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0.01（无量纲）</w:t>
            </w:r>
          </w:p>
        </w:tc>
      </w:tr>
      <w:tr w14:paraId="6DA75F1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left w:val="nil"/>
              <w:right w:val="single" w:color="auto" w:sz="4" w:space="0"/>
            </w:tcBorders>
            <w:noWrap w:val="0"/>
            <w:vAlign w:val="center"/>
          </w:tcPr>
          <w:p w14:paraId="629D278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3C6A11D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总氟化物</w:t>
            </w:r>
          </w:p>
        </w:tc>
        <w:tc>
          <w:tcPr>
            <w:tcW w:w="3714" w:type="dxa"/>
            <w:tcBorders>
              <w:top w:val="single" w:color="auto" w:sz="4" w:space="0"/>
              <w:left w:val="single" w:color="auto" w:sz="4" w:space="0"/>
              <w:bottom w:val="single" w:color="auto" w:sz="4" w:space="0"/>
              <w:right w:val="single" w:color="auto" w:sz="4" w:space="0"/>
            </w:tcBorders>
            <w:noWrap w:val="0"/>
            <w:vAlign w:val="center"/>
          </w:tcPr>
          <w:p w14:paraId="27A8240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sz w:val="21"/>
                <w:szCs w:val="21"/>
                <w:highlight w:val="none"/>
              </w:rPr>
              <w:t>土壤 水溶性氟化物和总氟化物的测定 离子选择电极法</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7E47DD4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sz w:val="21"/>
                <w:szCs w:val="21"/>
                <w:highlight w:val="none"/>
              </w:rPr>
              <w:t>HJ 873-2017</w:t>
            </w:r>
          </w:p>
        </w:tc>
        <w:tc>
          <w:tcPr>
            <w:tcW w:w="1438" w:type="dxa"/>
            <w:tcBorders>
              <w:top w:val="single" w:color="auto" w:sz="4" w:space="0"/>
              <w:left w:val="single" w:color="auto" w:sz="4" w:space="0"/>
              <w:bottom w:val="single" w:color="auto" w:sz="4" w:space="0"/>
              <w:right w:val="nil"/>
            </w:tcBorders>
            <w:noWrap w:val="0"/>
            <w:vAlign w:val="center"/>
          </w:tcPr>
          <w:p w14:paraId="5F10F17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63</w:t>
            </w:r>
          </w:p>
        </w:tc>
      </w:tr>
      <w:tr w14:paraId="7AF9BE2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A365AA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4698F28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铬（六价）</w:t>
            </w:r>
          </w:p>
        </w:tc>
        <w:tc>
          <w:tcPr>
            <w:tcW w:w="3714" w:type="dxa"/>
            <w:tcBorders>
              <w:top w:val="single" w:color="auto" w:sz="4" w:space="0"/>
              <w:left w:val="single" w:color="auto" w:sz="4" w:space="0"/>
              <w:bottom w:val="single" w:color="auto" w:sz="4" w:space="0"/>
              <w:right w:val="single" w:color="auto" w:sz="4" w:space="0"/>
            </w:tcBorders>
            <w:noWrap w:val="0"/>
            <w:vAlign w:val="center"/>
          </w:tcPr>
          <w:p w14:paraId="68BBADD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 xml:space="preserve">土壤和沉积物 </w:t>
            </w:r>
            <w:r>
              <w:rPr>
                <w:rFonts w:hint="default" w:ascii="Times New Roman" w:hAnsi="Times New Roman" w:cs="Times New Roman"/>
                <w:color w:val="auto"/>
                <w:kern w:val="0"/>
                <w:sz w:val="21"/>
                <w:szCs w:val="21"/>
                <w:highlight w:val="none"/>
                <w:lang w:eastAsia="zh-CN"/>
              </w:rPr>
              <w:t>铬（六价）</w:t>
            </w:r>
            <w:r>
              <w:rPr>
                <w:rFonts w:hint="default" w:ascii="Times New Roman" w:hAnsi="Times New Roman" w:cs="Times New Roman"/>
                <w:color w:val="auto"/>
                <w:kern w:val="0"/>
                <w:sz w:val="21"/>
                <w:szCs w:val="21"/>
                <w:highlight w:val="none"/>
              </w:rPr>
              <w:t>的测定 碱溶液提取-火焰原子吸收分光光度法</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7A46CAB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 xml:space="preserve">HJ 1082-2019 </w:t>
            </w:r>
          </w:p>
        </w:tc>
        <w:tc>
          <w:tcPr>
            <w:tcW w:w="1438" w:type="dxa"/>
            <w:tcBorders>
              <w:top w:val="single" w:color="auto" w:sz="4" w:space="0"/>
              <w:left w:val="single" w:color="auto" w:sz="4" w:space="0"/>
              <w:bottom w:val="single" w:color="auto" w:sz="4" w:space="0"/>
              <w:right w:val="nil"/>
            </w:tcBorders>
            <w:noWrap w:val="0"/>
            <w:vAlign w:val="center"/>
          </w:tcPr>
          <w:p w14:paraId="11C11CF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w:t>
            </w:r>
          </w:p>
        </w:tc>
      </w:tr>
      <w:tr w14:paraId="4701E82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12" w:space="0"/>
              <w:right w:val="single" w:color="auto" w:sz="4" w:space="0"/>
            </w:tcBorders>
            <w:noWrap w:val="0"/>
            <w:vAlign w:val="center"/>
          </w:tcPr>
          <w:p w14:paraId="3FE5453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12" w:space="0"/>
              <w:right w:val="single" w:color="auto" w:sz="4" w:space="0"/>
            </w:tcBorders>
            <w:noWrap w:val="0"/>
            <w:vAlign w:val="center"/>
          </w:tcPr>
          <w:p w14:paraId="7382D39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铅</w:t>
            </w:r>
          </w:p>
        </w:tc>
        <w:tc>
          <w:tcPr>
            <w:tcW w:w="3714" w:type="dxa"/>
            <w:vMerge w:val="restart"/>
            <w:tcBorders>
              <w:top w:val="single" w:color="auto" w:sz="4" w:space="0"/>
              <w:left w:val="single" w:color="auto" w:sz="4" w:space="0"/>
              <w:bottom w:val="single" w:color="auto" w:sz="12" w:space="0"/>
              <w:right w:val="single" w:color="auto" w:sz="4" w:space="0"/>
            </w:tcBorders>
            <w:noWrap w:val="0"/>
            <w:vAlign w:val="center"/>
          </w:tcPr>
          <w:p w14:paraId="102119E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土壤质量 铅、镉的测定 石墨炉原子吸收分光光度法</w:t>
            </w:r>
          </w:p>
        </w:tc>
        <w:tc>
          <w:tcPr>
            <w:tcW w:w="1358" w:type="dxa"/>
            <w:tcBorders>
              <w:top w:val="single" w:color="auto" w:sz="4" w:space="0"/>
              <w:left w:val="single" w:color="auto" w:sz="4" w:space="0"/>
              <w:bottom w:val="single" w:color="auto" w:sz="12" w:space="0"/>
              <w:right w:val="single" w:color="auto" w:sz="4" w:space="0"/>
            </w:tcBorders>
            <w:noWrap w:val="0"/>
            <w:vAlign w:val="center"/>
          </w:tcPr>
          <w:p w14:paraId="48E9102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GB/T 17141-1997</w:t>
            </w:r>
          </w:p>
        </w:tc>
        <w:tc>
          <w:tcPr>
            <w:tcW w:w="1438" w:type="dxa"/>
            <w:tcBorders>
              <w:top w:val="single" w:color="auto" w:sz="4" w:space="0"/>
              <w:left w:val="single" w:color="auto" w:sz="4" w:space="0"/>
              <w:bottom w:val="single" w:color="auto" w:sz="12" w:space="0"/>
              <w:right w:val="nil"/>
            </w:tcBorders>
            <w:noWrap w:val="0"/>
            <w:vAlign w:val="center"/>
          </w:tcPr>
          <w:p w14:paraId="7FFE688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4830AF3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12" w:space="0"/>
              <w:left w:val="nil"/>
              <w:bottom w:val="single" w:color="auto" w:sz="4" w:space="0"/>
              <w:right w:val="single" w:color="auto" w:sz="4" w:space="0"/>
            </w:tcBorders>
            <w:noWrap w:val="0"/>
            <w:vAlign w:val="center"/>
          </w:tcPr>
          <w:p w14:paraId="00EB624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12" w:space="0"/>
              <w:left w:val="single" w:color="auto" w:sz="4" w:space="0"/>
              <w:bottom w:val="single" w:color="auto" w:sz="4" w:space="0"/>
              <w:right w:val="single" w:color="auto" w:sz="4" w:space="0"/>
            </w:tcBorders>
            <w:noWrap w:val="0"/>
            <w:vAlign w:val="center"/>
          </w:tcPr>
          <w:p w14:paraId="73EBCF4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镉</w:t>
            </w:r>
          </w:p>
        </w:tc>
        <w:tc>
          <w:tcPr>
            <w:tcW w:w="3714" w:type="dxa"/>
            <w:vMerge w:val="continue"/>
            <w:tcBorders>
              <w:top w:val="single" w:color="auto" w:sz="12" w:space="0"/>
              <w:left w:val="single" w:color="auto" w:sz="4" w:space="0"/>
              <w:bottom w:val="single" w:color="auto" w:sz="4" w:space="0"/>
              <w:right w:val="single" w:color="auto" w:sz="4" w:space="0"/>
            </w:tcBorders>
            <w:noWrap w:val="0"/>
            <w:vAlign w:val="center"/>
          </w:tcPr>
          <w:p w14:paraId="00B9C7D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p>
        </w:tc>
        <w:tc>
          <w:tcPr>
            <w:tcW w:w="1358" w:type="dxa"/>
            <w:tcBorders>
              <w:top w:val="single" w:color="auto" w:sz="12" w:space="0"/>
              <w:left w:val="single" w:color="auto" w:sz="4" w:space="0"/>
              <w:bottom w:val="single" w:color="auto" w:sz="4" w:space="0"/>
              <w:right w:val="single" w:color="auto" w:sz="4" w:space="0"/>
            </w:tcBorders>
            <w:noWrap w:val="0"/>
            <w:vAlign w:val="center"/>
          </w:tcPr>
          <w:p w14:paraId="7DC0347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GB/T 17141-1997</w:t>
            </w:r>
          </w:p>
        </w:tc>
        <w:tc>
          <w:tcPr>
            <w:tcW w:w="1438" w:type="dxa"/>
            <w:tcBorders>
              <w:top w:val="single" w:color="auto" w:sz="12" w:space="0"/>
              <w:left w:val="single" w:color="auto" w:sz="4" w:space="0"/>
              <w:bottom w:val="single" w:color="auto" w:sz="4" w:space="0"/>
              <w:right w:val="nil"/>
            </w:tcBorders>
            <w:noWrap w:val="0"/>
            <w:vAlign w:val="center"/>
          </w:tcPr>
          <w:p w14:paraId="577B2D2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w:t>
            </w:r>
          </w:p>
        </w:tc>
      </w:tr>
      <w:tr w14:paraId="3C58868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1DE0D9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1BC94CE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铜</w:t>
            </w:r>
          </w:p>
        </w:tc>
        <w:tc>
          <w:tcPr>
            <w:tcW w:w="3714" w:type="dxa"/>
            <w:vMerge w:val="restart"/>
            <w:tcBorders>
              <w:top w:val="single" w:color="auto" w:sz="4" w:space="0"/>
              <w:left w:val="single" w:color="auto" w:sz="4" w:space="0"/>
              <w:bottom w:val="single" w:color="auto" w:sz="4" w:space="0"/>
              <w:right w:val="single" w:color="auto" w:sz="4" w:space="0"/>
            </w:tcBorders>
            <w:noWrap w:val="0"/>
            <w:vAlign w:val="center"/>
          </w:tcPr>
          <w:p w14:paraId="2913C7A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土壤和沉积物 铜、锌、铅、镍、铬的测定 火焰原子吸收分光光度法</w:t>
            </w:r>
          </w:p>
        </w:tc>
        <w:tc>
          <w:tcPr>
            <w:tcW w:w="1358" w:type="dxa"/>
            <w:vMerge w:val="restart"/>
            <w:tcBorders>
              <w:top w:val="single" w:color="auto" w:sz="4" w:space="0"/>
              <w:left w:val="single" w:color="auto" w:sz="4" w:space="0"/>
              <w:bottom w:val="single" w:color="auto" w:sz="4" w:space="0"/>
              <w:right w:val="single" w:color="auto" w:sz="4" w:space="0"/>
            </w:tcBorders>
            <w:noWrap w:val="0"/>
            <w:vAlign w:val="center"/>
          </w:tcPr>
          <w:p w14:paraId="67CB914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 491-2019</w:t>
            </w:r>
          </w:p>
        </w:tc>
        <w:tc>
          <w:tcPr>
            <w:tcW w:w="1438" w:type="dxa"/>
            <w:tcBorders>
              <w:top w:val="single" w:color="auto" w:sz="4" w:space="0"/>
              <w:left w:val="single" w:color="auto" w:sz="4" w:space="0"/>
              <w:bottom w:val="single" w:color="auto" w:sz="4" w:space="0"/>
              <w:right w:val="nil"/>
            </w:tcBorders>
            <w:noWrap w:val="0"/>
            <w:vAlign w:val="center"/>
          </w:tcPr>
          <w:p w14:paraId="2EF08AE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r>
      <w:tr w14:paraId="62C64FFD">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A5FE0C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6C7B044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铬</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C92E28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358" w:type="dxa"/>
            <w:vMerge w:val="continue"/>
            <w:tcBorders>
              <w:left w:val="single" w:color="auto" w:sz="4" w:space="0"/>
              <w:right w:val="single" w:color="auto" w:sz="4" w:space="0"/>
            </w:tcBorders>
            <w:noWrap w:val="0"/>
            <w:vAlign w:val="center"/>
          </w:tcPr>
          <w:p w14:paraId="51547E0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18834F7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r>
      <w:tr w14:paraId="6AE3DD2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50A5310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1817C5F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锌</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BDF2CC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358" w:type="dxa"/>
            <w:vMerge w:val="continue"/>
            <w:tcBorders>
              <w:left w:val="single" w:color="auto" w:sz="4" w:space="0"/>
              <w:right w:val="single" w:color="auto" w:sz="4" w:space="0"/>
            </w:tcBorders>
            <w:noWrap w:val="0"/>
            <w:vAlign w:val="center"/>
          </w:tcPr>
          <w:p w14:paraId="3EE3A68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47090FA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r>
      <w:tr w14:paraId="08931BE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7663962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162CF69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镍</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13B9EA2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4A72012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F89C9B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r>
      <w:tr w14:paraId="333CCFE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19824D3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2949A91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汞</w:t>
            </w:r>
          </w:p>
        </w:tc>
        <w:tc>
          <w:tcPr>
            <w:tcW w:w="3714" w:type="dxa"/>
            <w:tcBorders>
              <w:top w:val="single" w:color="auto" w:sz="4" w:space="0"/>
              <w:left w:val="single" w:color="auto" w:sz="4" w:space="0"/>
              <w:bottom w:val="single" w:color="auto" w:sz="4" w:space="0"/>
              <w:right w:val="single" w:color="auto" w:sz="4" w:space="0"/>
            </w:tcBorders>
            <w:noWrap w:val="0"/>
            <w:vAlign w:val="center"/>
          </w:tcPr>
          <w:p w14:paraId="53FA3BD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土壤质量 总汞的测定 </w:t>
            </w:r>
          </w:p>
          <w:p w14:paraId="738C1FA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冷原子吸收分光光度法</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2FB6A09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GB/T 17136-1997</w:t>
            </w:r>
          </w:p>
        </w:tc>
        <w:tc>
          <w:tcPr>
            <w:tcW w:w="1438" w:type="dxa"/>
            <w:tcBorders>
              <w:top w:val="single" w:color="auto" w:sz="4" w:space="0"/>
              <w:left w:val="single" w:color="auto" w:sz="4" w:space="0"/>
              <w:bottom w:val="single" w:color="auto" w:sz="4" w:space="0"/>
              <w:right w:val="nil"/>
            </w:tcBorders>
            <w:noWrap w:val="0"/>
            <w:vAlign w:val="center"/>
          </w:tcPr>
          <w:p w14:paraId="664C09F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7EC5497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4AE06BA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7316AF4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砷</w:t>
            </w:r>
          </w:p>
        </w:tc>
        <w:tc>
          <w:tcPr>
            <w:tcW w:w="3714" w:type="dxa"/>
            <w:vMerge w:val="restart"/>
            <w:tcBorders>
              <w:top w:val="single" w:color="auto" w:sz="4" w:space="0"/>
              <w:left w:val="single" w:color="auto" w:sz="4" w:space="0"/>
              <w:right w:val="single" w:color="auto" w:sz="4" w:space="0"/>
            </w:tcBorders>
            <w:noWrap w:val="0"/>
            <w:vAlign w:val="center"/>
          </w:tcPr>
          <w:p w14:paraId="3AAA1A4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土壤和沉积物 12种金属元素的测定 王水提取-电感耦合等离子体质谱法</w:t>
            </w:r>
          </w:p>
        </w:tc>
        <w:tc>
          <w:tcPr>
            <w:tcW w:w="1358" w:type="dxa"/>
            <w:vMerge w:val="restart"/>
            <w:tcBorders>
              <w:top w:val="single" w:color="auto" w:sz="4" w:space="0"/>
              <w:left w:val="single" w:color="auto" w:sz="4" w:space="0"/>
              <w:right w:val="single" w:color="auto" w:sz="4" w:space="0"/>
            </w:tcBorders>
            <w:noWrap w:val="0"/>
            <w:vAlign w:val="center"/>
          </w:tcPr>
          <w:p w14:paraId="7FE2E68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 803-2016</w:t>
            </w:r>
          </w:p>
        </w:tc>
        <w:tc>
          <w:tcPr>
            <w:tcW w:w="1438" w:type="dxa"/>
            <w:tcBorders>
              <w:top w:val="single" w:color="auto" w:sz="4" w:space="0"/>
              <w:left w:val="single" w:color="auto" w:sz="4" w:space="0"/>
              <w:bottom w:val="single" w:color="auto" w:sz="4" w:space="0"/>
              <w:right w:val="nil"/>
            </w:tcBorders>
            <w:noWrap w:val="0"/>
            <w:vAlign w:val="center"/>
          </w:tcPr>
          <w:p w14:paraId="78D9760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w:t>
            </w:r>
          </w:p>
        </w:tc>
      </w:tr>
      <w:tr w14:paraId="54DC112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793AD31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right w:val="single" w:color="auto" w:sz="4" w:space="0"/>
            </w:tcBorders>
            <w:noWrap w:val="0"/>
            <w:vAlign w:val="center"/>
          </w:tcPr>
          <w:p w14:paraId="3898D00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钴</w:t>
            </w:r>
          </w:p>
        </w:tc>
        <w:tc>
          <w:tcPr>
            <w:tcW w:w="3714" w:type="dxa"/>
            <w:vMerge w:val="continue"/>
            <w:tcBorders>
              <w:left w:val="single" w:color="auto" w:sz="4" w:space="0"/>
              <w:right w:val="single" w:color="auto" w:sz="4" w:space="0"/>
            </w:tcBorders>
            <w:noWrap w:val="0"/>
            <w:vAlign w:val="center"/>
          </w:tcPr>
          <w:p w14:paraId="37861DA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kern w:val="0"/>
                <w:sz w:val="21"/>
                <w:szCs w:val="21"/>
                <w:highlight w:val="none"/>
              </w:rPr>
            </w:pPr>
          </w:p>
        </w:tc>
        <w:tc>
          <w:tcPr>
            <w:tcW w:w="1358" w:type="dxa"/>
            <w:vMerge w:val="continue"/>
            <w:tcBorders>
              <w:left w:val="single" w:color="auto" w:sz="4" w:space="0"/>
              <w:right w:val="single" w:color="auto" w:sz="4" w:space="0"/>
            </w:tcBorders>
            <w:noWrap w:val="0"/>
            <w:vAlign w:val="center"/>
          </w:tcPr>
          <w:p w14:paraId="569B315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4483A22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0.03</w:t>
            </w:r>
          </w:p>
        </w:tc>
      </w:tr>
      <w:tr w14:paraId="147C814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526AE0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right w:val="single" w:color="auto" w:sz="4" w:space="0"/>
            </w:tcBorders>
            <w:noWrap w:val="0"/>
            <w:vAlign w:val="center"/>
          </w:tcPr>
          <w:p w14:paraId="56440BD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钼</w:t>
            </w:r>
          </w:p>
        </w:tc>
        <w:tc>
          <w:tcPr>
            <w:tcW w:w="3714" w:type="dxa"/>
            <w:vMerge w:val="continue"/>
            <w:tcBorders>
              <w:left w:val="single" w:color="auto" w:sz="4" w:space="0"/>
              <w:right w:val="single" w:color="auto" w:sz="4" w:space="0"/>
            </w:tcBorders>
            <w:noWrap w:val="0"/>
            <w:vAlign w:val="center"/>
          </w:tcPr>
          <w:p w14:paraId="4BB9210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kern w:val="0"/>
                <w:sz w:val="21"/>
                <w:szCs w:val="21"/>
                <w:highlight w:val="none"/>
              </w:rPr>
            </w:pPr>
          </w:p>
        </w:tc>
        <w:tc>
          <w:tcPr>
            <w:tcW w:w="1358" w:type="dxa"/>
            <w:vMerge w:val="continue"/>
            <w:tcBorders>
              <w:left w:val="single" w:color="auto" w:sz="4" w:space="0"/>
              <w:right w:val="single" w:color="auto" w:sz="4" w:space="0"/>
            </w:tcBorders>
            <w:noWrap w:val="0"/>
            <w:vAlign w:val="center"/>
          </w:tcPr>
          <w:p w14:paraId="29565B7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A9D22F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w:t>
            </w:r>
          </w:p>
        </w:tc>
      </w:tr>
      <w:tr w14:paraId="016CED7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DDC4AA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right w:val="single" w:color="auto" w:sz="4" w:space="0"/>
            </w:tcBorders>
            <w:noWrap w:val="0"/>
            <w:vAlign w:val="center"/>
          </w:tcPr>
          <w:p w14:paraId="1888C27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锑</w:t>
            </w:r>
          </w:p>
        </w:tc>
        <w:tc>
          <w:tcPr>
            <w:tcW w:w="3714" w:type="dxa"/>
            <w:vMerge w:val="continue"/>
            <w:tcBorders>
              <w:left w:val="single" w:color="auto" w:sz="4" w:space="0"/>
              <w:right w:val="single" w:color="auto" w:sz="4" w:space="0"/>
            </w:tcBorders>
            <w:noWrap w:val="0"/>
            <w:vAlign w:val="center"/>
          </w:tcPr>
          <w:p w14:paraId="4A5D784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kern w:val="0"/>
                <w:sz w:val="21"/>
                <w:szCs w:val="21"/>
                <w:highlight w:val="none"/>
              </w:rPr>
            </w:pPr>
          </w:p>
        </w:tc>
        <w:tc>
          <w:tcPr>
            <w:tcW w:w="1358" w:type="dxa"/>
            <w:vMerge w:val="continue"/>
            <w:tcBorders>
              <w:left w:val="single" w:color="auto" w:sz="4" w:space="0"/>
              <w:right w:val="single" w:color="auto" w:sz="4" w:space="0"/>
            </w:tcBorders>
            <w:noWrap w:val="0"/>
            <w:vAlign w:val="center"/>
          </w:tcPr>
          <w:p w14:paraId="3FEBEB2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19F6C93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0.3</w:t>
            </w:r>
          </w:p>
        </w:tc>
      </w:tr>
      <w:tr w14:paraId="0A14799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776ABAC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2718" w:type="dxa"/>
            <w:gridSpan w:val="2"/>
            <w:tcBorders>
              <w:top w:val="single" w:color="auto" w:sz="4" w:space="0"/>
              <w:left w:val="single" w:color="auto" w:sz="4" w:space="0"/>
              <w:bottom w:val="single" w:color="auto" w:sz="4" w:space="0"/>
              <w:right w:val="single" w:color="auto" w:sz="4" w:space="0"/>
            </w:tcBorders>
            <w:noWrap w:val="0"/>
            <w:vAlign w:val="center"/>
          </w:tcPr>
          <w:p w14:paraId="0C15D98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石油烃（</w:t>
            </w:r>
            <w:r>
              <w:rPr>
                <w:rFonts w:hint="default" w:ascii="Times New Roman" w:hAnsi="Times New Roman" w:cs="Times New Roman"/>
                <w:color w:val="000000"/>
                <w:sz w:val="21"/>
                <w:szCs w:val="21"/>
                <w:highlight w:val="none"/>
                <w:lang w:eastAsia="zh-CN"/>
              </w:rPr>
              <w:t>C</w:t>
            </w:r>
            <w:r>
              <w:rPr>
                <w:rFonts w:hint="default" w:ascii="Times New Roman" w:hAnsi="Times New Roman" w:cs="Times New Roman"/>
                <w:color w:val="auto"/>
                <w:sz w:val="21"/>
                <w:szCs w:val="21"/>
                <w:highlight w:val="none"/>
                <w:vertAlign w:val="subscript"/>
                <w:lang w:eastAsia="zh-CN"/>
              </w:rPr>
              <w:t>10</w:t>
            </w:r>
            <w:r>
              <w:rPr>
                <w:rFonts w:hint="default" w:ascii="Times New Roman" w:hAnsi="Times New Roman" w:cs="Times New Roman"/>
                <w:color w:val="000000"/>
                <w:sz w:val="21"/>
                <w:szCs w:val="21"/>
                <w:highlight w:val="none"/>
                <w:lang w:eastAsia="zh-CN"/>
              </w:rPr>
              <w:t>-C</w:t>
            </w:r>
            <w:r>
              <w:rPr>
                <w:rFonts w:hint="default" w:ascii="Times New Roman" w:hAnsi="Times New Roman" w:cs="Times New Roman"/>
                <w:color w:val="auto"/>
                <w:sz w:val="21"/>
                <w:szCs w:val="21"/>
                <w:highlight w:val="none"/>
                <w:vertAlign w:val="subscript"/>
                <w:lang w:eastAsia="zh-CN"/>
              </w:rPr>
              <w:t>40</w:t>
            </w:r>
            <w:r>
              <w:rPr>
                <w:rFonts w:hint="default" w:ascii="Times New Roman" w:hAnsi="Times New Roman" w:cs="Times New Roman"/>
                <w:color w:val="auto"/>
                <w:sz w:val="21"/>
                <w:szCs w:val="21"/>
                <w:highlight w:val="none"/>
                <w:lang w:eastAsia="zh-CN"/>
              </w:rPr>
              <w:t>）</w:t>
            </w:r>
          </w:p>
        </w:tc>
        <w:tc>
          <w:tcPr>
            <w:tcW w:w="3714" w:type="dxa"/>
            <w:tcBorders>
              <w:top w:val="single" w:color="auto" w:sz="4" w:space="0"/>
              <w:left w:val="single" w:color="auto" w:sz="4" w:space="0"/>
              <w:bottom w:val="single" w:color="auto" w:sz="4" w:space="0"/>
              <w:right w:val="single" w:color="auto" w:sz="4" w:space="0"/>
            </w:tcBorders>
            <w:noWrap w:val="0"/>
            <w:vAlign w:val="center"/>
          </w:tcPr>
          <w:p w14:paraId="6678771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土壤和沉积物 挥发性有机物的测定 </w:t>
            </w:r>
          </w:p>
          <w:p w14:paraId="55801F5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sz w:val="21"/>
                <w:szCs w:val="21"/>
                <w:highlight w:val="none"/>
              </w:rPr>
              <w:t>吹扫捕集/气相色谱-质谱法</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17E49CB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HJ 605-2011</w:t>
            </w:r>
          </w:p>
        </w:tc>
        <w:tc>
          <w:tcPr>
            <w:tcW w:w="1438" w:type="dxa"/>
            <w:tcBorders>
              <w:top w:val="single" w:color="auto" w:sz="4" w:space="0"/>
              <w:left w:val="single" w:color="auto" w:sz="4" w:space="0"/>
              <w:bottom w:val="single" w:color="auto" w:sz="4" w:space="0"/>
              <w:right w:val="nil"/>
            </w:tcBorders>
            <w:noWrap w:val="0"/>
            <w:vAlign w:val="center"/>
          </w:tcPr>
          <w:p w14:paraId="112123F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w:t>
            </w:r>
          </w:p>
        </w:tc>
      </w:tr>
      <w:tr w14:paraId="428AFC3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1936D3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restart"/>
            <w:tcBorders>
              <w:top w:val="single" w:color="auto" w:sz="4" w:space="0"/>
              <w:left w:val="single" w:color="auto" w:sz="4" w:space="0"/>
              <w:bottom w:val="single" w:color="auto" w:sz="4" w:space="0"/>
              <w:right w:val="single" w:color="auto" w:sz="4" w:space="0"/>
            </w:tcBorders>
            <w:noWrap w:val="0"/>
            <w:vAlign w:val="center"/>
          </w:tcPr>
          <w:p w14:paraId="528C8D3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挥发性有机物</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A3B1EC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w:t>
            </w:r>
          </w:p>
        </w:tc>
        <w:tc>
          <w:tcPr>
            <w:tcW w:w="3714" w:type="dxa"/>
            <w:vMerge w:val="restart"/>
            <w:tcBorders>
              <w:top w:val="single" w:color="auto" w:sz="4" w:space="0"/>
              <w:left w:val="single" w:color="auto" w:sz="4" w:space="0"/>
              <w:bottom w:val="single" w:color="auto" w:sz="4" w:space="0"/>
              <w:right w:val="single" w:color="auto" w:sz="4" w:space="0"/>
            </w:tcBorders>
            <w:noWrap w:val="0"/>
            <w:vAlign w:val="center"/>
          </w:tcPr>
          <w:p w14:paraId="17DADDD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 xml:space="preserve">土壤和沉积物 挥发性有机物的测定 </w:t>
            </w:r>
          </w:p>
          <w:p w14:paraId="25BE06A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吹扫捕集/气相色谱-质谱法</w:t>
            </w:r>
          </w:p>
        </w:tc>
        <w:tc>
          <w:tcPr>
            <w:tcW w:w="1358" w:type="dxa"/>
            <w:vMerge w:val="restart"/>
            <w:tcBorders>
              <w:top w:val="single" w:color="auto" w:sz="4" w:space="0"/>
              <w:left w:val="single" w:color="auto" w:sz="4" w:space="0"/>
              <w:bottom w:val="single" w:color="auto" w:sz="4" w:space="0"/>
              <w:right w:val="single" w:color="auto" w:sz="4" w:space="0"/>
            </w:tcBorders>
            <w:noWrap w:val="0"/>
            <w:vAlign w:val="center"/>
          </w:tcPr>
          <w:p w14:paraId="4527204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HJ 605-2011</w:t>
            </w:r>
          </w:p>
        </w:tc>
        <w:tc>
          <w:tcPr>
            <w:tcW w:w="1438" w:type="dxa"/>
            <w:tcBorders>
              <w:top w:val="single" w:color="auto" w:sz="4" w:space="0"/>
              <w:left w:val="single" w:color="auto" w:sz="4" w:space="0"/>
              <w:bottom w:val="single" w:color="auto" w:sz="4" w:space="0"/>
              <w:right w:val="nil"/>
            </w:tcBorders>
            <w:noWrap w:val="0"/>
            <w:vAlign w:val="center"/>
          </w:tcPr>
          <w:p w14:paraId="2EAF1E1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EB9C8F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12EC26C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E09703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44FCF9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甲苯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2A75CA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A0FDE0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260284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3CA779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4DB633B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606572A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1E94BA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乙苯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47BAE1C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74720DF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4903668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19D1247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5AC7F6F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1E9B080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5BA9B7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间-二甲苯和对-二甲苯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3B1F7C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4B8E0F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1A6D15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1A554D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51BA64C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0A6A76E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8A6D36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邻-二甲苯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08A96DB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7EFA2F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3B12009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34C1070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B51401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29D6E96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0D15F4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苯乙烯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70AEA1C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3C6187D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93F8F6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1AF729E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F693FE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214B71F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1B4E9D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氯甲烷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13984F9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3C3771D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35A55F8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27B30BB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3C60E1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00E3792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84360F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氯乙烯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0D824A2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2BFE0B4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1D59FE5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44B66DB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576ABC2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46B3442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8B64D2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1,1-二氯乙烯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0272FBA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79BC7E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632C4F4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0B41C6B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34B52E1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44A71FB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84217C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二氯甲烷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091AC5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A5A9FB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654975E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440AACD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3C2D9BC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232997F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3731A9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反式-1,2-二氯乙烯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728A96B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A12A00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6F74BC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0ABCBE9C">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B55ADC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092E4F4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691B54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1,1-二氯乙烷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39E242A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53E8D5D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1C7F9D8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0.05</w:t>
            </w:r>
          </w:p>
        </w:tc>
      </w:tr>
      <w:tr w14:paraId="3622E4E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26A768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0302BF3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0DBED04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顺式-1,2-二氯乙烯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217F37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989A4A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0D7F048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0D9E960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0A24D5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1C3FCBE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859A5D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1,1,1-三氯乙烷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DCE746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7E4D22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1C0EE8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8C6E56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3E0C89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1DED4E9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EB65F5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四氯化碳</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59A942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4359BEE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24BBAE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0A926F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7A924E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5EA65C4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BC7CC7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5F30A6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C0AFC1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07EFC5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0DC9E80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75788D3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523F222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A45701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三氯乙烯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47B11D0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7AC4BE9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3603B1C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1D45BECC">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0F824D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1D1747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304B9C2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A1042B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03BCCC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5BBC1CF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04B2135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5825E8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3CA1D09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2EACC1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1,1,2-三氯乙烷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1005BEB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5683CA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5729089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64F7F1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21AFDF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1550CB6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BF9AD8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四氯乙烯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710CA05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7ADBF10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1E9684B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50FA6A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3B68FCB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9DCC93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78AF2A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1,1,1,2-四氯乙烷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12A1F5B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F4BF7D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85C458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292EF11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7A42BF1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4DFBE82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DAA49C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1,1,2,2-四氯乙烷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7DCE986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54271E6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0E78EEB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10FADCFD">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12" w:space="0"/>
              <w:right w:val="single" w:color="auto" w:sz="4" w:space="0"/>
            </w:tcBorders>
            <w:noWrap w:val="0"/>
            <w:vAlign w:val="center"/>
          </w:tcPr>
          <w:p w14:paraId="3BAB72B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12" w:space="0"/>
              <w:right w:val="single" w:color="auto" w:sz="4" w:space="0"/>
            </w:tcBorders>
            <w:noWrap w:val="0"/>
            <w:vAlign w:val="center"/>
          </w:tcPr>
          <w:p w14:paraId="317515E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12" w:space="0"/>
              <w:right w:val="single" w:color="auto" w:sz="4" w:space="0"/>
            </w:tcBorders>
            <w:noWrap w:val="0"/>
            <w:vAlign w:val="center"/>
          </w:tcPr>
          <w:p w14:paraId="55CF16A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kern w:val="0"/>
                <w:sz w:val="21"/>
                <w:szCs w:val="21"/>
                <w:highlight w:val="none"/>
                <w:lang w:val="en-US" w:eastAsia="zh-CN"/>
              </w:rPr>
              <w:t>1,3,5-三甲基苯</w:t>
            </w:r>
          </w:p>
        </w:tc>
        <w:tc>
          <w:tcPr>
            <w:tcW w:w="3714" w:type="dxa"/>
            <w:vMerge w:val="continue"/>
            <w:tcBorders>
              <w:top w:val="single" w:color="auto" w:sz="4" w:space="0"/>
              <w:left w:val="single" w:color="auto" w:sz="4" w:space="0"/>
              <w:bottom w:val="single" w:color="auto" w:sz="12" w:space="0"/>
              <w:right w:val="single" w:color="auto" w:sz="4" w:space="0"/>
            </w:tcBorders>
            <w:noWrap w:val="0"/>
            <w:vAlign w:val="center"/>
          </w:tcPr>
          <w:p w14:paraId="493ED38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12" w:space="0"/>
              <w:right w:val="single" w:color="auto" w:sz="4" w:space="0"/>
            </w:tcBorders>
            <w:noWrap w:val="0"/>
            <w:vAlign w:val="center"/>
          </w:tcPr>
          <w:p w14:paraId="7F64C8B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12" w:space="0"/>
              <w:right w:val="nil"/>
            </w:tcBorders>
            <w:noWrap w:val="0"/>
            <w:vAlign w:val="center"/>
          </w:tcPr>
          <w:p w14:paraId="4661FAC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0.05</w:t>
            </w:r>
          </w:p>
        </w:tc>
      </w:tr>
      <w:tr w14:paraId="2499750C">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12" w:space="0"/>
              <w:left w:val="nil"/>
              <w:bottom w:val="single" w:color="auto" w:sz="4" w:space="0"/>
              <w:right w:val="single" w:color="auto" w:sz="4" w:space="0"/>
            </w:tcBorders>
            <w:noWrap w:val="0"/>
            <w:vAlign w:val="center"/>
          </w:tcPr>
          <w:p w14:paraId="27058B4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12" w:space="0"/>
              <w:left w:val="single" w:color="auto" w:sz="4" w:space="0"/>
              <w:bottom w:val="single" w:color="auto" w:sz="4" w:space="0"/>
              <w:right w:val="single" w:color="auto" w:sz="4" w:space="0"/>
            </w:tcBorders>
            <w:noWrap w:val="0"/>
            <w:vAlign w:val="center"/>
          </w:tcPr>
          <w:p w14:paraId="7E07638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12" w:space="0"/>
              <w:left w:val="single" w:color="auto" w:sz="4" w:space="0"/>
              <w:bottom w:val="single" w:color="auto" w:sz="4" w:space="0"/>
              <w:right w:val="single" w:color="auto" w:sz="4" w:space="0"/>
            </w:tcBorders>
            <w:noWrap w:val="0"/>
            <w:vAlign w:val="center"/>
          </w:tcPr>
          <w:p w14:paraId="3E36CDF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21"/>
                <w:szCs w:val="21"/>
                <w:highlight w:val="none"/>
                <w:lang w:val="en-US" w:eastAsia="zh-CN"/>
              </w:rPr>
              <w:t>1,2,4-三甲基苯</w:t>
            </w:r>
          </w:p>
        </w:tc>
        <w:tc>
          <w:tcPr>
            <w:tcW w:w="3714" w:type="dxa"/>
            <w:vMerge w:val="continue"/>
            <w:tcBorders>
              <w:top w:val="single" w:color="auto" w:sz="12" w:space="0"/>
              <w:left w:val="single" w:color="auto" w:sz="4" w:space="0"/>
              <w:bottom w:val="single" w:color="auto" w:sz="4" w:space="0"/>
              <w:right w:val="single" w:color="auto" w:sz="4" w:space="0"/>
            </w:tcBorders>
            <w:noWrap w:val="0"/>
            <w:vAlign w:val="center"/>
          </w:tcPr>
          <w:p w14:paraId="393BB99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12" w:space="0"/>
              <w:left w:val="single" w:color="auto" w:sz="4" w:space="0"/>
              <w:bottom w:val="single" w:color="auto" w:sz="4" w:space="0"/>
              <w:right w:val="single" w:color="auto" w:sz="4" w:space="0"/>
            </w:tcBorders>
            <w:noWrap w:val="0"/>
            <w:vAlign w:val="center"/>
          </w:tcPr>
          <w:p w14:paraId="12F1035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12" w:space="0"/>
              <w:left w:val="single" w:color="auto" w:sz="4" w:space="0"/>
              <w:bottom w:val="single" w:color="auto" w:sz="4" w:space="0"/>
              <w:right w:val="nil"/>
            </w:tcBorders>
            <w:noWrap w:val="0"/>
            <w:vAlign w:val="center"/>
          </w:tcPr>
          <w:p w14:paraId="16BEAD5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0.05</w:t>
            </w:r>
          </w:p>
        </w:tc>
      </w:tr>
      <w:tr w14:paraId="228801F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3D1E0F8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417DB7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3A8DAB0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1,2,3-三氯丙烷</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F1D02D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2BCB58A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FD39A7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3FB57B0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F03CBC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055E34D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0BF7E8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7A88F82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7181A3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5841F0A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402E9AD">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6895489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4A625CA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1BAF14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1,4-二氯苯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3045784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2A9251F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D94A5D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0D1EF9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7FBBD4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2D25FC1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3F06F55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656A29A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671651E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3601AEA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3835FB1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357FE5E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22C1926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3C63CB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氯仿</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407B83D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299CB1E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3CD0FAE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403CE12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4A3699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restart"/>
            <w:tcBorders>
              <w:top w:val="single" w:color="auto" w:sz="4" w:space="0"/>
              <w:left w:val="single" w:color="auto" w:sz="4" w:space="0"/>
              <w:bottom w:val="single" w:color="auto" w:sz="4" w:space="0"/>
              <w:right w:val="single" w:color="auto" w:sz="4" w:space="0"/>
            </w:tcBorders>
            <w:noWrap w:val="0"/>
            <w:vAlign w:val="center"/>
          </w:tcPr>
          <w:p w14:paraId="1914E1A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半挥发性有机物</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70058B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2-氯酚</w:t>
            </w:r>
          </w:p>
        </w:tc>
        <w:tc>
          <w:tcPr>
            <w:tcW w:w="3714" w:type="dxa"/>
            <w:vMerge w:val="restart"/>
            <w:tcBorders>
              <w:top w:val="single" w:color="auto" w:sz="4" w:space="0"/>
              <w:left w:val="single" w:color="auto" w:sz="4" w:space="0"/>
              <w:bottom w:val="single" w:color="auto" w:sz="4" w:space="0"/>
              <w:right w:val="single" w:color="auto" w:sz="4" w:space="0"/>
            </w:tcBorders>
            <w:noWrap w:val="0"/>
            <w:vAlign w:val="center"/>
          </w:tcPr>
          <w:p w14:paraId="0806492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土壤和沉积物 半挥发性有机物的测定 气相色谱-质谱法</w:t>
            </w:r>
          </w:p>
        </w:tc>
        <w:tc>
          <w:tcPr>
            <w:tcW w:w="1358" w:type="dxa"/>
            <w:vMerge w:val="restart"/>
            <w:tcBorders>
              <w:top w:val="single" w:color="auto" w:sz="4" w:space="0"/>
              <w:left w:val="single" w:color="auto" w:sz="4" w:space="0"/>
              <w:bottom w:val="single" w:color="auto" w:sz="4" w:space="0"/>
              <w:right w:val="single" w:color="auto" w:sz="4" w:space="0"/>
            </w:tcBorders>
            <w:noWrap w:val="0"/>
            <w:vAlign w:val="center"/>
          </w:tcPr>
          <w:p w14:paraId="69AB929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HJ 834-2017</w:t>
            </w:r>
          </w:p>
        </w:tc>
        <w:tc>
          <w:tcPr>
            <w:tcW w:w="1438" w:type="dxa"/>
            <w:tcBorders>
              <w:top w:val="single" w:color="auto" w:sz="4" w:space="0"/>
              <w:left w:val="single" w:color="auto" w:sz="4" w:space="0"/>
              <w:bottom w:val="single" w:color="auto" w:sz="4" w:space="0"/>
              <w:right w:val="nil"/>
            </w:tcBorders>
            <w:noWrap w:val="0"/>
            <w:vAlign w:val="center"/>
          </w:tcPr>
          <w:p w14:paraId="167BF12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w:t>
            </w:r>
          </w:p>
        </w:tc>
      </w:tr>
      <w:tr w14:paraId="165BEE7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39EED5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9CB573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AC4D02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苯酚</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0383D28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FB68A5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059899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w:t>
            </w:r>
          </w:p>
        </w:tc>
      </w:tr>
      <w:tr w14:paraId="7E34C2EC">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EA6492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F25F5F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82B98D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2-甲基苯酚</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0ED8E07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32745AF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E73208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w:t>
            </w:r>
          </w:p>
        </w:tc>
      </w:tr>
      <w:tr w14:paraId="5FE5A90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9D296D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4C6AD3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813F60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4-甲基苯酚</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5C1DF8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31E09A0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E8FB58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w:t>
            </w:r>
          </w:p>
        </w:tc>
      </w:tr>
      <w:tr w14:paraId="2B6FB7B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3225B9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4E2ED79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059381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萘</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4DA6569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FBBA4E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4DDF1BF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w:t>
            </w:r>
          </w:p>
        </w:tc>
      </w:tr>
      <w:tr w14:paraId="77FB169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3AF920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5BFB1AB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888628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苯并(a)蒽</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6B5F440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80858D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346EEDA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61EF08E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2104203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2A12110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8FB3C9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䓛</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97AE39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13499C8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3092906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7AC37A8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4A7972F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264D2BE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7B0852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苯并(b)荧蒽</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40BE3D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576CEF4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6CDC4A1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w:t>
            </w:r>
          </w:p>
        </w:tc>
      </w:tr>
      <w:tr w14:paraId="119C248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573B845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05313BB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44FE6A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苯并(k)荧蒽</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3D92797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451F909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4D3C601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12B2050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0ACC041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3F5D7C5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07ED190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苯并(a)芘</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40028E8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B9038C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29254FA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763CA38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30AC31A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556AA20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F1F39E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茚并(1,2,3-cd)芘</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49BBD46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054257B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19B8B15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0C8CFDF7">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5ADAC6A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7086A0A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0F75E31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二苯并(a,h)蒽</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23D26BD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3D47954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0959C6C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713B837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4458A76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16C0BF5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6E9011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硝基苯</w:t>
            </w:r>
          </w:p>
        </w:tc>
        <w:tc>
          <w:tcPr>
            <w:tcW w:w="3714" w:type="dxa"/>
            <w:vMerge w:val="continue"/>
            <w:tcBorders>
              <w:top w:val="single" w:color="auto" w:sz="4" w:space="0"/>
              <w:left w:val="single" w:color="auto" w:sz="4" w:space="0"/>
              <w:bottom w:val="single" w:color="auto" w:sz="4" w:space="0"/>
              <w:right w:val="single" w:color="auto" w:sz="4" w:space="0"/>
            </w:tcBorders>
            <w:noWrap w:val="0"/>
            <w:vAlign w:val="center"/>
          </w:tcPr>
          <w:p w14:paraId="522E528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14:paraId="48BEA6E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438" w:type="dxa"/>
            <w:tcBorders>
              <w:top w:val="single" w:color="auto" w:sz="4" w:space="0"/>
              <w:left w:val="single" w:color="auto" w:sz="4" w:space="0"/>
              <w:bottom w:val="single" w:color="auto" w:sz="4" w:space="0"/>
              <w:right w:val="nil"/>
            </w:tcBorders>
            <w:noWrap w:val="0"/>
            <w:vAlign w:val="center"/>
          </w:tcPr>
          <w:p w14:paraId="76D266E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w:t>
            </w:r>
          </w:p>
        </w:tc>
      </w:tr>
      <w:tr w14:paraId="798734E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bottom w:val="single" w:color="auto" w:sz="4" w:space="0"/>
              <w:right w:val="single" w:color="auto" w:sz="4" w:space="0"/>
            </w:tcBorders>
            <w:noWrap w:val="0"/>
            <w:vAlign w:val="center"/>
          </w:tcPr>
          <w:p w14:paraId="151F150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bottom w:val="single" w:color="auto" w:sz="4" w:space="0"/>
              <w:right w:val="single" w:color="auto" w:sz="4" w:space="0"/>
            </w:tcBorders>
            <w:noWrap w:val="0"/>
            <w:vAlign w:val="center"/>
          </w:tcPr>
          <w:p w14:paraId="0A358E9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C329BC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苯胺</w:t>
            </w:r>
          </w:p>
        </w:tc>
        <w:tc>
          <w:tcPr>
            <w:tcW w:w="3714" w:type="dxa"/>
            <w:tcBorders>
              <w:top w:val="single" w:color="auto" w:sz="4" w:space="0"/>
              <w:left w:val="single" w:color="auto" w:sz="4" w:space="0"/>
              <w:bottom w:val="single" w:color="auto" w:sz="4" w:space="0"/>
              <w:right w:val="single" w:color="auto" w:sz="4" w:space="0"/>
            </w:tcBorders>
            <w:noWrap w:val="0"/>
            <w:vAlign w:val="center"/>
          </w:tcPr>
          <w:p w14:paraId="5E03BF6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半挥发性有机化合物的测定 气</w:t>
            </w:r>
            <w:r>
              <w:rPr>
                <w:rFonts w:hint="default" w:ascii="Times New Roman" w:hAnsi="Times New Roman" w:cs="Times New Roman"/>
                <w:color w:val="auto"/>
                <w:sz w:val="21"/>
                <w:szCs w:val="21"/>
                <w:highlight w:val="none"/>
                <w:lang w:eastAsia="zh-CN"/>
              </w:rPr>
              <w:t>相</w:t>
            </w:r>
            <w:r>
              <w:rPr>
                <w:rFonts w:hint="default" w:ascii="Times New Roman" w:hAnsi="Times New Roman" w:cs="Times New Roman"/>
                <w:color w:val="auto"/>
                <w:sz w:val="21"/>
                <w:szCs w:val="21"/>
                <w:highlight w:val="none"/>
              </w:rPr>
              <w:t>色谱-质谱法</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37AB93A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USEPA 8270E Rev.6 (2017.2)</w:t>
            </w:r>
          </w:p>
        </w:tc>
        <w:tc>
          <w:tcPr>
            <w:tcW w:w="1438" w:type="dxa"/>
            <w:tcBorders>
              <w:top w:val="single" w:color="auto" w:sz="4" w:space="0"/>
              <w:left w:val="single" w:color="auto" w:sz="4" w:space="0"/>
              <w:bottom w:val="single" w:color="auto" w:sz="4" w:space="0"/>
              <w:right w:val="nil"/>
            </w:tcBorders>
            <w:noWrap w:val="0"/>
            <w:vAlign w:val="center"/>
          </w:tcPr>
          <w:p w14:paraId="6AEFB46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2F7B02F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restart"/>
            <w:tcBorders>
              <w:top w:val="single" w:color="auto" w:sz="4" w:space="0"/>
              <w:left w:val="nil"/>
              <w:bottom w:val="single" w:color="auto" w:sz="4" w:space="0"/>
              <w:right w:val="single" w:color="auto" w:sz="4" w:space="0"/>
            </w:tcBorders>
            <w:noWrap w:val="0"/>
            <w:vAlign w:val="center"/>
          </w:tcPr>
          <w:p w14:paraId="58E3C94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restart"/>
            <w:tcBorders>
              <w:top w:val="single" w:color="auto" w:sz="4" w:space="0"/>
              <w:left w:val="single" w:color="auto" w:sz="4" w:space="0"/>
              <w:bottom w:val="single" w:color="auto" w:sz="4" w:space="0"/>
              <w:right w:val="single" w:color="auto" w:sz="4" w:space="0"/>
            </w:tcBorders>
            <w:noWrap w:val="0"/>
            <w:vAlign w:val="center"/>
          </w:tcPr>
          <w:p w14:paraId="308B1D5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其他项目</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998EA5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二噁英</w:t>
            </w:r>
          </w:p>
        </w:tc>
        <w:tc>
          <w:tcPr>
            <w:tcW w:w="3714" w:type="dxa"/>
            <w:tcBorders>
              <w:top w:val="single" w:color="auto" w:sz="4" w:space="0"/>
              <w:left w:val="single" w:color="auto" w:sz="4" w:space="0"/>
              <w:bottom w:val="single" w:color="auto" w:sz="4" w:space="0"/>
              <w:right w:val="single" w:color="auto" w:sz="4" w:space="0"/>
            </w:tcBorders>
            <w:noWrap w:val="0"/>
            <w:vAlign w:val="center"/>
          </w:tcPr>
          <w:p w14:paraId="3101F85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二噁英类的测定 同位素稀释高分辨气相 色谱-高分辨率质谱法</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03296B9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HJ 77.4-2008</w:t>
            </w:r>
          </w:p>
        </w:tc>
        <w:tc>
          <w:tcPr>
            <w:tcW w:w="1438" w:type="dxa"/>
            <w:tcBorders>
              <w:top w:val="single" w:color="auto" w:sz="4" w:space="0"/>
              <w:left w:val="single" w:color="auto" w:sz="4" w:space="0"/>
              <w:bottom w:val="single" w:color="auto" w:sz="4" w:space="0"/>
              <w:right w:val="nil"/>
            </w:tcBorders>
            <w:noWrap w:val="0"/>
            <w:vAlign w:val="center"/>
          </w:tcPr>
          <w:p w14:paraId="14268B4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vertAlign w:val="superscript"/>
                <w:lang w:val="en-US" w:eastAsia="zh-CN"/>
              </w:rPr>
              <w:t>②</w:t>
            </w:r>
          </w:p>
        </w:tc>
      </w:tr>
      <w:tr w14:paraId="0B2C4E8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Borders>
              <w:top w:val="single" w:color="auto" w:sz="4" w:space="0"/>
              <w:left w:val="nil"/>
              <w:right w:val="single" w:color="auto" w:sz="4" w:space="0"/>
            </w:tcBorders>
            <w:noWrap w:val="0"/>
            <w:vAlign w:val="center"/>
          </w:tcPr>
          <w:p w14:paraId="0A14831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901" w:type="dxa"/>
            <w:vMerge w:val="continue"/>
            <w:tcBorders>
              <w:top w:val="single" w:color="auto" w:sz="4" w:space="0"/>
              <w:left w:val="single" w:color="auto" w:sz="4" w:space="0"/>
              <w:right w:val="single" w:color="auto" w:sz="4" w:space="0"/>
            </w:tcBorders>
            <w:noWrap w:val="0"/>
            <w:vAlign w:val="center"/>
          </w:tcPr>
          <w:p w14:paraId="32887BD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p>
        </w:tc>
        <w:tc>
          <w:tcPr>
            <w:tcW w:w="1817" w:type="dxa"/>
            <w:tcBorders>
              <w:top w:val="single" w:color="auto" w:sz="4" w:space="0"/>
              <w:left w:val="single" w:color="auto" w:sz="4" w:space="0"/>
              <w:bottom w:val="single" w:color="auto" w:sz="12" w:space="0"/>
              <w:right w:val="single" w:color="auto" w:sz="4" w:space="0"/>
            </w:tcBorders>
            <w:noWrap w:val="0"/>
            <w:vAlign w:val="center"/>
          </w:tcPr>
          <w:p w14:paraId="2B749EE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多氯联苯类</w:t>
            </w:r>
          </w:p>
        </w:tc>
        <w:tc>
          <w:tcPr>
            <w:tcW w:w="3714" w:type="dxa"/>
            <w:tcBorders>
              <w:top w:val="single" w:color="auto" w:sz="4" w:space="0"/>
              <w:left w:val="single" w:color="auto" w:sz="4" w:space="0"/>
              <w:bottom w:val="single" w:color="auto" w:sz="12" w:space="0"/>
              <w:right w:val="single" w:color="auto" w:sz="4" w:space="0"/>
            </w:tcBorders>
            <w:noWrap w:val="0"/>
            <w:vAlign w:val="center"/>
          </w:tcPr>
          <w:p w14:paraId="1BE4120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土壤和沉积物</w:t>
            </w:r>
            <w:r>
              <w:rPr>
                <w:rFonts w:hint="default" w:ascii="Times New Roman" w:hAnsi="Times New Roman" w:cs="Times New Roman"/>
                <w:color w:val="auto"/>
                <w:sz w:val="21"/>
                <w:szCs w:val="21"/>
                <w:highlight w:val="none"/>
                <w:lang w:val="en-US" w:eastAsia="zh-CN"/>
              </w:rPr>
              <w:t xml:space="preserve"> 多氯联苯的测定 气相色谱-质谱法</w:t>
            </w:r>
          </w:p>
        </w:tc>
        <w:tc>
          <w:tcPr>
            <w:tcW w:w="1358" w:type="dxa"/>
            <w:tcBorders>
              <w:top w:val="single" w:color="auto" w:sz="4" w:space="0"/>
              <w:left w:val="single" w:color="auto" w:sz="4" w:space="0"/>
              <w:bottom w:val="single" w:color="auto" w:sz="12" w:space="0"/>
              <w:right w:val="single" w:color="auto" w:sz="4" w:space="0"/>
            </w:tcBorders>
            <w:noWrap w:val="0"/>
            <w:vAlign w:val="center"/>
          </w:tcPr>
          <w:p w14:paraId="6CC31A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HJ 743-2015</w:t>
            </w:r>
          </w:p>
        </w:tc>
        <w:tc>
          <w:tcPr>
            <w:tcW w:w="1438" w:type="dxa"/>
            <w:tcBorders>
              <w:top w:val="single" w:color="auto" w:sz="4" w:space="0"/>
              <w:left w:val="single" w:color="auto" w:sz="4" w:space="0"/>
              <w:bottom w:val="single" w:color="auto" w:sz="12" w:space="0"/>
              <w:right w:val="nil"/>
            </w:tcBorders>
            <w:noWrap w:val="0"/>
            <w:vAlign w:val="center"/>
          </w:tcPr>
          <w:p w14:paraId="4F302BC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r>
    </w:tbl>
    <w:p w14:paraId="00CED3A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注：①检出限均为检测单位给出的报告限，下同。</w:t>
      </w:r>
    </w:p>
    <w:p w14:paraId="3B59CA80">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0"/>
        <w:textAlignment w:val="auto"/>
        <w:rPr>
          <w:rFonts w:hint="default" w:ascii="Times New Roman" w:hAnsi="Times New Roman" w:cs="Times New Roman"/>
          <w:color w:val="auto"/>
          <w:highlight w:val="none"/>
          <w:lang w:eastAsia="zh-CN"/>
        </w:rPr>
      </w:pPr>
      <w:r>
        <w:rPr>
          <w:rFonts w:hint="default" w:ascii="Times New Roman" w:hAnsi="Times New Roman" w:cs="Times New Roman"/>
          <w:b/>
          <w:bCs/>
          <w:color w:val="auto"/>
          <w:sz w:val="18"/>
          <w:szCs w:val="18"/>
          <w:highlight w:val="none"/>
          <w:lang w:eastAsia="zh-CN"/>
        </w:rPr>
        <w:t>②“</w:t>
      </w:r>
      <w:r>
        <w:rPr>
          <w:rFonts w:hint="default" w:ascii="Times New Roman" w:hAnsi="Times New Roman" w:cs="Times New Roman"/>
          <w:b/>
          <w:bCs/>
          <w:color w:val="auto"/>
          <w:sz w:val="18"/>
          <w:szCs w:val="18"/>
          <w:highlight w:val="none"/>
          <w:lang w:val="en-US" w:eastAsia="zh-CN"/>
        </w:rPr>
        <w:t>/</w:t>
      </w:r>
      <w:r>
        <w:rPr>
          <w:rFonts w:hint="default" w:ascii="Times New Roman" w:hAnsi="Times New Roman" w:cs="Times New Roman"/>
          <w:b/>
          <w:bCs/>
          <w:color w:val="auto"/>
          <w:sz w:val="18"/>
          <w:szCs w:val="18"/>
          <w:highlight w:val="none"/>
          <w:lang w:eastAsia="zh-CN"/>
        </w:rPr>
        <w:t>”代表方法未给出检出限。根据“</w:t>
      </w:r>
      <w:r>
        <w:rPr>
          <w:rFonts w:hint="default" w:ascii="Times New Roman" w:hAnsi="Times New Roman" w:cs="Times New Roman"/>
          <w:b/>
          <w:bCs/>
          <w:color w:val="auto"/>
          <w:sz w:val="18"/>
          <w:szCs w:val="18"/>
          <w:highlight w:val="none"/>
          <w:lang w:val="en-US" w:eastAsia="zh-CN"/>
        </w:rPr>
        <w:t>HJ77.4-2008</w:t>
      </w:r>
      <w:r>
        <w:rPr>
          <w:rFonts w:hint="default" w:ascii="Times New Roman" w:hAnsi="Times New Roman" w:cs="Times New Roman"/>
          <w:b/>
          <w:bCs/>
          <w:color w:val="auto"/>
          <w:sz w:val="18"/>
          <w:szCs w:val="18"/>
          <w:highlight w:val="none"/>
          <w:lang w:eastAsia="zh-CN"/>
        </w:rPr>
        <w:t>”二噁英为一类物质的总称，单项指标有多种同分异构体，故其进行评价时应计算参考总毒性当量，故不给出检出限。</w:t>
      </w:r>
    </w:p>
    <w:p w14:paraId="06B1E49E">
      <w:pPr>
        <w:bidi w:val="0"/>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表4-</w:t>
      </w:r>
      <w:r>
        <w:rPr>
          <w:rFonts w:hint="default"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eastAsia="zh-CN"/>
        </w:rPr>
        <w:t>地下水</w:t>
      </w:r>
      <w:r>
        <w:rPr>
          <w:rFonts w:hint="default" w:ascii="Times New Roman" w:hAnsi="Times New Roman" w:cs="Times New Roman"/>
          <w:b/>
          <w:bCs/>
          <w:color w:val="auto"/>
          <w:sz w:val="24"/>
          <w:szCs w:val="24"/>
          <w:highlight w:val="none"/>
        </w:rPr>
        <w:t>监测分析方法及检出限汇总</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38"/>
        <w:gridCol w:w="1407"/>
        <w:gridCol w:w="3609"/>
        <w:gridCol w:w="2336"/>
        <w:gridCol w:w="1222"/>
      </w:tblGrid>
      <w:tr w14:paraId="2CD5AC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1038" w:type="dxa"/>
            <w:tcBorders>
              <w:bottom w:val="single" w:color="auto" w:sz="12" w:space="0"/>
            </w:tcBorders>
            <w:shd w:val="clear" w:color="auto" w:fill="auto"/>
            <w:tcMar>
              <w:top w:w="15" w:type="dxa"/>
              <w:left w:w="15" w:type="dxa"/>
              <w:right w:w="15" w:type="dxa"/>
            </w:tcMar>
            <w:vAlign w:val="center"/>
          </w:tcPr>
          <w:p w14:paraId="365804B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407" w:type="dxa"/>
            <w:tcBorders>
              <w:bottom w:val="single" w:color="auto" w:sz="12" w:space="0"/>
            </w:tcBorders>
            <w:shd w:val="clear" w:color="auto" w:fill="auto"/>
            <w:tcMar>
              <w:top w:w="15" w:type="dxa"/>
              <w:left w:w="15" w:type="dxa"/>
              <w:right w:w="15" w:type="dxa"/>
            </w:tcMar>
            <w:vAlign w:val="center"/>
          </w:tcPr>
          <w:p w14:paraId="4B5E42F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检测项目</w:t>
            </w:r>
          </w:p>
        </w:tc>
        <w:tc>
          <w:tcPr>
            <w:tcW w:w="3609" w:type="dxa"/>
            <w:tcBorders>
              <w:bottom w:val="single" w:color="auto" w:sz="12" w:space="0"/>
            </w:tcBorders>
            <w:shd w:val="clear" w:color="auto" w:fill="auto"/>
            <w:tcMar>
              <w:top w:w="15" w:type="dxa"/>
              <w:left w:w="15" w:type="dxa"/>
              <w:right w:w="15" w:type="dxa"/>
            </w:tcMar>
            <w:vAlign w:val="center"/>
          </w:tcPr>
          <w:p w14:paraId="0C98149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分析方法及依据</w:t>
            </w:r>
          </w:p>
        </w:tc>
        <w:tc>
          <w:tcPr>
            <w:tcW w:w="2336" w:type="dxa"/>
            <w:tcBorders>
              <w:bottom w:val="single" w:color="auto" w:sz="12" w:space="0"/>
            </w:tcBorders>
            <w:shd w:val="clear" w:color="auto" w:fill="auto"/>
            <w:noWrap/>
            <w:tcMar>
              <w:top w:w="15" w:type="dxa"/>
              <w:left w:w="15" w:type="dxa"/>
              <w:right w:w="15" w:type="dxa"/>
            </w:tcMar>
            <w:vAlign w:val="center"/>
          </w:tcPr>
          <w:p w14:paraId="33616E8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标准编号</w:t>
            </w:r>
          </w:p>
        </w:tc>
        <w:tc>
          <w:tcPr>
            <w:tcW w:w="1222" w:type="dxa"/>
            <w:tcBorders>
              <w:bottom w:val="single" w:color="auto" w:sz="12" w:space="0"/>
            </w:tcBorders>
            <w:shd w:val="clear" w:color="auto" w:fill="auto"/>
            <w:tcMar>
              <w:top w:w="15" w:type="dxa"/>
              <w:left w:w="15" w:type="dxa"/>
              <w:right w:w="15" w:type="dxa"/>
            </w:tcMar>
            <w:vAlign w:val="center"/>
          </w:tcPr>
          <w:p w14:paraId="48D2041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检出限</w:t>
            </w:r>
          </w:p>
        </w:tc>
      </w:tr>
      <w:tr w14:paraId="570410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restart"/>
            <w:tcBorders>
              <w:top w:val="single" w:color="auto" w:sz="12" w:space="0"/>
              <w:tl2br w:val="nil"/>
              <w:tr2bl w:val="nil"/>
            </w:tcBorders>
            <w:shd w:val="clear" w:color="auto" w:fill="auto"/>
            <w:tcMar>
              <w:top w:w="15" w:type="dxa"/>
              <w:left w:w="15" w:type="dxa"/>
              <w:right w:w="15" w:type="dxa"/>
            </w:tcMar>
            <w:vAlign w:val="center"/>
          </w:tcPr>
          <w:p w14:paraId="73E6B30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地下水</w:t>
            </w:r>
          </w:p>
        </w:tc>
        <w:tc>
          <w:tcPr>
            <w:tcW w:w="1407" w:type="dxa"/>
            <w:tcBorders>
              <w:top w:val="single" w:color="auto" w:sz="12" w:space="0"/>
              <w:tl2br w:val="nil"/>
              <w:tr2bl w:val="nil"/>
            </w:tcBorders>
            <w:shd w:val="clear" w:color="auto" w:fill="auto"/>
            <w:tcMar>
              <w:top w:w="15" w:type="dxa"/>
              <w:left w:w="15" w:type="dxa"/>
              <w:right w:w="15" w:type="dxa"/>
            </w:tcMar>
            <w:vAlign w:val="center"/>
          </w:tcPr>
          <w:p w14:paraId="0B1C985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pH值</w:t>
            </w:r>
          </w:p>
        </w:tc>
        <w:tc>
          <w:tcPr>
            <w:tcW w:w="3609" w:type="dxa"/>
            <w:tcBorders>
              <w:top w:val="single" w:color="auto" w:sz="12" w:space="0"/>
              <w:tl2br w:val="nil"/>
              <w:tr2bl w:val="nil"/>
            </w:tcBorders>
            <w:shd w:val="clear" w:color="auto" w:fill="auto"/>
            <w:tcMar>
              <w:top w:w="15" w:type="dxa"/>
              <w:left w:w="15" w:type="dxa"/>
              <w:right w:w="15" w:type="dxa"/>
            </w:tcMar>
            <w:vAlign w:val="center"/>
          </w:tcPr>
          <w:p w14:paraId="04D3A79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pH 值的测定 玻璃电极法</w:t>
            </w:r>
          </w:p>
        </w:tc>
        <w:tc>
          <w:tcPr>
            <w:tcW w:w="2336" w:type="dxa"/>
            <w:tcBorders>
              <w:top w:val="single" w:color="auto" w:sz="12" w:space="0"/>
              <w:tl2br w:val="nil"/>
              <w:tr2bl w:val="nil"/>
            </w:tcBorders>
            <w:shd w:val="clear" w:color="auto" w:fill="auto"/>
            <w:noWrap/>
            <w:tcMar>
              <w:top w:w="15" w:type="dxa"/>
              <w:left w:w="15" w:type="dxa"/>
              <w:right w:w="15" w:type="dxa"/>
            </w:tcMar>
            <w:vAlign w:val="center"/>
          </w:tcPr>
          <w:p w14:paraId="0EA3A70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 6920-1986</w:t>
            </w:r>
          </w:p>
        </w:tc>
        <w:tc>
          <w:tcPr>
            <w:tcW w:w="1222" w:type="dxa"/>
            <w:tcBorders>
              <w:top w:val="single" w:color="auto" w:sz="12" w:space="0"/>
              <w:tl2br w:val="nil"/>
              <w:tr2bl w:val="nil"/>
            </w:tcBorders>
            <w:shd w:val="clear" w:color="auto" w:fill="auto"/>
            <w:tcMar>
              <w:top w:w="15" w:type="dxa"/>
              <w:left w:w="15" w:type="dxa"/>
              <w:right w:w="15" w:type="dxa"/>
            </w:tcMar>
            <w:vAlign w:val="center"/>
          </w:tcPr>
          <w:p w14:paraId="2F69DA4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w:t>
            </w:r>
          </w:p>
        </w:tc>
      </w:tr>
      <w:tr w14:paraId="1B56B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FCB4BD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804CFD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3609" w:type="dxa"/>
            <w:tcBorders>
              <w:tl2br w:val="nil"/>
              <w:tr2bl w:val="nil"/>
            </w:tcBorders>
            <w:shd w:val="clear" w:color="auto" w:fill="auto"/>
            <w:tcMar>
              <w:top w:w="15" w:type="dxa"/>
              <w:left w:w="15" w:type="dxa"/>
              <w:right w:w="15" w:type="dxa"/>
            </w:tcMar>
            <w:vAlign w:val="center"/>
          </w:tcPr>
          <w:p w14:paraId="0E205D5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感官性状</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和物理指标 乙二胺四乙酸二钠滴定法</w:t>
            </w:r>
          </w:p>
        </w:tc>
        <w:tc>
          <w:tcPr>
            <w:tcW w:w="2336" w:type="dxa"/>
            <w:tcBorders>
              <w:tl2br w:val="nil"/>
              <w:tr2bl w:val="nil"/>
            </w:tcBorders>
            <w:shd w:val="clear" w:color="auto" w:fill="auto"/>
            <w:noWrap/>
            <w:tcMar>
              <w:top w:w="15" w:type="dxa"/>
              <w:left w:w="15" w:type="dxa"/>
              <w:right w:w="15" w:type="dxa"/>
            </w:tcMar>
            <w:vAlign w:val="center"/>
          </w:tcPr>
          <w:p w14:paraId="66AE2D3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5750.4-2006</w:t>
            </w:r>
          </w:p>
        </w:tc>
        <w:tc>
          <w:tcPr>
            <w:tcW w:w="1222" w:type="dxa"/>
            <w:tcBorders>
              <w:tl2br w:val="nil"/>
              <w:tr2bl w:val="nil"/>
            </w:tcBorders>
            <w:shd w:val="clear" w:color="auto" w:fill="auto"/>
            <w:tcMar>
              <w:top w:w="15" w:type="dxa"/>
              <w:left w:w="15" w:type="dxa"/>
              <w:right w:w="15" w:type="dxa"/>
            </w:tcMar>
            <w:vAlign w:val="center"/>
          </w:tcPr>
          <w:p w14:paraId="0AA6B9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1.0mg/L</w:t>
            </w:r>
          </w:p>
        </w:tc>
      </w:tr>
      <w:tr w14:paraId="24F2C5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08E1AE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A9AD8C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3609" w:type="dxa"/>
            <w:tcBorders>
              <w:tl2br w:val="nil"/>
              <w:tr2bl w:val="nil"/>
            </w:tcBorders>
            <w:shd w:val="clear" w:color="auto" w:fill="auto"/>
            <w:tcMar>
              <w:top w:w="15" w:type="dxa"/>
              <w:left w:w="15" w:type="dxa"/>
              <w:right w:w="15" w:type="dxa"/>
            </w:tcMar>
            <w:vAlign w:val="center"/>
          </w:tcPr>
          <w:p w14:paraId="25386A6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感观性状</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和物理指标 称量法 称量法</w:t>
            </w:r>
          </w:p>
        </w:tc>
        <w:tc>
          <w:tcPr>
            <w:tcW w:w="2336" w:type="dxa"/>
            <w:tcBorders>
              <w:tl2br w:val="nil"/>
              <w:tr2bl w:val="nil"/>
            </w:tcBorders>
            <w:shd w:val="clear" w:color="auto" w:fill="auto"/>
            <w:noWrap/>
            <w:tcMar>
              <w:top w:w="15" w:type="dxa"/>
              <w:left w:w="15" w:type="dxa"/>
              <w:right w:w="15" w:type="dxa"/>
            </w:tcMar>
            <w:vAlign w:val="center"/>
          </w:tcPr>
          <w:p w14:paraId="28528FF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5750.4-2006</w:t>
            </w:r>
          </w:p>
        </w:tc>
        <w:tc>
          <w:tcPr>
            <w:tcW w:w="1222" w:type="dxa"/>
            <w:tcBorders>
              <w:tl2br w:val="nil"/>
              <w:tr2bl w:val="nil"/>
            </w:tcBorders>
            <w:shd w:val="clear" w:color="auto" w:fill="auto"/>
            <w:tcMar>
              <w:top w:w="15" w:type="dxa"/>
              <w:left w:w="15" w:type="dxa"/>
              <w:right w:w="15" w:type="dxa"/>
            </w:tcMar>
            <w:vAlign w:val="center"/>
          </w:tcPr>
          <w:p w14:paraId="4F897D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w:t>
            </w:r>
          </w:p>
        </w:tc>
      </w:tr>
      <w:tr w14:paraId="6107CB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F6EF73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1056F3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耗氧量</w:t>
            </w:r>
          </w:p>
        </w:tc>
        <w:tc>
          <w:tcPr>
            <w:tcW w:w="3609" w:type="dxa"/>
            <w:tcBorders>
              <w:tl2br w:val="nil"/>
              <w:tr2bl w:val="nil"/>
            </w:tcBorders>
            <w:shd w:val="clear" w:color="auto" w:fill="auto"/>
            <w:tcMar>
              <w:top w:w="15" w:type="dxa"/>
              <w:left w:w="15" w:type="dxa"/>
              <w:right w:w="15" w:type="dxa"/>
            </w:tcMar>
            <w:vAlign w:val="center"/>
          </w:tcPr>
          <w:p w14:paraId="4413434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Fonts w:hint="default" w:ascii="Times New Roman" w:hAnsi="Times New Roman" w:cs="Times New Roman"/>
                <w:i w:val="0"/>
                <w:color w:val="auto"/>
                <w:kern w:val="0"/>
                <w:sz w:val="21"/>
                <w:szCs w:val="21"/>
                <w:highlight w:val="none"/>
                <w:u w:val="none"/>
                <w:lang w:val="en-US" w:eastAsia="zh-CN" w:bidi="ar"/>
              </w:rPr>
              <w:t>耗氧量</w:t>
            </w:r>
            <w:r>
              <w:rPr>
                <w:rFonts w:hint="default" w:ascii="Times New Roman" w:hAnsi="Times New Roman" w:eastAsia="宋体" w:cs="Times New Roman"/>
                <w:i w:val="0"/>
                <w:color w:val="auto"/>
                <w:kern w:val="0"/>
                <w:sz w:val="21"/>
                <w:szCs w:val="21"/>
                <w:highlight w:val="none"/>
                <w:u w:val="none"/>
                <w:lang w:val="en-US" w:eastAsia="zh-CN" w:bidi="ar"/>
              </w:rPr>
              <w:t>的测定</w:t>
            </w:r>
          </w:p>
        </w:tc>
        <w:tc>
          <w:tcPr>
            <w:tcW w:w="2336" w:type="dxa"/>
            <w:tcBorders>
              <w:tl2br w:val="nil"/>
              <w:tr2bl w:val="nil"/>
            </w:tcBorders>
            <w:shd w:val="clear" w:color="auto" w:fill="auto"/>
            <w:noWrap/>
            <w:tcMar>
              <w:top w:w="15" w:type="dxa"/>
              <w:left w:w="15" w:type="dxa"/>
              <w:right w:w="15" w:type="dxa"/>
            </w:tcMar>
            <w:vAlign w:val="center"/>
          </w:tcPr>
          <w:p w14:paraId="720DC17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 11892-1989</w:t>
            </w:r>
          </w:p>
        </w:tc>
        <w:tc>
          <w:tcPr>
            <w:tcW w:w="1222" w:type="dxa"/>
            <w:tcBorders>
              <w:tl2br w:val="nil"/>
              <w:tr2bl w:val="nil"/>
            </w:tcBorders>
            <w:shd w:val="clear" w:color="auto" w:fill="auto"/>
            <w:tcMar>
              <w:top w:w="15" w:type="dxa"/>
              <w:left w:w="15" w:type="dxa"/>
              <w:right w:w="15" w:type="dxa"/>
            </w:tcMar>
            <w:vAlign w:val="center"/>
          </w:tcPr>
          <w:p w14:paraId="7A3215A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0.125mg/L</w:t>
            </w:r>
          </w:p>
        </w:tc>
      </w:tr>
      <w:tr w14:paraId="722EF9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CA1135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3AE4DC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3609" w:type="dxa"/>
            <w:vMerge w:val="restart"/>
            <w:tcBorders>
              <w:tl2br w:val="nil"/>
              <w:tr2bl w:val="nil"/>
            </w:tcBorders>
            <w:shd w:val="clear" w:color="auto" w:fill="auto"/>
            <w:tcMar>
              <w:top w:w="15" w:type="dxa"/>
              <w:left w:w="15" w:type="dxa"/>
              <w:right w:w="15" w:type="dxa"/>
            </w:tcMar>
            <w:vAlign w:val="center"/>
          </w:tcPr>
          <w:p w14:paraId="4B6C5FC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Style w:val="61"/>
                <w:rFonts w:hint="default" w:ascii="Times New Roman" w:hAnsi="Times New Roman" w:cs="Times New Roman"/>
                <w:color w:val="auto"/>
                <w:sz w:val="21"/>
                <w:szCs w:val="21"/>
                <w:highlight w:val="none"/>
                <w:lang w:val="en-US" w:eastAsia="zh-CN" w:bidi="ar"/>
              </w:rPr>
              <w:t>无机阴离子</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F</w:t>
            </w:r>
            <w:r>
              <w:rPr>
                <w:rFonts w:hint="default" w:ascii="Times New Roman" w:hAnsi="Times New Roman" w:cs="Times New Roman"/>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Cl</w:t>
            </w:r>
            <w:r>
              <w:rPr>
                <w:rFonts w:hint="default" w:ascii="Times New Roman" w:hAnsi="Times New Roman" w:cs="Times New Roman"/>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Br</w:t>
            </w:r>
            <w:r>
              <w:rPr>
                <w:rFonts w:hint="default" w:ascii="Times New Roman" w:hAnsi="Times New Roman" w:cs="Times New Roman"/>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NO</w:t>
            </w:r>
            <w:r>
              <w:rPr>
                <w:rFonts w:hint="default" w:ascii="Times New Roman" w:hAnsi="Times New Roman" w:cs="Times New Roman"/>
                <w:color w:val="000000"/>
                <w:kern w:val="0"/>
                <w:sz w:val="21"/>
                <w:szCs w:val="21"/>
                <w:highlight w:val="none"/>
                <w:vertAlign w:val="subscript"/>
                <w:lang w:bidi="ar"/>
              </w:rPr>
              <w:t>2</w:t>
            </w:r>
            <w:r>
              <w:rPr>
                <w:rFonts w:hint="default" w:ascii="Times New Roman" w:hAnsi="Times New Roman" w:cs="Times New Roman"/>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NO</w:t>
            </w:r>
            <w:r>
              <w:rPr>
                <w:rFonts w:hint="default" w:ascii="Times New Roman" w:hAnsi="Times New Roman" w:cs="Times New Roman"/>
                <w:color w:val="000000"/>
                <w:kern w:val="0"/>
                <w:sz w:val="21"/>
                <w:szCs w:val="21"/>
                <w:highlight w:val="none"/>
                <w:vertAlign w:val="subscript"/>
                <w:lang w:bidi="ar"/>
              </w:rPr>
              <w:t>3</w:t>
            </w:r>
            <w:r>
              <w:rPr>
                <w:rFonts w:hint="default" w:ascii="Times New Roman" w:hAnsi="Times New Roman" w:cs="Times New Roman"/>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PO</w:t>
            </w:r>
            <w:r>
              <w:rPr>
                <w:rFonts w:hint="default" w:ascii="Times New Roman" w:hAnsi="Times New Roman" w:cs="Times New Roman"/>
                <w:color w:val="000000"/>
                <w:kern w:val="0"/>
                <w:sz w:val="21"/>
                <w:szCs w:val="21"/>
                <w:highlight w:val="none"/>
                <w:vertAlign w:val="subscript"/>
                <w:lang w:bidi="ar"/>
              </w:rPr>
              <w:t>4</w:t>
            </w:r>
            <w:r>
              <w:rPr>
                <w:rFonts w:hint="default" w:ascii="Times New Roman" w:hAnsi="Times New Roman" w:cs="Times New Roman"/>
                <w:color w:val="000000"/>
                <w:kern w:val="0"/>
                <w:sz w:val="21"/>
                <w:szCs w:val="21"/>
                <w:highlight w:val="none"/>
                <w:vertAlign w:val="superscript"/>
                <w:lang w:bidi="ar"/>
              </w:rPr>
              <w:t>3-</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SO</w:t>
            </w:r>
            <w:r>
              <w:rPr>
                <w:rFonts w:hint="default" w:ascii="Times New Roman" w:hAnsi="Times New Roman" w:cs="Times New Roman"/>
                <w:color w:val="000000"/>
                <w:kern w:val="0"/>
                <w:sz w:val="21"/>
                <w:szCs w:val="21"/>
                <w:highlight w:val="none"/>
                <w:vertAlign w:val="subscript"/>
                <w:lang w:bidi="ar"/>
              </w:rPr>
              <w:t>3</w:t>
            </w:r>
            <w:r>
              <w:rPr>
                <w:rFonts w:hint="default" w:ascii="Times New Roman" w:hAnsi="Times New Roman" w:cs="Times New Roman"/>
                <w:color w:val="000000"/>
                <w:kern w:val="0"/>
                <w:sz w:val="21"/>
                <w:szCs w:val="21"/>
                <w:highlight w:val="none"/>
                <w:vertAlign w:val="superscript"/>
                <w:lang w:bidi="ar"/>
              </w:rPr>
              <w:t>2-</w:t>
            </w:r>
            <w:r>
              <w:rPr>
                <w:rStyle w:val="61"/>
                <w:rFonts w:hint="default" w:ascii="Times New Roman" w:hAnsi="Times New Roman" w:cs="Times New Roman"/>
                <w:sz w:val="21"/>
                <w:szCs w:val="21"/>
                <w:highlight w:val="none"/>
                <w:lang w:bidi="ar"/>
              </w:rPr>
              <w:t>、</w:t>
            </w:r>
            <w:r>
              <w:rPr>
                <w:rFonts w:hint="default" w:ascii="Times New Roman" w:hAnsi="Times New Roman" w:cs="Times New Roman"/>
                <w:color w:val="000000"/>
                <w:kern w:val="0"/>
                <w:sz w:val="21"/>
                <w:szCs w:val="21"/>
                <w:highlight w:val="none"/>
                <w:lang w:bidi="ar"/>
              </w:rPr>
              <w:t>SO</w:t>
            </w:r>
            <w:r>
              <w:rPr>
                <w:rFonts w:hint="default" w:ascii="Times New Roman" w:hAnsi="Times New Roman" w:cs="Times New Roman"/>
                <w:color w:val="000000"/>
                <w:kern w:val="0"/>
                <w:sz w:val="21"/>
                <w:szCs w:val="21"/>
                <w:highlight w:val="none"/>
                <w:vertAlign w:val="subscript"/>
                <w:lang w:bidi="ar"/>
              </w:rPr>
              <w:t>4</w:t>
            </w:r>
            <w:r>
              <w:rPr>
                <w:rFonts w:hint="default" w:ascii="Times New Roman" w:hAnsi="Times New Roman" w:cs="Times New Roman"/>
                <w:color w:val="000000"/>
                <w:kern w:val="0"/>
                <w:sz w:val="21"/>
                <w:szCs w:val="21"/>
                <w:highlight w:val="none"/>
                <w:vertAlign w:val="superscript"/>
                <w:lang w:bidi="ar"/>
              </w:rPr>
              <w:t>2-</w:t>
            </w:r>
            <w:r>
              <w:rPr>
                <w:rStyle w:val="61"/>
                <w:rFonts w:hint="default" w:ascii="Times New Roman" w:hAnsi="Times New Roman" w:cs="Times New Roman"/>
                <w:sz w:val="21"/>
                <w:szCs w:val="21"/>
                <w:highlight w:val="none"/>
                <w:lang w:bidi="ar"/>
              </w:rPr>
              <w:t>）</w:t>
            </w:r>
            <w:r>
              <w:rPr>
                <w:rStyle w:val="61"/>
                <w:rFonts w:hint="default" w:ascii="Times New Roman" w:hAnsi="Times New Roman" w:cs="Times New Roman"/>
                <w:color w:val="auto"/>
                <w:sz w:val="21"/>
                <w:szCs w:val="21"/>
                <w:highlight w:val="none"/>
                <w:lang w:val="en-US" w:eastAsia="zh-CN" w:bidi="ar"/>
              </w:rPr>
              <w:t>的测定离子色谱法</w:t>
            </w:r>
          </w:p>
        </w:tc>
        <w:tc>
          <w:tcPr>
            <w:tcW w:w="2336" w:type="dxa"/>
            <w:vMerge w:val="restart"/>
            <w:tcBorders>
              <w:tl2br w:val="nil"/>
              <w:tr2bl w:val="nil"/>
            </w:tcBorders>
            <w:shd w:val="clear" w:color="auto" w:fill="auto"/>
            <w:noWrap/>
            <w:tcMar>
              <w:top w:w="15" w:type="dxa"/>
              <w:left w:w="15" w:type="dxa"/>
              <w:right w:w="15" w:type="dxa"/>
            </w:tcMar>
            <w:vAlign w:val="center"/>
          </w:tcPr>
          <w:p w14:paraId="5458DCE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84-2016</w:t>
            </w:r>
          </w:p>
        </w:tc>
        <w:tc>
          <w:tcPr>
            <w:tcW w:w="1222" w:type="dxa"/>
            <w:tcBorders>
              <w:tl2br w:val="nil"/>
              <w:tr2bl w:val="nil"/>
            </w:tcBorders>
            <w:shd w:val="clear" w:color="auto" w:fill="auto"/>
            <w:tcMar>
              <w:top w:w="15" w:type="dxa"/>
              <w:left w:w="15" w:type="dxa"/>
              <w:right w:w="15" w:type="dxa"/>
            </w:tcMar>
            <w:vAlign w:val="center"/>
          </w:tcPr>
          <w:p w14:paraId="4D181A8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0.018mg/L</w:t>
            </w:r>
          </w:p>
        </w:tc>
      </w:tr>
      <w:tr w14:paraId="7D3F87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19867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01EF49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(以氮计)</w:t>
            </w:r>
          </w:p>
        </w:tc>
        <w:tc>
          <w:tcPr>
            <w:tcW w:w="3609" w:type="dxa"/>
            <w:vMerge w:val="continue"/>
            <w:tcBorders>
              <w:tl2br w:val="nil"/>
              <w:tr2bl w:val="nil"/>
            </w:tcBorders>
            <w:shd w:val="clear" w:color="auto" w:fill="auto"/>
            <w:tcMar>
              <w:top w:w="15" w:type="dxa"/>
              <w:left w:w="15" w:type="dxa"/>
              <w:right w:w="15" w:type="dxa"/>
            </w:tcMar>
            <w:vAlign w:val="center"/>
          </w:tcPr>
          <w:p w14:paraId="5B07A7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5CF2E9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74778AF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0.004mg/L</w:t>
            </w:r>
          </w:p>
        </w:tc>
      </w:tr>
      <w:tr w14:paraId="67B541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6872B9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73704A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3609" w:type="dxa"/>
            <w:vMerge w:val="continue"/>
            <w:tcBorders>
              <w:tl2br w:val="nil"/>
              <w:tr2bl w:val="nil"/>
            </w:tcBorders>
            <w:shd w:val="clear" w:color="auto" w:fill="auto"/>
            <w:tcMar>
              <w:top w:w="15" w:type="dxa"/>
              <w:left w:w="15" w:type="dxa"/>
              <w:right w:w="15" w:type="dxa"/>
            </w:tcMar>
            <w:vAlign w:val="center"/>
          </w:tcPr>
          <w:p w14:paraId="6F124C4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35CC1E9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7D42AD6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0.007mg/L</w:t>
            </w:r>
          </w:p>
        </w:tc>
      </w:tr>
      <w:tr w14:paraId="45E47D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22480B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A7721C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氟化物</w:t>
            </w:r>
          </w:p>
        </w:tc>
        <w:tc>
          <w:tcPr>
            <w:tcW w:w="3609" w:type="dxa"/>
            <w:vMerge w:val="continue"/>
            <w:tcBorders>
              <w:tl2br w:val="nil"/>
              <w:tr2bl w:val="nil"/>
            </w:tcBorders>
            <w:shd w:val="clear" w:color="auto" w:fill="auto"/>
            <w:tcMar>
              <w:top w:w="15" w:type="dxa"/>
              <w:left w:w="15" w:type="dxa"/>
              <w:right w:w="15" w:type="dxa"/>
            </w:tcMar>
            <w:vAlign w:val="center"/>
          </w:tcPr>
          <w:p w14:paraId="761279E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7013CAC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5CC0540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0.006mg/L</w:t>
            </w:r>
          </w:p>
        </w:tc>
      </w:tr>
      <w:tr w14:paraId="3ACD5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9D395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58198C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挥发酚</w:t>
            </w:r>
          </w:p>
        </w:tc>
        <w:tc>
          <w:tcPr>
            <w:tcW w:w="3609" w:type="dxa"/>
            <w:tcBorders>
              <w:tl2br w:val="nil"/>
              <w:tr2bl w:val="nil"/>
            </w:tcBorders>
            <w:shd w:val="clear" w:color="auto" w:fill="auto"/>
            <w:tcMar>
              <w:top w:w="15" w:type="dxa"/>
              <w:left w:w="15" w:type="dxa"/>
              <w:right w:w="15" w:type="dxa"/>
            </w:tcMar>
            <w:vAlign w:val="center"/>
          </w:tcPr>
          <w:p w14:paraId="3D94B7D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挥发酚的测定 4-氨基安替比林分光光度法</w:t>
            </w:r>
          </w:p>
        </w:tc>
        <w:tc>
          <w:tcPr>
            <w:tcW w:w="2336" w:type="dxa"/>
            <w:tcBorders>
              <w:tl2br w:val="nil"/>
              <w:tr2bl w:val="nil"/>
            </w:tcBorders>
            <w:shd w:val="clear" w:color="auto" w:fill="auto"/>
            <w:noWrap/>
            <w:tcMar>
              <w:top w:w="15" w:type="dxa"/>
              <w:left w:w="15" w:type="dxa"/>
              <w:right w:w="15" w:type="dxa"/>
            </w:tcMar>
            <w:vAlign w:val="center"/>
          </w:tcPr>
          <w:p w14:paraId="33D0FC4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503-2009</w:t>
            </w:r>
          </w:p>
        </w:tc>
        <w:tc>
          <w:tcPr>
            <w:tcW w:w="1222" w:type="dxa"/>
            <w:tcBorders>
              <w:tl2br w:val="nil"/>
              <w:tr2bl w:val="nil"/>
            </w:tcBorders>
            <w:shd w:val="clear" w:color="auto" w:fill="auto"/>
            <w:tcMar>
              <w:top w:w="15" w:type="dxa"/>
              <w:left w:w="15" w:type="dxa"/>
              <w:right w:w="15" w:type="dxa"/>
            </w:tcMar>
            <w:vAlign w:val="center"/>
          </w:tcPr>
          <w:p w14:paraId="6D68996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0.0003mg/L</w:t>
            </w:r>
          </w:p>
        </w:tc>
      </w:tr>
      <w:tr w14:paraId="3350FB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08557E9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C97478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阴离子表</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面活性剂</w:t>
            </w:r>
          </w:p>
        </w:tc>
        <w:tc>
          <w:tcPr>
            <w:tcW w:w="3609" w:type="dxa"/>
            <w:tcBorders>
              <w:tl2br w:val="nil"/>
              <w:tr2bl w:val="nil"/>
            </w:tcBorders>
            <w:shd w:val="clear" w:color="auto" w:fill="auto"/>
            <w:tcMar>
              <w:top w:w="15" w:type="dxa"/>
              <w:left w:w="15" w:type="dxa"/>
              <w:right w:w="15" w:type="dxa"/>
            </w:tcMar>
            <w:vAlign w:val="center"/>
          </w:tcPr>
          <w:p w14:paraId="1FB242B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阴离子表面活性剂的测定</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亚甲蓝分光光度法</w:t>
            </w:r>
          </w:p>
        </w:tc>
        <w:tc>
          <w:tcPr>
            <w:tcW w:w="2336" w:type="dxa"/>
            <w:tcBorders>
              <w:tl2br w:val="nil"/>
              <w:tr2bl w:val="nil"/>
            </w:tcBorders>
            <w:shd w:val="clear" w:color="auto" w:fill="auto"/>
            <w:noWrap/>
            <w:tcMar>
              <w:top w:w="15" w:type="dxa"/>
              <w:left w:w="15" w:type="dxa"/>
              <w:right w:w="15" w:type="dxa"/>
            </w:tcMar>
            <w:vAlign w:val="center"/>
          </w:tcPr>
          <w:p w14:paraId="3DAF9B1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 7494-1987</w:t>
            </w:r>
          </w:p>
        </w:tc>
        <w:tc>
          <w:tcPr>
            <w:tcW w:w="1222" w:type="dxa"/>
            <w:tcBorders>
              <w:tl2br w:val="nil"/>
              <w:tr2bl w:val="nil"/>
            </w:tcBorders>
            <w:shd w:val="clear" w:color="auto" w:fill="auto"/>
            <w:tcMar>
              <w:top w:w="15" w:type="dxa"/>
              <w:left w:w="15" w:type="dxa"/>
              <w:right w:w="15" w:type="dxa"/>
            </w:tcMar>
            <w:vAlign w:val="center"/>
          </w:tcPr>
          <w:p w14:paraId="5BA2AA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0.05mg/L</w:t>
            </w:r>
          </w:p>
        </w:tc>
      </w:tr>
      <w:tr w14:paraId="32ADEA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E821E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635FEF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p>
        </w:tc>
        <w:tc>
          <w:tcPr>
            <w:tcW w:w="3609" w:type="dxa"/>
            <w:tcBorders>
              <w:tl2br w:val="nil"/>
              <w:tr2bl w:val="nil"/>
            </w:tcBorders>
            <w:shd w:val="clear" w:color="auto" w:fill="auto"/>
            <w:tcMar>
              <w:top w:w="15" w:type="dxa"/>
              <w:left w:w="15" w:type="dxa"/>
              <w:right w:w="15" w:type="dxa"/>
            </w:tcMar>
            <w:vAlign w:val="center"/>
          </w:tcPr>
          <w:p w14:paraId="3E0117E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无机非金</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属指标 纳氏试剂分光光度法</w:t>
            </w:r>
          </w:p>
        </w:tc>
        <w:tc>
          <w:tcPr>
            <w:tcW w:w="2336" w:type="dxa"/>
            <w:tcBorders>
              <w:tl2br w:val="nil"/>
              <w:tr2bl w:val="nil"/>
            </w:tcBorders>
            <w:shd w:val="clear" w:color="auto" w:fill="auto"/>
            <w:noWrap/>
            <w:tcMar>
              <w:top w:w="15" w:type="dxa"/>
              <w:left w:w="15" w:type="dxa"/>
              <w:right w:w="15" w:type="dxa"/>
            </w:tcMar>
            <w:vAlign w:val="center"/>
          </w:tcPr>
          <w:p w14:paraId="28989C8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0D318B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0.02mg/L</w:t>
            </w:r>
          </w:p>
        </w:tc>
      </w:tr>
      <w:tr w14:paraId="01A968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38063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493E5D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硫化物</w:t>
            </w:r>
          </w:p>
        </w:tc>
        <w:tc>
          <w:tcPr>
            <w:tcW w:w="3609" w:type="dxa"/>
            <w:tcBorders>
              <w:tl2br w:val="nil"/>
              <w:tr2bl w:val="nil"/>
            </w:tcBorders>
            <w:shd w:val="clear" w:color="auto" w:fill="auto"/>
            <w:tcMar>
              <w:top w:w="15" w:type="dxa"/>
              <w:left w:w="15" w:type="dxa"/>
              <w:right w:w="15" w:type="dxa"/>
            </w:tcMar>
            <w:vAlign w:val="center"/>
          </w:tcPr>
          <w:p w14:paraId="07C21F0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水质 硫化物的测定 亚甲基蓝分光光度法</w:t>
            </w:r>
          </w:p>
        </w:tc>
        <w:tc>
          <w:tcPr>
            <w:tcW w:w="2336" w:type="dxa"/>
            <w:tcBorders>
              <w:tl2br w:val="nil"/>
              <w:tr2bl w:val="nil"/>
            </w:tcBorders>
            <w:shd w:val="clear" w:color="auto" w:fill="auto"/>
            <w:noWrap/>
            <w:tcMar>
              <w:top w:w="15" w:type="dxa"/>
              <w:left w:w="15" w:type="dxa"/>
              <w:right w:w="15" w:type="dxa"/>
            </w:tcMar>
            <w:vAlign w:val="center"/>
          </w:tcPr>
          <w:p w14:paraId="665BB52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16489-1996</w:t>
            </w:r>
          </w:p>
        </w:tc>
        <w:tc>
          <w:tcPr>
            <w:tcW w:w="1222" w:type="dxa"/>
            <w:tcBorders>
              <w:tl2br w:val="nil"/>
              <w:tr2bl w:val="nil"/>
            </w:tcBorders>
            <w:shd w:val="clear" w:color="auto" w:fill="auto"/>
            <w:tcMar>
              <w:top w:w="15" w:type="dxa"/>
              <w:left w:w="15" w:type="dxa"/>
              <w:right w:w="15" w:type="dxa"/>
            </w:tcMar>
            <w:vAlign w:val="center"/>
          </w:tcPr>
          <w:p w14:paraId="4F4961D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0.005mg/L</w:t>
            </w:r>
          </w:p>
        </w:tc>
      </w:tr>
      <w:tr w14:paraId="52E148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FDAD1B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6C7F32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亚硝酸盐氮</w:t>
            </w:r>
          </w:p>
        </w:tc>
        <w:tc>
          <w:tcPr>
            <w:tcW w:w="3609" w:type="dxa"/>
            <w:tcBorders>
              <w:tl2br w:val="nil"/>
              <w:tr2bl w:val="nil"/>
            </w:tcBorders>
            <w:shd w:val="clear" w:color="auto" w:fill="auto"/>
            <w:tcMar>
              <w:top w:w="15" w:type="dxa"/>
              <w:left w:w="15" w:type="dxa"/>
              <w:right w:w="15" w:type="dxa"/>
            </w:tcMar>
            <w:vAlign w:val="center"/>
          </w:tcPr>
          <w:p w14:paraId="098DA6D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生活饮用水标准检验方法 </w:t>
            </w:r>
          </w:p>
          <w:p w14:paraId="030B2DF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无机非金属指标 重氮偶合分光光度法</w:t>
            </w:r>
          </w:p>
        </w:tc>
        <w:tc>
          <w:tcPr>
            <w:tcW w:w="2336" w:type="dxa"/>
            <w:tcBorders>
              <w:tl2br w:val="nil"/>
              <w:tr2bl w:val="nil"/>
            </w:tcBorders>
            <w:shd w:val="clear" w:color="auto" w:fill="auto"/>
            <w:tcMar>
              <w:top w:w="15" w:type="dxa"/>
              <w:left w:w="15" w:type="dxa"/>
              <w:right w:w="15" w:type="dxa"/>
            </w:tcMar>
            <w:vAlign w:val="center"/>
          </w:tcPr>
          <w:p w14:paraId="564D053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4CD558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0.001mg/L</w:t>
            </w:r>
          </w:p>
        </w:tc>
      </w:tr>
      <w:tr w14:paraId="0909C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7C6E7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E11954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氰化物</w:t>
            </w:r>
          </w:p>
        </w:tc>
        <w:tc>
          <w:tcPr>
            <w:tcW w:w="3609" w:type="dxa"/>
            <w:tcBorders>
              <w:tl2br w:val="nil"/>
              <w:tr2bl w:val="nil"/>
            </w:tcBorders>
            <w:shd w:val="clear" w:color="auto" w:fill="auto"/>
            <w:tcMar>
              <w:top w:w="15" w:type="dxa"/>
              <w:left w:w="15" w:type="dxa"/>
              <w:right w:w="15" w:type="dxa"/>
            </w:tcMar>
            <w:vAlign w:val="center"/>
          </w:tcPr>
          <w:p w14:paraId="6C74A63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生活饮用水标准检验方法 </w:t>
            </w:r>
          </w:p>
          <w:p w14:paraId="1E62793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无机非金属指标</w:t>
            </w:r>
            <w:r>
              <w:rPr>
                <w:rFonts w:hint="default" w:ascii="Times New Roman" w:hAnsi="Times New Roman" w:cs="Times New Roman"/>
                <w:i w:val="0"/>
                <w:color w:val="auto"/>
                <w:kern w:val="0"/>
                <w:sz w:val="21"/>
                <w:szCs w:val="21"/>
                <w:highlight w:val="none"/>
                <w:u w:val="none"/>
                <w:lang w:val="en-US" w:eastAsia="zh-CN" w:bidi="ar"/>
              </w:rPr>
              <w:t xml:space="preserve"> </w:t>
            </w:r>
            <w:r>
              <w:rPr>
                <w:rFonts w:hint="default" w:ascii="Times New Roman" w:hAnsi="Times New Roman" w:eastAsia="宋体" w:cs="Times New Roman"/>
                <w:i w:val="0"/>
                <w:color w:val="auto"/>
                <w:kern w:val="0"/>
                <w:sz w:val="21"/>
                <w:szCs w:val="21"/>
                <w:highlight w:val="none"/>
                <w:u w:val="none"/>
                <w:lang w:val="en-US" w:eastAsia="zh-CN" w:bidi="ar"/>
              </w:rPr>
              <w:t>异烟酸-吡唑酮分光光度法</w:t>
            </w:r>
          </w:p>
        </w:tc>
        <w:tc>
          <w:tcPr>
            <w:tcW w:w="2336" w:type="dxa"/>
            <w:tcBorders>
              <w:tl2br w:val="nil"/>
              <w:tr2bl w:val="nil"/>
            </w:tcBorders>
            <w:shd w:val="clear" w:color="auto" w:fill="auto"/>
            <w:tcMar>
              <w:top w:w="15" w:type="dxa"/>
              <w:left w:w="15" w:type="dxa"/>
              <w:right w:w="15" w:type="dxa"/>
            </w:tcMar>
            <w:vAlign w:val="center"/>
          </w:tcPr>
          <w:p w14:paraId="1159C6D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33B64F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0.002mg/L</w:t>
            </w:r>
          </w:p>
        </w:tc>
      </w:tr>
      <w:tr w14:paraId="7DCDC3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334FC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214953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铁</w:t>
            </w:r>
          </w:p>
        </w:tc>
        <w:tc>
          <w:tcPr>
            <w:tcW w:w="3609" w:type="dxa"/>
            <w:vMerge w:val="restart"/>
            <w:tcBorders>
              <w:tl2br w:val="nil"/>
              <w:tr2bl w:val="nil"/>
            </w:tcBorders>
            <w:shd w:val="clear" w:color="auto" w:fill="auto"/>
            <w:tcMar>
              <w:top w:w="15" w:type="dxa"/>
              <w:left w:w="15" w:type="dxa"/>
              <w:right w:w="15" w:type="dxa"/>
            </w:tcMar>
            <w:vAlign w:val="center"/>
          </w:tcPr>
          <w:p w14:paraId="2D95940C">
            <w:pPr>
              <w:keepNext w:val="0"/>
              <w:keepLines w:val="0"/>
              <w:widowControl/>
              <w:suppressLineNumbers w:val="0"/>
              <w:spacing w:before="0" w:beforeAutospacing="0" w:after="0" w:afterAutospacing="0" w:line="240" w:lineRule="auto"/>
              <w:ind w:left="0" w:right="0"/>
              <w:jc w:val="center"/>
              <w:textAlignment w:val="bottom"/>
              <w:rPr>
                <w:rStyle w:val="61"/>
                <w:rFonts w:hint="default" w:ascii="Times New Roman" w:hAnsi="Times New Roman" w:cs="Times New Roman"/>
                <w:color w:val="auto"/>
                <w:sz w:val="21"/>
                <w:szCs w:val="21"/>
                <w:highlight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生活饮用水标准检验方法 </w:t>
            </w:r>
            <w:r>
              <w:rPr>
                <w:rStyle w:val="61"/>
                <w:rFonts w:hint="default" w:ascii="Times New Roman" w:hAnsi="Times New Roman" w:cs="Times New Roman"/>
                <w:color w:val="auto"/>
                <w:sz w:val="21"/>
                <w:szCs w:val="21"/>
                <w:highlight w:val="none"/>
                <w:lang w:val="en-US" w:eastAsia="zh-CN" w:bidi="ar"/>
              </w:rPr>
              <w:t>金属指标</w:t>
            </w:r>
          </w:p>
          <w:p w14:paraId="7809E32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sz w:val="21"/>
                <w:szCs w:val="21"/>
                <w:highlight w:val="none"/>
                <w:u w:val="none"/>
              </w:rPr>
            </w:pPr>
            <w:r>
              <w:rPr>
                <w:rStyle w:val="61"/>
                <w:rFonts w:hint="default" w:ascii="Times New Roman" w:hAnsi="Times New Roman" w:cs="Times New Roman"/>
                <w:color w:val="auto"/>
                <w:sz w:val="21"/>
                <w:szCs w:val="21"/>
                <w:highlight w:val="none"/>
                <w:lang w:val="en-US" w:eastAsia="zh-CN" w:bidi="ar"/>
              </w:rPr>
              <w:t>电感耦合等离子体发射光谱法</w:t>
            </w:r>
          </w:p>
        </w:tc>
        <w:tc>
          <w:tcPr>
            <w:tcW w:w="2336" w:type="dxa"/>
            <w:vMerge w:val="restart"/>
            <w:tcBorders>
              <w:tl2br w:val="nil"/>
              <w:tr2bl w:val="nil"/>
            </w:tcBorders>
            <w:shd w:val="clear" w:color="auto" w:fill="auto"/>
            <w:tcMar>
              <w:top w:w="15" w:type="dxa"/>
              <w:left w:w="15" w:type="dxa"/>
              <w:right w:w="15" w:type="dxa"/>
            </w:tcMar>
            <w:vAlign w:val="center"/>
          </w:tcPr>
          <w:p w14:paraId="197760C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5CD3105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0.0045mg/L</w:t>
            </w:r>
          </w:p>
        </w:tc>
      </w:tr>
      <w:tr w14:paraId="5DEC02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4742E3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4E32A1C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3609" w:type="dxa"/>
            <w:vMerge w:val="continue"/>
            <w:tcBorders>
              <w:tl2br w:val="nil"/>
              <w:tr2bl w:val="nil"/>
            </w:tcBorders>
            <w:shd w:val="clear" w:color="auto" w:fill="auto"/>
            <w:tcMar>
              <w:top w:w="15" w:type="dxa"/>
              <w:left w:w="15" w:type="dxa"/>
              <w:right w:w="15" w:type="dxa"/>
            </w:tcMar>
            <w:vAlign w:val="center"/>
          </w:tcPr>
          <w:p w14:paraId="32A4D8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tcMar>
              <w:top w:w="15" w:type="dxa"/>
              <w:left w:w="15" w:type="dxa"/>
              <w:right w:w="15" w:type="dxa"/>
            </w:tcMar>
            <w:vAlign w:val="center"/>
          </w:tcPr>
          <w:p w14:paraId="1A7FA59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61976A8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0.0005mg/L</w:t>
            </w:r>
          </w:p>
        </w:tc>
      </w:tr>
      <w:tr w14:paraId="7DA27E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0530D7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CFA471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3609" w:type="dxa"/>
            <w:vMerge w:val="continue"/>
            <w:tcBorders>
              <w:tl2br w:val="nil"/>
              <w:tr2bl w:val="nil"/>
            </w:tcBorders>
            <w:shd w:val="clear" w:color="auto" w:fill="auto"/>
            <w:tcMar>
              <w:top w:w="15" w:type="dxa"/>
              <w:left w:w="15" w:type="dxa"/>
              <w:right w:w="15" w:type="dxa"/>
            </w:tcMar>
            <w:vAlign w:val="center"/>
          </w:tcPr>
          <w:p w14:paraId="3D061E9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tcMar>
              <w:top w:w="15" w:type="dxa"/>
              <w:left w:w="15" w:type="dxa"/>
              <w:right w:w="15" w:type="dxa"/>
            </w:tcMar>
            <w:vAlign w:val="center"/>
          </w:tcPr>
          <w:p w14:paraId="7ADC810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1BE400F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0.009mg/L</w:t>
            </w:r>
          </w:p>
        </w:tc>
      </w:tr>
      <w:tr w14:paraId="3559FF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F6CFE7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2E661E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铝</w:t>
            </w:r>
          </w:p>
        </w:tc>
        <w:tc>
          <w:tcPr>
            <w:tcW w:w="3609" w:type="dxa"/>
            <w:vMerge w:val="continue"/>
            <w:tcBorders>
              <w:tl2br w:val="nil"/>
              <w:tr2bl w:val="nil"/>
            </w:tcBorders>
            <w:shd w:val="clear" w:color="auto" w:fill="auto"/>
            <w:tcMar>
              <w:top w:w="15" w:type="dxa"/>
              <w:left w:w="15" w:type="dxa"/>
              <w:right w:w="15" w:type="dxa"/>
            </w:tcMar>
            <w:vAlign w:val="center"/>
          </w:tcPr>
          <w:p w14:paraId="6D1065B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tcMar>
              <w:top w:w="15" w:type="dxa"/>
              <w:left w:w="15" w:type="dxa"/>
              <w:right w:w="15" w:type="dxa"/>
            </w:tcMar>
            <w:vAlign w:val="center"/>
          </w:tcPr>
          <w:p w14:paraId="0100F36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0128C1D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0.040mg/L</w:t>
            </w:r>
          </w:p>
        </w:tc>
      </w:tr>
      <w:tr w14:paraId="679893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0534BE7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94ADA3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3609" w:type="dxa"/>
            <w:vMerge w:val="continue"/>
            <w:tcBorders>
              <w:tl2br w:val="nil"/>
              <w:tr2bl w:val="nil"/>
            </w:tcBorders>
            <w:shd w:val="clear" w:color="auto" w:fill="auto"/>
            <w:tcMar>
              <w:top w:w="15" w:type="dxa"/>
              <w:left w:w="15" w:type="dxa"/>
              <w:right w:w="15" w:type="dxa"/>
            </w:tcMar>
            <w:vAlign w:val="center"/>
          </w:tcPr>
          <w:p w14:paraId="4B231A9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tcMar>
              <w:top w:w="15" w:type="dxa"/>
              <w:left w:w="15" w:type="dxa"/>
              <w:right w:w="15" w:type="dxa"/>
            </w:tcMar>
            <w:vAlign w:val="center"/>
          </w:tcPr>
          <w:p w14:paraId="4429410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0CF084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0.005mg/L</w:t>
            </w:r>
          </w:p>
        </w:tc>
      </w:tr>
      <w:tr w14:paraId="1E6F7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05B4F2B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FA590E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3609" w:type="dxa"/>
            <w:vMerge w:val="continue"/>
            <w:tcBorders>
              <w:tl2br w:val="nil"/>
              <w:tr2bl w:val="nil"/>
            </w:tcBorders>
            <w:shd w:val="clear" w:color="auto" w:fill="auto"/>
            <w:tcMar>
              <w:top w:w="15" w:type="dxa"/>
              <w:left w:w="15" w:type="dxa"/>
              <w:right w:w="15" w:type="dxa"/>
            </w:tcMar>
            <w:vAlign w:val="center"/>
          </w:tcPr>
          <w:p w14:paraId="283CDA0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tcMar>
              <w:top w:w="15" w:type="dxa"/>
              <w:left w:w="15" w:type="dxa"/>
              <w:right w:w="15" w:type="dxa"/>
            </w:tcMar>
            <w:vAlign w:val="center"/>
          </w:tcPr>
          <w:p w14:paraId="323A554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546E1D9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0.001mg/L</w:t>
            </w:r>
          </w:p>
        </w:tc>
      </w:tr>
      <w:tr w14:paraId="662B01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42160C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F72C0D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3609" w:type="dxa"/>
            <w:vMerge w:val="continue"/>
            <w:tcBorders>
              <w:tl2br w:val="nil"/>
              <w:tr2bl w:val="nil"/>
            </w:tcBorders>
            <w:shd w:val="clear" w:color="auto" w:fill="auto"/>
            <w:tcMar>
              <w:top w:w="15" w:type="dxa"/>
              <w:left w:w="15" w:type="dxa"/>
              <w:right w:w="15" w:type="dxa"/>
            </w:tcMar>
            <w:vAlign w:val="center"/>
          </w:tcPr>
          <w:p w14:paraId="6F2D07A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tcMar>
              <w:top w:w="15" w:type="dxa"/>
              <w:left w:w="15" w:type="dxa"/>
              <w:right w:w="15" w:type="dxa"/>
            </w:tcMar>
            <w:vAlign w:val="center"/>
          </w:tcPr>
          <w:p w14:paraId="6CE206A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134E6D0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0.019mg/L</w:t>
            </w:r>
          </w:p>
        </w:tc>
      </w:tr>
      <w:tr w14:paraId="530CBC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C25552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2075BD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3609" w:type="dxa"/>
            <w:vMerge w:val="restart"/>
            <w:tcBorders>
              <w:tl2br w:val="nil"/>
              <w:tr2bl w:val="nil"/>
            </w:tcBorders>
            <w:shd w:val="clear" w:color="auto" w:fill="auto"/>
            <w:tcMar>
              <w:top w:w="15" w:type="dxa"/>
              <w:left w:w="15" w:type="dxa"/>
              <w:right w:w="15" w:type="dxa"/>
            </w:tcMar>
            <w:vAlign w:val="center"/>
          </w:tcPr>
          <w:p w14:paraId="25A4D352">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Style w:val="61"/>
                <w:rFonts w:hint="default" w:ascii="Times New Roman" w:hAnsi="Times New Roman" w:cs="Times New Roman"/>
                <w:color w:val="auto"/>
                <w:sz w:val="21"/>
                <w:szCs w:val="21"/>
                <w:highlight w:val="none"/>
                <w:lang w:val="en-US" w:eastAsia="zh-CN" w:bidi="ar"/>
              </w:rPr>
              <w:t>汞、砷、硒、铋和锑的测定</w:t>
            </w:r>
            <w:r>
              <w:rPr>
                <w:rFonts w:hint="default" w:ascii="Times New Roman" w:hAnsi="Times New Roman" w:eastAsia="宋体" w:cs="Times New Roman"/>
                <w:i w:val="0"/>
                <w:color w:val="auto"/>
                <w:kern w:val="0"/>
                <w:sz w:val="21"/>
                <w:szCs w:val="21"/>
                <w:highlight w:val="none"/>
                <w:u w:val="none"/>
                <w:lang w:val="en-US" w:eastAsia="zh-CN" w:bidi="ar"/>
              </w:rPr>
              <w:t xml:space="preserve"> </w:t>
            </w:r>
          </w:p>
          <w:p w14:paraId="58286E6B">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sz w:val="21"/>
                <w:szCs w:val="21"/>
                <w:highlight w:val="none"/>
                <w:u w:val="none"/>
              </w:rPr>
            </w:pPr>
            <w:r>
              <w:rPr>
                <w:rStyle w:val="61"/>
                <w:rFonts w:hint="default" w:ascii="Times New Roman" w:hAnsi="Times New Roman" w:cs="Times New Roman"/>
                <w:color w:val="auto"/>
                <w:sz w:val="21"/>
                <w:szCs w:val="21"/>
                <w:highlight w:val="none"/>
                <w:lang w:val="en-US" w:eastAsia="zh-CN" w:bidi="ar"/>
              </w:rPr>
              <w:t>原子荧光法</w:t>
            </w:r>
          </w:p>
        </w:tc>
        <w:tc>
          <w:tcPr>
            <w:tcW w:w="2336" w:type="dxa"/>
            <w:vMerge w:val="restart"/>
            <w:tcBorders>
              <w:tl2br w:val="nil"/>
              <w:tr2bl w:val="nil"/>
            </w:tcBorders>
            <w:shd w:val="clear" w:color="auto" w:fill="auto"/>
            <w:noWrap/>
            <w:tcMar>
              <w:top w:w="15" w:type="dxa"/>
              <w:left w:w="15" w:type="dxa"/>
              <w:right w:w="15" w:type="dxa"/>
            </w:tcMar>
            <w:vAlign w:val="center"/>
          </w:tcPr>
          <w:p w14:paraId="1F97E11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694-2014</w:t>
            </w:r>
          </w:p>
        </w:tc>
        <w:tc>
          <w:tcPr>
            <w:tcW w:w="1222" w:type="dxa"/>
            <w:tcBorders>
              <w:tl2br w:val="nil"/>
              <w:tr2bl w:val="nil"/>
            </w:tcBorders>
            <w:shd w:val="clear" w:color="auto" w:fill="auto"/>
            <w:tcMar>
              <w:top w:w="15" w:type="dxa"/>
              <w:left w:w="15" w:type="dxa"/>
              <w:right w:w="15" w:type="dxa"/>
            </w:tcMar>
            <w:vAlign w:val="center"/>
          </w:tcPr>
          <w:p w14:paraId="0CB648B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0.00004mg/L</w:t>
            </w:r>
          </w:p>
        </w:tc>
      </w:tr>
      <w:tr w14:paraId="310CD2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F4ECFE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C344DE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3609" w:type="dxa"/>
            <w:vMerge w:val="continue"/>
            <w:tcBorders>
              <w:tl2br w:val="nil"/>
              <w:tr2bl w:val="nil"/>
            </w:tcBorders>
            <w:shd w:val="clear" w:color="auto" w:fill="auto"/>
            <w:tcMar>
              <w:top w:w="15" w:type="dxa"/>
              <w:left w:w="15" w:type="dxa"/>
              <w:right w:w="15" w:type="dxa"/>
            </w:tcMar>
            <w:vAlign w:val="center"/>
          </w:tcPr>
          <w:p w14:paraId="3EB7CF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3F3F016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0AED3FF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0.0003mg/L</w:t>
            </w:r>
          </w:p>
        </w:tc>
      </w:tr>
      <w:tr w14:paraId="1234F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D3D41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7DE289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硒</w:t>
            </w:r>
          </w:p>
        </w:tc>
        <w:tc>
          <w:tcPr>
            <w:tcW w:w="3609" w:type="dxa"/>
            <w:vMerge w:val="continue"/>
            <w:tcBorders>
              <w:tl2br w:val="nil"/>
              <w:tr2bl w:val="nil"/>
            </w:tcBorders>
            <w:shd w:val="clear" w:color="auto" w:fill="auto"/>
            <w:tcMar>
              <w:top w:w="15" w:type="dxa"/>
              <w:left w:w="15" w:type="dxa"/>
              <w:right w:w="15" w:type="dxa"/>
            </w:tcMar>
            <w:vAlign w:val="center"/>
          </w:tcPr>
          <w:p w14:paraId="3D967D7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1383562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38D3847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0.0004mg/L</w:t>
            </w:r>
          </w:p>
        </w:tc>
      </w:tr>
      <w:tr w14:paraId="05A806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3B483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6CA2F7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3609" w:type="dxa"/>
            <w:tcBorders>
              <w:tl2br w:val="nil"/>
              <w:tr2bl w:val="nil"/>
            </w:tcBorders>
            <w:shd w:val="clear" w:color="auto" w:fill="auto"/>
            <w:tcMar>
              <w:top w:w="15" w:type="dxa"/>
              <w:left w:w="15" w:type="dxa"/>
              <w:right w:w="15" w:type="dxa"/>
            </w:tcMar>
            <w:vAlign w:val="center"/>
          </w:tcPr>
          <w:p w14:paraId="367793A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无火焰原子吸收分光光度法</w:t>
            </w:r>
          </w:p>
        </w:tc>
        <w:tc>
          <w:tcPr>
            <w:tcW w:w="2336" w:type="dxa"/>
            <w:tcBorders>
              <w:tl2br w:val="nil"/>
              <w:tr2bl w:val="nil"/>
            </w:tcBorders>
            <w:shd w:val="clear" w:color="auto" w:fill="auto"/>
            <w:noWrap/>
            <w:tcMar>
              <w:top w:w="15" w:type="dxa"/>
              <w:left w:w="15" w:type="dxa"/>
              <w:right w:w="15" w:type="dxa"/>
            </w:tcMar>
            <w:vAlign w:val="center"/>
          </w:tcPr>
          <w:p w14:paraId="4F24BF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69C8B95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0.0025mg/L</w:t>
            </w:r>
          </w:p>
        </w:tc>
      </w:tr>
      <w:tr w14:paraId="5C7F58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A9B589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4A3454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3609" w:type="dxa"/>
            <w:tcBorders>
              <w:tl2br w:val="nil"/>
              <w:tr2bl w:val="nil"/>
            </w:tcBorders>
            <w:shd w:val="clear" w:color="auto" w:fill="auto"/>
            <w:tcMar>
              <w:top w:w="15" w:type="dxa"/>
              <w:left w:w="15" w:type="dxa"/>
              <w:right w:w="15" w:type="dxa"/>
            </w:tcMar>
            <w:vAlign w:val="center"/>
          </w:tcPr>
          <w:p w14:paraId="42C020B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无火焰原子吸收分光光度法</w:t>
            </w:r>
          </w:p>
        </w:tc>
        <w:tc>
          <w:tcPr>
            <w:tcW w:w="2336" w:type="dxa"/>
            <w:tcBorders>
              <w:tl2br w:val="nil"/>
              <w:tr2bl w:val="nil"/>
            </w:tcBorders>
            <w:shd w:val="clear" w:color="auto" w:fill="auto"/>
            <w:tcMar>
              <w:top w:w="15" w:type="dxa"/>
              <w:left w:w="15" w:type="dxa"/>
              <w:right w:w="15" w:type="dxa"/>
            </w:tcMar>
            <w:vAlign w:val="center"/>
          </w:tcPr>
          <w:p w14:paraId="06EE32A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06745FC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0.0005mg/L</w:t>
            </w:r>
          </w:p>
        </w:tc>
      </w:tr>
      <w:tr w14:paraId="21A166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3A14C2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4AD795F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铬（六价）</w:t>
            </w:r>
          </w:p>
        </w:tc>
        <w:tc>
          <w:tcPr>
            <w:tcW w:w="3609" w:type="dxa"/>
            <w:tcBorders>
              <w:tl2br w:val="nil"/>
              <w:tr2bl w:val="nil"/>
            </w:tcBorders>
            <w:shd w:val="clear" w:color="auto" w:fill="auto"/>
            <w:tcMar>
              <w:top w:w="15" w:type="dxa"/>
              <w:left w:w="15" w:type="dxa"/>
              <w:right w:w="15" w:type="dxa"/>
            </w:tcMar>
            <w:vAlign w:val="center"/>
          </w:tcPr>
          <w:p w14:paraId="17F1A19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auto"/>
                <w:kern w:val="0"/>
                <w:sz w:val="21"/>
                <w:szCs w:val="21"/>
                <w:highlight w:val="none"/>
                <w:u w:val="none"/>
                <w:lang w:val="en-US" w:eastAsia="zh-CN" w:bidi="ar"/>
              </w:rPr>
              <w:br w:type="textWrapping"/>
            </w:r>
            <w:r>
              <w:rPr>
                <w:rFonts w:hint="default" w:ascii="Times New Roman" w:hAnsi="Times New Roman" w:eastAsia="宋体" w:cs="Times New Roman"/>
                <w:i w:val="0"/>
                <w:color w:val="auto"/>
                <w:kern w:val="0"/>
                <w:sz w:val="21"/>
                <w:szCs w:val="21"/>
                <w:highlight w:val="none"/>
                <w:u w:val="none"/>
                <w:lang w:val="en-US" w:eastAsia="zh-CN" w:bidi="ar"/>
              </w:rPr>
              <w:t>二苯碳酰二肼分光光度法</w:t>
            </w:r>
          </w:p>
        </w:tc>
        <w:tc>
          <w:tcPr>
            <w:tcW w:w="2336" w:type="dxa"/>
            <w:tcBorders>
              <w:tl2br w:val="nil"/>
              <w:tr2bl w:val="nil"/>
            </w:tcBorders>
            <w:shd w:val="clear" w:color="auto" w:fill="auto"/>
            <w:noWrap/>
            <w:tcMar>
              <w:top w:w="15" w:type="dxa"/>
              <w:left w:w="15" w:type="dxa"/>
              <w:right w:w="15" w:type="dxa"/>
            </w:tcMar>
            <w:vAlign w:val="center"/>
          </w:tcPr>
          <w:p w14:paraId="72D9049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34A0B51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0.004mg/L</w:t>
            </w:r>
          </w:p>
        </w:tc>
      </w:tr>
      <w:tr w14:paraId="24B54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2AC1F2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701D96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3609" w:type="dxa"/>
            <w:tcBorders>
              <w:tl2br w:val="nil"/>
              <w:tr2bl w:val="nil"/>
            </w:tcBorders>
            <w:shd w:val="clear" w:color="auto" w:fill="auto"/>
            <w:tcMar>
              <w:top w:w="15" w:type="dxa"/>
              <w:left w:w="15" w:type="dxa"/>
              <w:right w:w="15" w:type="dxa"/>
            </w:tcMar>
            <w:vAlign w:val="center"/>
          </w:tcPr>
          <w:p w14:paraId="2F84118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水质 石油类的测定 紫外分光光度法</w:t>
            </w:r>
          </w:p>
        </w:tc>
        <w:tc>
          <w:tcPr>
            <w:tcW w:w="2336" w:type="dxa"/>
            <w:tcBorders>
              <w:tl2br w:val="nil"/>
              <w:tr2bl w:val="nil"/>
            </w:tcBorders>
            <w:shd w:val="clear" w:color="auto" w:fill="auto"/>
            <w:noWrap/>
            <w:tcMar>
              <w:top w:w="15" w:type="dxa"/>
              <w:left w:w="15" w:type="dxa"/>
              <w:right w:w="15" w:type="dxa"/>
            </w:tcMar>
            <w:vAlign w:val="center"/>
          </w:tcPr>
          <w:p w14:paraId="5DB992B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970-2018</w:t>
            </w:r>
          </w:p>
        </w:tc>
        <w:tc>
          <w:tcPr>
            <w:tcW w:w="1222" w:type="dxa"/>
            <w:tcBorders>
              <w:tl2br w:val="nil"/>
              <w:tr2bl w:val="nil"/>
            </w:tcBorders>
            <w:shd w:val="clear" w:color="auto" w:fill="auto"/>
            <w:tcMar>
              <w:top w:w="15" w:type="dxa"/>
              <w:left w:w="15" w:type="dxa"/>
              <w:right w:w="15" w:type="dxa"/>
            </w:tcMar>
            <w:vAlign w:val="center"/>
          </w:tcPr>
          <w:p w14:paraId="38718C6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0.01mg/L</w:t>
            </w:r>
          </w:p>
        </w:tc>
      </w:tr>
      <w:tr w14:paraId="2AFCC3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198C00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985087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氯仿</w:t>
            </w:r>
          </w:p>
        </w:tc>
        <w:tc>
          <w:tcPr>
            <w:tcW w:w="3609" w:type="dxa"/>
            <w:vMerge w:val="restart"/>
            <w:tcBorders>
              <w:tl2br w:val="nil"/>
              <w:tr2bl w:val="nil"/>
            </w:tcBorders>
            <w:shd w:val="clear" w:color="auto" w:fill="auto"/>
            <w:tcMar>
              <w:top w:w="15" w:type="dxa"/>
              <w:left w:w="15" w:type="dxa"/>
              <w:right w:w="15" w:type="dxa"/>
            </w:tcMar>
            <w:vAlign w:val="center"/>
          </w:tcPr>
          <w:p w14:paraId="7C287E4D">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水质 </w:t>
            </w:r>
            <w:r>
              <w:rPr>
                <w:rStyle w:val="61"/>
                <w:rFonts w:hint="default" w:ascii="Times New Roman" w:hAnsi="Times New Roman" w:eastAsia="宋体" w:cs="Times New Roman"/>
                <w:color w:val="auto"/>
                <w:sz w:val="21"/>
                <w:szCs w:val="21"/>
                <w:highlight w:val="none"/>
                <w:lang w:val="en-US" w:eastAsia="zh-CN" w:bidi="ar"/>
              </w:rPr>
              <w:t>挥发性有机物的测定</w:t>
            </w:r>
          </w:p>
          <w:p w14:paraId="33E095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Style w:val="61"/>
                <w:rFonts w:hint="default" w:ascii="Times New Roman" w:hAnsi="Times New Roman" w:eastAsia="宋体" w:cs="Times New Roman"/>
                <w:color w:val="auto"/>
                <w:sz w:val="21"/>
                <w:szCs w:val="21"/>
                <w:highlight w:val="none"/>
                <w:lang w:val="en-US" w:eastAsia="zh-CN" w:bidi="ar"/>
              </w:rPr>
              <w:t>吹扫捕集</w:t>
            </w:r>
            <w:r>
              <w:rPr>
                <w:rFonts w:hint="default" w:ascii="Times New Roman" w:hAnsi="Times New Roman" w:eastAsia="宋体" w:cs="Times New Roman"/>
                <w:i w:val="0"/>
                <w:color w:val="auto"/>
                <w:kern w:val="0"/>
                <w:sz w:val="21"/>
                <w:szCs w:val="21"/>
                <w:highlight w:val="none"/>
                <w:u w:val="none"/>
                <w:lang w:val="en-US" w:eastAsia="zh-CN" w:bidi="ar"/>
              </w:rPr>
              <w:t xml:space="preserve">/ </w:t>
            </w:r>
            <w:r>
              <w:rPr>
                <w:rStyle w:val="61"/>
                <w:rFonts w:hint="default" w:ascii="Times New Roman" w:hAnsi="Times New Roman" w:eastAsia="宋体" w:cs="Times New Roman"/>
                <w:color w:val="auto"/>
                <w:sz w:val="21"/>
                <w:szCs w:val="21"/>
                <w:highlight w:val="none"/>
                <w:lang w:val="en-US" w:eastAsia="zh-CN" w:bidi="ar"/>
              </w:rPr>
              <w:t>气相色谱</w:t>
            </w:r>
            <w:r>
              <w:rPr>
                <w:rFonts w:hint="default" w:ascii="Times New Roman" w:hAnsi="Times New Roman" w:eastAsia="宋体" w:cs="Times New Roman"/>
                <w:i w:val="0"/>
                <w:color w:val="auto"/>
                <w:kern w:val="0"/>
                <w:sz w:val="21"/>
                <w:szCs w:val="21"/>
                <w:highlight w:val="none"/>
                <w:u w:val="none"/>
                <w:lang w:val="en-US" w:eastAsia="zh-CN" w:bidi="ar"/>
              </w:rPr>
              <w:t>-</w:t>
            </w:r>
            <w:r>
              <w:rPr>
                <w:rStyle w:val="61"/>
                <w:rFonts w:hint="default" w:ascii="Times New Roman" w:hAnsi="Times New Roman" w:eastAsia="宋体" w:cs="Times New Roman"/>
                <w:color w:val="auto"/>
                <w:sz w:val="21"/>
                <w:szCs w:val="21"/>
                <w:highlight w:val="none"/>
                <w:lang w:val="en-US" w:eastAsia="zh-CN" w:bidi="ar"/>
              </w:rPr>
              <w:t>质谱法</w:t>
            </w:r>
          </w:p>
        </w:tc>
        <w:tc>
          <w:tcPr>
            <w:tcW w:w="2336" w:type="dxa"/>
            <w:vMerge w:val="restart"/>
            <w:tcBorders>
              <w:tl2br w:val="nil"/>
              <w:tr2bl w:val="nil"/>
            </w:tcBorders>
            <w:shd w:val="clear" w:color="auto" w:fill="auto"/>
            <w:noWrap/>
            <w:tcMar>
              <w:top w:w="15" w:type="dxa"/>
              <w:left w:w="15" w:type="dxa"/>
              <w:right w:w="15" w:type="dxa"/>
            </w:tcMar>
            <w:vAlign w:val="center"/>
          </w:tcPr>
          <w:p w14:paraId="5109CA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HJ 639-2012</w:t>
            </w:r>
          </w:p>
        </w:tc>
        <w:tc>
          <w:tcPr>
            <w:tcW w:w="1222" w:type="dxa"/>
            <w:tcBorders>
              <w:tl2br w:val="nil"/>
              <w:tr2bl w:val="nil"/>
            </w:tcBorders>
            <w:shd w:val="clear" w:color="auto" w:fill="auto"/>
            <w:tcMar>
              <w:top w:w="15" w:type="dxa"/>
              <w:left w:w="15" w:type="dxa"/>
              <w:right w:w="15" w:type="dxa"/>
            </w:tcMar>
            <w:vAlign w:val="center"/>
          </w:tcPr>
          <w:p w14:paraId="7BE4B68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0.0014mg/L</w:t>
            </w:r>
          </w:p>
        </w:tc>
      </w:tr>
      <w:tr w14:paraId="037F1B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2AD14E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7A4D52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四氯化碳</w:t>
            </w:r>
          </w:p>
        </w:tc>
        <w:tc>
          <w:tcPr>
            <w:tcW w:w="3609" w:type="dxa"/>
            <w:vMerge w:val="continue"/>
            <w:tcBorders>
              <w:tl2br w:val="nil"/>
              <w:tr2bl w:val="nil"/>
            </w:tcBorders>
            <w:shd w:val="clear" w:color="auto" w:fill="auto"/>
            <w:tcMar>
              <w:top w:w="15" w:type="dxa"/>
              <w:left w:w="15" w:type="dxa"/>
              <w:right w:w="15" w:type="dxa"/>
            </w:tcMar>
            <w:vAlign w:val="center"/>
          </w:tcPr>
          <w:p w14:paraId="6DD670E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2D11B53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3B50C1F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0.0015mg/L</w:t>
            </w:r>
          </w:p>
        </w:tc>
      </w:tr>
      <w:tr w14:paraId="47569A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866BD0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79E457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w:t>
            </w:r>
          </w:p>
        </w:tc>
        <w:tc>
          <w:tcPr>
            <w:tcW w:w="3609" w:type="dxa"/>
            <w:vMerge w:val="continue"/>
            <w:tcBorders>
              <w:tl2br w:val="nil"/>
              <w:tr2bl w:val="nil"/>
            </w:tcBorders>
            <w:shd w:val="clear" w:color="auto" w:fill="auto"/>
            <w:tcMar>
              <w:top w:w="15" w:type="dxa"/>
              <w:left w:w="15" w:type="dxa"/>
              <w:right w:w="15" w:type="dxa"/>
            </w:tcMar>
            <w:vAlign w:val="center"/>
          </w:tcPr>
          <w:p w14:paraId="434B1FE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378B4D6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4915D1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0.0014mg/L</w:t>
            </w:r>
          </w:p>
        </w:tc>
      </w:tr>
      <w:tr w14:paraId="58C362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09BB3AA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6F241E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甲苯</w:t>
            </w:r>
          </w:p>
        </w:tc>
        <w:tc>
          <w:tcPr>
            <w:tcW w:w="3609" w:type="dxa"/>
            <w:vMerge w:val="continue"/>
            <w:tcBorders>
              <w:tl2br w:val="nil"/>
              <w:tr2bl w:val="nil"/>
            </w:tcBorders>
            <w:shd w:val="clear" w:color="auto" w:fill="auto"/>
            <w:tcMar>
              <w:top w:w="15" w:type="dxa"/>
              <w:left w:w="15" w:type="dxa"/>
              <w:right w:w="15" w:type="dxa"/>
            </w:tcMar>
            <w:vAlign w:val="center"/>
          </w:tcPr>
          <w:p w14:paraId="63838E8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336" w:type="dxa"/>
            <w:vMerge w:val="continue"/>
            <w:tcBorders>
              <w:tl2br w:val="nil"/>
              <w:tr2bl w:val="nil"/>
            </w:tcBorders>
            <w:shd w:val="clear" w:color="auto" w:fill="auto"/>
            <w:noWrap/>
            <w:tcMar>
              <w:top w:w="15" w:type="dxa"/>
              <w:left w:w="15" w:type="dxa"/>
              <w:right w:w="15" w:type="dxa"/>
            </w:tcMar>
            <w:vAlign w:val="center"/>
          </w:tcPr>
          <w:p w14:paraId="1BA47F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B25687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0.0014mg/L</w:t>
            </w:r>
          </w:p>
        </w:tc>
      </w:tr>
    </w:tbl>
    <w:p w14:paraId="5DEFB8E8">
      <w:pPr>
        <w:pStyle w:val="4"/>
        <w:tabs>
          <w:tab w:val="left" w:leader="dot" w:pos="0"/>
          <w:tab w:val="clear" w:pos="425"/>
        </w:tabs>
        <w:rPr>
          <w:rFonts w:hint="default" w:ascii="Times New Roman" w:hAnsi="Times New Roman" w:cs="Times New Roman"/>
          <w:color w:val="auto"/>
          <w:highlight w:val="none"/>
        </w:rPr>
      </w:pPr>
      <w:bookmarkStart w:id="52" w:name="_Toc3773"/>
      <w:bookmarkStart w:id="53" w:name="_Toc25163"/>
      <w:r>
        <w:rPr>
          <w:rFonts w:hint="default" w:ascii="Times New Roman" w:hAnsi="Times New Roman" w:cs="Times New Roman"/>
          <w:color w:val="auto"/>
          <w:highlight w:val="none"/>
          <w:lang w:eastAsia="zh-CN"/>
        </w:rPr>
        <w:t>现场</w:t>
      </w:r>
      <w:r>
        <w:rPr>
          <w:rFonts w:hint="default" w:ascii="Times New Roman" w:hAnsi="Times New Roman" w:cs="Times New Roman"/>
          <w:color w:val="auto"/>
          <w:highlight w:val="none"/>
        </w:rPr>
        <w:t>质量控制</w:t>
      </w:r>
      <w:bookmarkEnd w:id="52"/>
      <w:bookmarkEnd w:id="53"/>
    </w:p>
    <w:p w14:paraId="47BB7564">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现场运输空白</w:t>
      </w:r>
    </w:p>
    <w:p w14:paraId="4829A00F">
      <w:pPr>
        <w:spacing w:line="360" w:lineRule="auto"/>
        <w:ind w:left="1"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按照《</w:t>
      </w:r>
      <w:r>
        <w:rPr>
          <w:rFonts w:hint="eastAsia" w:cs="Times New Roman"/>
          <w:snapToGrid w:val="0"/>
          <w:color w:val="auto"/>
          <w:kern w:val="0"/>
          <w:sz w:val="24"/>
          <w:highlight w:val="none"/>
          <w:lang w:eastAsia="zh-CN"/>
        </w:rPr>
        <w:t>地块</w:t>
      </w:r>
      <w:r>
        <w:rPr>
          <w:rFonts w:hint="default" w:ascii="Times New Roman" w:hAnsi="Times New Roman" w:cs="Times New Roman"/>
          <w:snapToGrid w:val="0"/>
          <w:color w:val="auto"/>
          <w:kern w:val="0"/>
          <w:sz w:val="24"/>
          <w:highlight w:val="none"/>
        </w:rPr>
        <w:t>土壤和地下水中挥发性有机物采样技术导则》（HJ1019-2019）相关要求，采集了1个运输空白样（TB），样品和运输空白样品的27项挥发性有机物的检测结果均低于检出限（检测数据详见报告编号为</w:t>
      </w:r>
      <w:r>
        <w:rPr>
          <w:rFonts w:hint="default" w:ascii="Times New Roman" w:hAnsi="Times New Roman" w:cs="Times New Roman"/>
          <w:snapToGrid w:val="0"/>
          <w:color w:val="auto"/>
          <w:kern w:val="0"/>
          <w:sz w:val="24"/>
          <w:highlight w:val="none"/>
          <w:lang w:eastAsia="zh-CN"/>
        </w:rPr>
        <w:t>BJ20A0692</w:t>
      </w:r>
      <w:r>
        <w:rPr>
          <w:rFonts w:hint="default" w:ascii="Times New Roman" w:hAnsi="Times New Roman" w:cs="Times New Roman"/>
          <w:snapToGrid w:val="0"/>
          <w:color w:val="auto"/>
          <w:kern w:val="0"/>
          <w:sz w:val="24"/>
          <w:highlight w:val="none"/>
        </w:rPr>
        <w:t>和</w:t>
      </w:r>
      <w:r>
        <w:rPr>
          <w:rFonts w:hint="default" w:ascii="Times New Roman" w:hAnsi="Times New Roman" w:cs="Times New Roman"/>
          <w:snapToGrid w:val="0"/>
          <w:color w:val="auto"/>
          <w:kern w:val="0"/>
          <w:sz w:val="24"/>
          <w:highlight w:val="none"/>
          <w:lang w:eastAsia="zh-CN"/>
        </w:rPr>
        <w:t>BJ20A0770</w:t>
      </w:r>
      <w:r>
        <w:rPr>
          <w:rFonts w:hint="default" w:ascii="Times New Roman" w:hAnsi="Times New Roman" w:cs="Times New Roman"/>
          <w:snapToGrid w:val="0"/>
          <w:color w:val="auto"/>
          <w:kern w:val="0"/>
          <w:sz w:val="24"/>
          <w:highlight w:val="none"/>
        </w:rPr>
        <w:t>检测报告），表明待测样品运输过程中未引入污染。</w:t>
      </w:r>
    </w:p>
    <w:p w14:paraId="4F7A841A">
      <w:pPr>
        <w:pStyle w:val="5"/>
        <w:tabs>
          <w:tab w:val="clear" w:pos="851"/>
        </w:tabs>
        <w:spacing w:after="0"/>
        <w:rPr>
          <w:rFonts w:hint="default" w:ascii="Times New Roman" w:hAnsi="Times New Roman" w:eastAsia="宋体" w:cs="Times New Roman"/>
          <w:snapToGrid w:val="0"/>
          <w:color w:val="auto"/>
          <w:kern w:val="0"/>
          <w:sz w:val="24"/>
          <w:highlight w:val="none"/>
          <w:lang w:eastAsia="zh-CN"/>
        </w:rPr>
      </w:pPr>
      <w:r>
        <w:rPr>
          <w:rFonts w:hint="default" w:ascii="Times New Roman" w:hAnsi="Times New Roman" w:cs="Times New Roman"/>
          <w:color w:val="auto"/>
          <w:highlight w:val="none"/>
          <w:lang w:eastAsia="zh-CN"/>
        </w:rPr>
        <w:t>土壤</w:t>
      </w:r>
      <w:r>
        <w:rPr>
          <w:rFonts w:hint="default" w:ascii="Times New Roman" w:hAnsi="Times New Roman" w:cs="Times New Roman"/>
          <w:color w:val="auto"/>
          <w:highlight w:val="none"/>
        </w:rPr>
        <w:t>平行盲样质量控制</w:t>
      </w:r>
    </w:p>
    <w:p w14:paraId="09908F80">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snapToGrid w:val="0"/>
          <w:color w:val="auto"/>
          <w:kern w:val="0"/>
          <w:sz w:val="24"/>
          <w:highlight w:val="none"/>
        </w:rPr>
        <w:t>样品现场采集过程中，采集了</w:t>
      </w:r>
      <w:r>
        <w:rPr>
          <w:rFonts w:hint="default" w:ascii="Times New Roman" w:hAnsi="Times New Roman" w:cs="Times New Roman"/>
          <w:snapToGrid w:val="0"/>
          <w:color w:val="auto"/>
          <w:kern w:val="0"/>
          <w:sz w:val="24"/>
          <w:highlight w:val="none"/>
          <w:lang w:val="en-US" w:eastAsia="zh-CN"/>
        </w:rPr>
        <w:t>1</w:t>
      </w:r>
      <w:r>
        <w:rPr>
          <w:rFonts w:hint="default" w:ascii="Times New Roman" w:hAnsi="Times New Roman" w:cs="Times New Roman"/>
          <w:snapToGrid w:val="0"/>
          <w:color w:val="auto"/>
          <w:kern w:val="0"/>
          <w:sz w:val="24"/>
          <w:highlight w:val="none"/>
        </w:rPr>
        <w:t>个土壤平行盲样（QC-</w:t>
      </w:r>
      <w:r>
        <w:rPr>
          <w:rFonts w:hint="default" w:ascii="Times New Roman" w:hAnsi="Times New Roman" w:cs="Times New Roman"/>
          <w:snapToGrid w:val="0"/>
          <w:color w:val="auto"/>
          <w:kern w:val="0"/>
          <w:sz w:val="24"/>
          <w:highlight w:val="none"/>
          <w:lang w:val="en-US" w:eastAsia="zh-CN"/>
        </w:rPr>
        <w:t>3</w:t>
      </w:r>
      <w:r>
        <w:rPr>
          <w:rFonts w:hint="default" w:ascii="Times New Roman" w:hAnsi="Times New Roman" w:cs="Times New Roman"/>
          <w:snapToGrid w:val="0"/>
          <w:color w:val="auto"/>
          <w:kern w:val="0"/>
          <w:sz w:val="24"/>
          <w:highlight w:val="none"/>
        </w:rPr>
        <w:t>）送往苏伊士环境检测技术（上海）有限公司北京分公司和</w:t>
      </w:r>
      <w:r>
        <w:rPr>
          <w:rFonts w:hint="default" w:ascii="Times New Roman" w:hAnsi="Times New Roman" w:cs="Times New Roman"/>
          <w:color w:val="auto"/>
          <w:sz w:val="24"/>
          <w:highlight w:val="none"/>
        </w:rPr>
        <w:t>武汉仲联诚鉴检测技术有限公司</w:t>
      </w:r>
      <w:r>
        <w:rPr>
          <w:rFonts w:hint="default" w:ascii="Times New Roman" w:hAnsi="Times New Roman" w:cs="Times New Roman"/>
          <w:snapToGrid w:val="0"/>
          <w:color w:val="auto"/>
          <w:kern w:val="0"/>
          <w:sz w:val="24"/>
          <w:highlight w:val="none"/>
        </w:rPr>
        <w:t>进行检测。</w:t>
      </w:r>
      <w:r>
        <w:rPr>
          <w:rFonts w:hint="default" w:ascii="Times New Roman" w:hAnsi="Times New Roman" w:cs="Times New Roman"/>
          <w:color w:val="auto"/>
          <w:sz w:val="24"/>
          <w:highlight w:val="none"/>
        </w:rPr>
        <w:t>本次土壤平行盲样测试项目中重金属</w:t>
      </w:r>
      <w:r>
        <w:rPr>
          <w:rFonts w:hint="default" w:ascii="Times New Roman" w:hAnsi="Times New Roman" w:cs="Times New Roman"/>
          <w:color w:val="auto"/>
          <w:sz w:val="24"/>
          <w:highlight w:val="none"/>
          <w:lang w:eastAsia="zh-CN"/>
        </w:rPr>
        <w:t>镉、铬（六价）、挥发性</w:t>
      </w:r>
      <w:r>
        <w:rPr>
          <w:rFonts w:hint="default" w:ascii="Times New Roman" w:hAnsi="Times New Roman" w:cs="Times New Roman"/>
          <w:color w:val="auto"/>
          <w:sz w:val="24"/>
          <w:highlight w:val="none"/>
        </w:rPr>
        <w:t>有机物</w:t>
      </w:r>
      <w:r>
        <w:rPr>
          <w:rFonts w:hint="default" w:ascii="Times New Roman" w:hAnsi="Times New Roman" w:cs="Times New Roman"/>
          <w:color w:val="auto"/>
          <w:sz w:val="24"/>
          <w:highlight w:val="none"/>
          <w:lang w:eastAsia="zh-CN"/>
        </w:rPr>
        <w:t>、半挥发性有机物、石油烃（</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10</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40</w:t>
      </w:r>
      <w:r>
        <w:rPr>
          <w:rFonts w:hint="default" w:ascii="Times New Roman" w:hAnsi="Times New Roman" w:cs="Times New Roman"/>
          <w:color w:val="auto"/>
          <w:sz w:val="24"/>
          <w:highlight w:val="none"/>
          <w:lang w:eastAsia="zh-CN"/>
        </w:rPr>
        <w:t>）污染物</w:t>
      </w:r>
      <w:r>
        <w:rPr>
          <w:rFonts w:hint="default" w:ascii="Times New Roman" w:hAnsi="Times New Roman" w:cs="Times New Roman"/>
          <w:color w:val="auto"/>
          <w:sz w:val="24"/>
          <w:highlight w:val="none"/>
        </w:rPr>
        <w:t>指标均未检出，因此不进行相对偏差的分析</w:t>
      </w:r>
      <w:r>
        <w:rPr>
          <w:rFonts w:hint="default" w:ascii="Times New Roman" w:hAnsi="Times New Roman" w:cs="Times New Roman"/>
          <w:color w:val="auto"/>
          <w:sz w:val="24"/>
          <w:highlight w:val="none"/>
          <w:lang w:eastAsia="zh-CN"/>
        </w:rPr>
        <w:t>。可</w:t>
      </w:r>
      <w:r>
        <w:rPr>
          <w:rFonts w:hint="default" w:ascii="Times New Roman" w:hAnsi="Times New Roman" w:cs="Times New Roman"/>
          <w:color w:val="auto"/>
          <w:sz w:val="24"/>
          <w:highlight w:val="none"/>
        </w:rPr>
        <w:t>检出</w:t>
      </w:r>
      <w:r>
        <w:rPr>
          <w:rFonts w:hint="default" w:ascii="Times New Roman" w:hAnsi="Times New Roman" w:cs="Times New Roman"/>
          <w:color w:val="auto"/>
          <w:sz w:val="24"/>
          <w:highlight w:val="none"/>
          <w:lang w:eastAsia="zh-CN"/>
        </w:rPr>
        <w:t>指标的</w:t>
      </w:r>
      <w:r>
        <w:rPr>
          <w:rFonts w:hint="default" w:ascii="Times New Roman" w:hAnsi="Times New Roman" w:cs="Times New Roman"/>
          <w:color w:val="auto"/>
          <w:sz w:val="24"/>
          <w:highlight w:val="none"/>
        </w:rPr>
        <w:t>相对偏差在0%~</w:t>
      </w:r>
      <w:r>
        <w:rPr>
          <w:rFonts w:hint="default" w:ascii="Times New Roman" w:hAnsi="Times New Roman" w:cs="Times New Roman"/>
          <w:color w:val="auto"/>
          <w:sz w:val="24"/>
          <w:highlight w:val="none"/>
          <w:lang w:val="en-US" w:eastAsia="zh-CN"/>
        </w:rPr>
        <w:t>15.29</w:t>
      </w:r>
      <w:r>
        <w:rPr>
          <w:rFonts w:hint="default" w:ascii="Times New Roman" w:hAnsi="Times New Roman" w:cs="Times New Roman"/>
          <w:color w:val="auto"/>
          <w:sz w:val="24"/>
          <w:highlight w:val="none"/>
        </w:rPr>
        <w:t>%，在允许范围内，具体质控结果见表</w:t>
      </w:r>
      <w:r>
        <w:rPr>
          <w:rFonts w:hint="default" w:ascii="Times New Roman" w:hAnsi="Times New Roman" w:cs="Times New Roman"/>
          <w:color w:val="auto"/>
          <w:sz w:val="24"/>
          <w:highlight w:val="none"/>
          <w:lang w:eastAsia="zh-CN"/>
        </w:rPr>
        <w:t>4-5</w:t>
      </w:r>
      <w:r>
        <w:rPr>
          <w:rFonts w:hint="default" w:ascii="Times New Roman" w:hAnsi="Times New Roman" w:cs="Times New Roman"/>
          <w:color w:val="auto"/>
          <w:sz w:val="24"/>
          <w:highlight w:val="none"/>
        </w:rPr>
        <w:t>-1。</w:t>
      </w:r>
    </w:p>
    <w:p w14:paraId="390623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bCs/>
          <w:color w:val="auto"/>
          <w:sz w:val="24"/>
          <w:highlight w:val="none"/>
          <w:lang w:eastAsia="zh-CN"/>
        </w:rPr>
      </w:pPr>
      <w:r>
        <w:rPr>
          <w:rFonts w:hint="default" w:ascii="Times New Roman" w:hAnsi="Times New Roman" w:eastAsia="黑体" w:cs="Times New Roman"/>
          <w:b/>
          <w:bCs/>
          <w:color w:val="auto"/>
          <w:sz w:val="24"/>
          <w:highlight w:val="none"/>
        </w:rPr>
        <w:t>表</w:t>
      </w:r>
      <w:r>
        <w:rPr>
          <w:rFonts w:hint="default" w:ascii="Times New Roman" w:hAnsi="Times New Roman" w:eastAsia="黑体" w:cs="Times New Roman"/>
          <w:b/>
          <w:bCs/>
          <w:color w:val="auto"/>
          <w:sz w:val="24"/>
          <w:highlight w:val="none"/>
          <w:lang w:eastAsia="zh-CN"/>
        </w:rPr>
        <w:t>4-5</w:t>
      </w:r>
      <w:r>
        <w:rPr>
          <w:rFonts w:hint="default" w:ascii="Times New Roman" w:hAnsi="Times New Roman" w:eastAsia="黑体" w:cs="Times New Roman"/>
          <w:b/>
          <w:bCs/>
          <w:color w:val="auto"/>
          <w:sz w:val="24"/>
          <w:highlight w:val="none"/>
        </w:rPr>
        <w:t>-1 土壤平行盲样质控结果分析</w:t>
      </w:r>
      <w:r>
        <w:rPr>
          <w:rFonts w:hint="default" w:ascii="Times New Roman" w:hAnsi="Times New Roman" w:eastAsia="黑体" w:cs="Times New Roman"/>
          <w:b/>
          <w:bCs/>
          <w:color w:val="auto"/>
          <w:sz w:val="24"/>
          <w:highlight w:val="none"/>
          <w:lang w:eastAsia="zh-CN"/>
        </w:rPr>
        <w:t>（</w:t>
      </w:r>
      <w:r>
        <w:rPr>
          <w:rFonts w:hint="default" w:ascii="Times New Roman" w:hAnsi="Times New Roman" w:eastAsia="黑体" w:cs="Times New Roman"/>
          <w:b/>
          <w:bCs/>
          <w:color w:val="auto"/>
          <w:sz w:val="24"/>
          <w:highlight w:val="none"/>
          <w:lang w:val="en-US" w:eastAsia="zh-CN"/>
        </w:rPr>
        <w:t>QC-</w:t>
      </w:r>
      <w:r>
        <w:rPr>
          <w:rFonts w:hint="eastAsia"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lang w:eastAsia="zh-CN"/>
        </w:rPr>
        <w:t>）</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1845"/>
        <w:gridCol w:w="1355"/>
        <w:gridCol w:w="1355"/>
        <w:gridCol w:w="1817"/>
        <w:gridCol w:w="1080"/>
        <w:gridCol w:w="1080"/>
      </w:tblGrid>
      <w:tr w14:paraId="3C920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tblHeader/>
          <w:jc w:val="center"/>
        </w:trPr>
        <w:tc>
          <w:tcPr>
            <w:tcW w:w="1080" w:type="dxa"/>
            <w:vMerge w:val="restart"/>
            <w:shd w:val="clear" w:color="auto" w:fill="auto"/>
            <w:noWrap/>
            <w:tcMar>
              <w:top w:w="15" w:type="dxa"/>
              <w:left w:w="15" w:type="dxa"/>
              <w:right w:w="15" w:type="dxa"/>
            </w:tcMar>
            <w:vAlign w:val="center"/>
          </w:tcPr>
          <w:p w14:paraId="70A36B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845" w:type="dxa"/>
            <w:vMerge w:val="restart"/>
            <w:tcBorders>
              <w:bottom w:val="single" w:color="auto" w:sz="4" w:space="0"/>
            </w:tcBorders>
            <w:shd w:val="clear" w:color="auto" w:fill="auto"/>
            <w:noWrap/>
            <w:tcMar>
              <w:top w:w="15" w:type="dxa"/>
              <w:left w:w="15" w:type="dxa"/>
              <w:right w:w="15" w:type="dxa"/>
            </w:tcMar>
            <w:vAlign w:val="center"/>
          </w:tcPr>
          <w:p w14:paraId="2E0DE1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监测项目</w:t>
            </w:r>
          </w:p>
        </w:tc>
        <w:tc>
          <w:tcPr>
            <w:tcW w:w="2710" w:type="dxa"/>
            <w:gridSpan w:val="2"/>
            <w:tcBorders>
              <w:bottom w:val="single" w:color="auto" w:sz="4" w:space="0"/>
            </w:tcBorders>
            <w:shd w:val="clear" w:color="auto" w:fill="auto"/>
            <w:noWrap/>
            <w:tcMar>
              <w:top w:w="15" w:type="dxa"/>
              <w:left w:w="15" w:type="dxa"/>
              <w:right w:w="15" w:type="dxa"/>
            </w:tcMar>
            <w:vAlign w:val="center"/>
          </w:tcPr>
          <w:p w14:paraId="496E3D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测试结果</w:t>
            </w:r>
          </w:p>
        </w:tc>
        <w:tc>
          <w:tcPr>
            <w:tcW w:w="1817" w:type="dxa"/>
            <w:vMerge w:val="restart"/>
            <w:tcBorders>
              <w:bottom w:val="single" w:color="auto" w:sz="4" w:space="0"/>
            </w:tcBorders>
            <w:shd w:val="clear" w:color="auto" w:fill="auto"/>
            <w:noWrap/>
            <w:tcMar>
              <w:top w:w="15" w:type="dxa"/>
              <w:left w:w="15" w:type="dxa"/>
              <w:right w:w="15" w:type="dxa"/>
            </w:tcMar>
            <w:vAlign w:val="center"/>
          </w:tcPr>
          <w:p w14:paraId="4D6458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相对偏差</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1B6B34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质控要求</w:t>
            </w:r>
            <w:r>
              <w:rPr>
                <w:rFonts w:hint="default" w:ascii="Times New Roman" w:hAnsi="Times New Roman" w:cs="Times New Roman"/>
                <w:b/>
                <w:bCs/>
                <w:color w:val="auto"/>
                <w:sz w:val="21"/>
                <w:szCs w:val="21"/>
                <w:highlight w:val="none"/>
                <w:vertAlign w:val="superscript"/>
              </w:rPr>
              <w:t>①</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6346EB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结果判定</w:t>
            </w:r>
          </w:p>
        </w:tc>
      </w:tr>
      <w:tr w14:paraId="14291F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080" w:type="dxa"/>
            <w:vMerge w:val="continue"/>
            <w:tcBorders>
              <w:bottom w:val="single" w:color="auto" w:sz="12" w:space="0"/>
            </w:tcBorders>
            <w:shd w:val="clear" w:color="auto" w:fill="auto"/>
            <w:noWrap/>
            <w:tcMar>
              <w:top w:w="15" w:type="dxa"/>
              <w:left w:w="15" w:type="dxa"/>
              <w:right w:w="15" w:type="dxa"/>
            </w:tcMar>
            <w:vAlign w:val="center"/>
          </w:tcPr>
          <w:p w14:paraId="5542F16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2C2BD59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355" w:type="dxa"/>
            <w:tcBorders>
              <w:top w:val="single" w:color="auto" w:sz="4" w:space="0"/>
              <w:bottom w:val="single" w:color="auto" w:sz="12" w:space="0"/>
            </w:tcBorders>
            <w:shd w:val="clear" w:color="auto" w:fill="auto"/>
            <w:noWrap/>
            <w:tcMar>
              <w:top w:w="15" w:type="dxa"/>
              <w:left w:w="15" w:type="dxa"/>
              <w:right w:w="15" w:type="dxa"/>
            </w:tcMar>
            <w:vAlign w:val="center"/>
          </w:tcPr>
          <w:p w14:paraId="394183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QC-</w:t>
            </w:r>
            <w:r>
              <w:rPr>
                <w:rFonts w:hint="default" w:ascii="Times New Roman" w:hAnsi="Times New Roman" w:cs="Times New Roman"/>
                <w:i w:val="0"/>
                <w:color w:val="auto"/>
                <w:kern w:val="0"/>
                <w:sz w:val="21"/>
                <w:szCs w:val="21"/>
                <w:highlight w:val="none"/>
                <w:u w:val="none"/>
                <w:lang w:val="en-US" w:eastAsia="zh-CN" w:bidi="ar"/>
              </w:rPr>
              <w:t>3</w:t>
            </w:r>
          </w:p>
        </w:tc>
        <w:tc>
          <w:tcPr>
            <w:tcW w:w="1355" w:type="dxa"/>
            <w:tcBorders>
              <w:top w:val="single" w:color="auto" w:sz="4" w:space="0"/>
              <w:bottom w:val="single" w:color="auto" w:sz="12" w:space="0"/>
            </w:tcBorders>
            <w:shd w:val="clear" w:color="auto" w:fill="auto"/>
            <w:noWrap/>
            <w:tcMar>
              <w:top w:w="15" w:type="dxa"/>
              <w:left w:w="15" w:type="dxa"/>
              <w:right w:w="15" w:type="dxa"/>
            </w:tcMar>
            <w:vAlign w:val="center"/>
          </w:tcPr>
          <w:p w14:paraId="1811C9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SJG</w:t>
            </w:r>
            <w:r>
              <w:rPr>
                <w:rFonts w:hint="default" w:ascii="Times New Roman" w:hAnsi="Times New Roman" w:eastAsia="宋体" w:cs="Times New Roman"/>
                <w:i w:val="0"/>
                <w:color w:val="auto"/>
                <w:kern w:val="0"/>
                <w:sz w:val="21"/>
                <w:szCs w:val="21"/>
                <w:highlight w:val="none"/>
                <w:u w:val="none"/>
                <w:lang w:val="en-US" w:eastAsia="zh-CN" w:bidi="ar"/>
              </w:rPr>
              <w:t>-1-</w:t>
            </w:r>
            <w:r>
              <w:rPr>
                <w:rFonts w:hint="default" w:ascii="Times New Roman" w:hAnsi="Times New Roman" w:cs="Times New Roman"/>
                <w:i w:val="0"/>
                <w:color w:val="auto"/>
                <w:kern w:val="0"/>
                <w:sz w:val="21"/>
                <w:szCs w:val="21"/>
                <w:highlight w:val="none"/>
                <w:u w:val="none"/>
                <w:lang w:val="en-US" w:eastAsia="zh-CN" w:bidi="ar"/>
              </w:rPr>
              <w:t>75</w:t>
            </w:r>
          </w:p>
        </w:tc>
        <w:tc>
          <w:tcPr>
            <w:tcW w:w="1817"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3615EB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724C60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0B553B3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ECD51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restart"/>
            <w:tcBorders>
              <w:tl2br w:val="nil"/>
              <w:tr2bl w:val="nil"/>
            </w:tcBorders>
            <w:shd w:val="clear" w:color="auto" w:fill="auto"/>
            <w:noWrap/>
            <w:tcMar>
              <w:top w:w="15" w:type="dxa"/>
              <w:left w:w="15" w:type="dxa"/>
              <w:right w:w="15" w:type="dxa"/>
            </w:tcMar>
            <w:vAlign w:val="center"/>
          </w:tcPr>
          <w:p w14:paraId="087BBF4A">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土壤</w:t>
            </w:r>
          </w:p>
        </w:tc>
        <w:tc>
          <w:tcPr>
            <w:tcW w:w="1845" w:type="dxa"/>
            <w:tcBorders>
              <w:tl2br w:val="nil"/>
              <w:tr2bl w:val="nil"/>
            </w:tcBorders>
            <w:shd w:val="clear" w:color="auto" w:fill="auto"/>
            <w:noWrap/>
            <w:tcMar>
              <w:top w:w="15" w:type="dxa"/>
              <w:left w:w="15" w:type="dxa"/>
              <w:right w:w="15" w:type="dxa"/>
            </w:tcMar>
            <w:vAlign w:val="center"/>
          </w:tcPr>
          <w:p w14:paraId="026540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总氟化物</w:t>
            </w:r>
          </w:p>
        </w:tc>
        <w:tc>
          <w:tcPr>
            <w:tcW w:w="1355" w:type="dxa"/>
            <w:tcBorders>
              <w:tl2br w:val="nil"/>
              <w:tr2bl w:val="nil"/>
            </w:tcBorders>
            <w:shd w:val="clear" w:color="auto" w:fill="auto"/>
            <w:noWrap/>
            <w:tcMar>
              <w:top w:w="15" w:type="dxa"/>
              <w:left w:w="15" w:type="dxa"/>
              <w:right w:w="15" w:type="dxa"/>
            </w:tcMar>
            <w:vAlign w:val="center"/>
          </w:tcPr>
          <w:p w14:paraId="10D145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604</w:t>
            </w:r>
          </w:p>
        </w:tc>
        <w:tc>
          <w:tcPr>
            <w:tcW w:w="1355" w:type="dxa"/>
            <w:tcBorders>
              <w:tl2br w:val="nil"/>
              <w:tr2bl w:val="nil"/>
            </w:tcBorders>
            <w:shd w:val="clear" w:color="auto" w:fill="auto"/>
            <w:noWrap/>
            <w:tcMar>
              <w:top w:w="15" w:type="dxa"/>
              <w:left w:w="15" w:type="dxa"/>
              <w:right w:w="15" w:type="dxa"/>
            </w:tcMar>
            <w:vAlign w:val="center"/>
          </w:tcPr>
          <w:p w14:paraId="09354A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599</w:t>
            </w:r>
          </w:p>
        </w:tc>
        <w:tc>
          <w:tcPr>
            <w:tcW w:w="1817" w:type="dxa"/>
            <w:tcBorders>
              <w:tl2br w:val="nil"/>
              <w:tr2bl w:val="nil"/>
            </w:tcBorders>
            <w:shd w:val="clear" w:color="auto" w:fill="auto"/>
            <w:noWrap/>
            <w:tcMar>
              <w:top w:w="15" w:type="dxa"/>
              <w:left w:w="15" w:type="dxa"/>
              <w:right w:w="15" w:type="dxa"/>
            </w:tcMar>
            <w:vAlign w:val="center"/>
          </w:tcPr>
          <w:p w14:paraId="6B3C49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0.42%</w:t>
            </w:r>
          </w:p>
        </w:tc>
        <w:tc>
          <w:tcPr>
            <w:tcW w:w="1080" w:type="dxa"/>
            <w:tcBorders>
              <w:tl2br w:val="nil"/>
              <w:tr2bl w:val="nil"/>
            </w:tcBorders>
            <w:shd w:val="clear" w:color="auto" w:fill="auto"/>
            <w:noWrap/>
            <w:tcMar>
              <w:top w:w="15" w:type="dxa"/>
              <w:left w:w="15" w:type="dxa"/>
              <w:right w:w="15" w:type="dxa"/>
            </w:tcMar>
            <w:vAlign w:val="center"/>
          </w:tcPr>
          <w:p w14:paraId="07FA46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CF674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86979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4DD4F6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2F125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355" w:type="dxa"/>
            <w:tcBorders>
              <w:tl2br w:val="nil"/>
              <w:tr2bl w:val="nil"/>
            </w:tcBorders>
            <w:shd w:val="clear" w:color="auto" w:fill="auto"/>
            <w:noWrap/>
            <w:tcMar>
              <w:top w:w="15" w:type="dxa"/>
              <w:left w:w="15" w:type="dxa"/>
              <w:right w:w="15" w:type="dxa"/>
            </w:tcMar>
            <w:vAlign w:val="center"/>
          </w:tcPr>
          <w:p w14:paraId="0F2F2A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18.8</w:t>
            </w:r>
          </w:p>
        </w:tc>
        <w:tc>
          <w:tcPr>
            <w:tcW w:w="1355" w:type="dxa"/>
            <w:tcBorders>
              <w:tl2br w:val="nil"/>
              <w:tr2bl w:val="nil"/>
            </w:tcBorders>
            <w:shd w:val="clear" w:color="auto" w:fill="auto"/>
            <w:noWrap/>
            <w:tcMar>
              <w:top w:w="15" w:type="dxa"/>
              <w:left w:w="15" w:type="dxa"/>
              <w:right w:w="15" w:type="dxa"/>
            </w:tcMar>
            <w:vAlign w:val="center"/>
          </w:tcPr>
          <w:p w14:paraId="5CF941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18.8</w:t>
            </w:r>
          </w:p>
        </w:tc>
        <w:tc>
          <w:tcPr>
            <w:tcW w:w="1817" w:type="dxa"/>
            <w:tcBorders>
              <w:tl2br w:val="nil"/>
              <w:tr2bl w:val="nil"/>
            </w:tcBorders>
            <w:shd w:val="clear" w:color="auto" w:fill="auto"/>
            <w:noWrap/>
            <w:tcMar>
              <w:top w:w="15" w:type="dxa"/>
              <w:left w:w="15" w:type="dxa"/>
              <w:right w:w="15" w:type="dxa"/>
            </w:tcMar>
            <w:vAlign w:val="center"/>
          </w:tcPr>
          <w:p w14:paraId="5E0F18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3D0E01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2F5A1E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88B40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0D0C70B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7BDED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355" w:type="dxa"/>
            <w:tcBorders>
              <w:tl2br w:val="nil"/>
              <w:tr2bl w:val="nil"/>
            </w:tcBorders>
            <w:shd w:val="clear" w:color="auto" w:fill="auto"/>
            <w:noWrap/>
            <w:tcMar>
              <w:top w:w="15" w:type="dxa"/>
              <w:left w:w="15" w:type="dxa"/>
              <w:right w:w="15" w:type="dxa"/>
            </w:tcMar>
            <w:vAlign w:val="center"/>
          </w:tcPr>
          <w:p w14:paraId="656F44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0.07</w:t>
            </w:r>
          </w:p>
        </w:tc>
        <w:tc>
          <w:tcPr>
            <w:tcW w:w="1355" w:type="dxa"/>
            <w:tcBorders>
              <w:tl2br w:val="nil"/>
              <w:tr2bl w:val="nil"/>
            </w:tcBorders>
            <w:shd w:val="clear" w:color="auto" w:fill="auto"/>
            <w:noWrap/>
            <w:tcMar>
              <w:top w:w="15" w:type="dxa"/>
              <w:left w:w="15" w:type="dxa"/>
              <w:right w:w="15" w:type="dxa"/>
            </w:tcMar>
            <w:vAlign w:val="center"/>
          </w:tcPr>
          <w:p w14:paraId="31EE82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0.07</w:t>
            </w:r>
          </w:p>
        </w:tc>
        <w:tc>
          <w:tcPr>
            <w:tcW w:w="1817" w:type="dxa"/>
            <w:tcBorders>
              <w:tl2br w:val="nil"/>
              <w:tr2bl w:val="nil"/>
            </w:tcBorders>
            <w:shd w:val="clear" w:color="auto" w:fill="auto"/>
            <w:noWrap/>
            <w:tcMar>
              <w:top w:w="15" w:type="dxa"/>
              <w:left w:w="15" w:type="dxa"/>
              <w:right w:w="15" w:type="dxa"/>
            </w:tcMar>
            <w:vAlign w:val="center"/>
          </w:tcPr>
          <w:p w14:paraId="014BA6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13CD6B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080" w:type="dxa"/>
            <w:tcBorders>
              <w:tl2br w:val="nil"/>
              <w:tr2bl w:val="nil"/>
            </w:tcBorders>
            <w:shd w:val="clear" w:color="auto" w:fill="auto"/>
            <w:noWrap/>
            <w:tcMar>
              <w:top w:w="15" w:type="dxa"/>
              <w:left w:w="15" w:type="dxa"/>
              <w:right w:w="15" w:type="dxa"/>
            </w:tcMar>
            <w:vAlign w:val="center"/>
          </w:tcPr>
          <w:p w14:paraId="06858D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E021A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18C71D1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A041E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1355" w:type="dxa"/>
            <w:tcBorders>
              <w:tl2br w:val="nil"/>
              <w:tr2bl w:val="nil"/>
            </w:tcBorders>
            <w:shd w:val="clear" w:color="auto" w:fill="auto"/>
            <w:noWrap/>
            <w:tcMar>
              <w:top w:w="15" w:type="dxa"/>
              <w:left w:w="15" w:type="dxa"/>
              <w:right w:w="15" w:type="dxa"/>
            </w:tcMar>
            <w:vAlign w:val="center"/>
          </w:tcPr>
          <w:p w14:paraId="4C6800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7.74</w:t>
            </w:r>
          </w:p>
        </w:tc>
        <w:tc>
          <w:tcPr>
            <w:tcW w:w="1355" w:type="dxa"/>
            <w:tcBorders>
              <w:tl2br w:val="nil"/>
              <w:tr2bl w:val="nil"/>
            </w:tcBorders>
            <w:shd w:val="clear" w:color="auto" w:fill="auto"/>
            <w:noWrap/>
            <w:tcMar>
              <w:top w:w="15" w:type="dxa"/>
              <w:left w:w="15" w:type="dxa"/>
              <w:right w:w="15" w:type="dxa"/>
            </w:tcMar>
            <w:vAlign w:val="center"/>
          </w:tcPr>
          <w:p w14:paraId="286D06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7.82</w:t>
            </w:r>
          </w:p>
        </w:tc>
        <w:tc>
          <w:tcPr>
            <w:tcW w:w="1817" w:type="dxa"/>
            <w:tcBorders>
              <w:tl2br w:val="nil"/>
              <w:tr2bl w:val="nil"/>
            </w:tcBorders>
            <w:shd w:val="clear" w:color="auto" w:fill="auto"/>
            <w:noWrap/>
            <w:tcMar>
              <w:top w:w="15" w:type="dxa"/>
              <w:left w:w="15" w:type="dxa"/>
              <w:right w:w="15" w:type="dxa"/>
            </w:tcMar>
            <w:vAlign w:val="center"/>
          </w:tcPr>
          <w:p w14:paraId="07315B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0.51%</w:t>
            </w:r>
          </w:p>
        </w:tc>
        <w:tc>
          <w:tcPr>
            <w:tcW w:w="1080" w:type="dxa"/>
            <w:tcBorders>
              <w:tl2br w:val="nil"/>
              <w:tr2bl w:val="nil"/>
            </w:tcBorders>
            <w:shd w:val="clear" w:color="auto" w:fill="auto"/>
            <w:noWrap/>
            <w:tcMar>
              <w:top w:w="15" w:type="dxa"/>
              <w:left w:w="15" w:type="dxa"/>
              <w:right w:w="15" w:type="dxa"/>
            </w:tcMar>
            <w:vAlign w:val="center"/>
          </w:tcPr>
          <w:p w14:paraId="28A2F7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699356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9A792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76EB4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6B34AE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355" w:type="dxa"/>
            <w:tcBorders>
              <w:tl2br w:val="nil"/>
              <w:tr2bl w:val="nil"/>
            </w:tcBorders>
            <w:shd w:val="clear" w:color="auto" w:fill="auto"/>
            <w:noWrap/>
            <w:tcMar>
              <w:top w:w="15" w:type="dxa"/>
              <w:left w:w="15" w:type="dxa"/>
              <w:right w:w="15" w:type="dxa"/>
            </w:tcMar>
            <w:vAlign w:val="center"/>
          </w:tcPr>
          <w:p w14:paraId="52242F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1355" w:type="dxa"/>
            <w:tcBorders>
              <w:tl2br w:val="nil"/>
              <w:tr2bl w:val="nil"/>
            </w:tcBorders>
            <w:shd w:val="clear" w:color="auto" w:fill="auto"/>
            <w:noWrap/>
            <w:tcMar>
              <w:top w:w="15" w:type="dxa"/>
              <w:left w:w="15" w:type="dxa"/>
              <w:right w:w="15" w:type="dxa"/>
            </w:tcMar>
            <w:vAlign w:val="center"/>
          </w:tcPr>
          <w:p w14:paraId="31E019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1817" w:type="dxa"/>
            <w:tcBorders>
              <w:tl2br w:val="nil"/>
              <w:tr2bl w:val="nil"/>
            </w:tcBorders>
            <w:shd w:val="clear" w:color="auto" w:fill="auto"/>
            <w:noWrap/>
            <w:tcMar>
              <w:top w:w="15" w:type="dxa"/>
              <w:left w:w="15" w:type="dxa"/>
              <w:right w:w="15" w:type="dxa"/>
            </w:tcMar>
            <w:vAlign w:val="center"/>
          </w:tcPr>
          <w:p w14:paraId="7E3BF4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2.13%</w:t>
            </w:r>
          </w:p>
        </w:tc>
        <w:tc>
          <w:tcPr>
            <w:tcW w:w="1080" w:type="dxa"/>
            <w:tcBorders>
              <w:tl2br w:val="nil"/>
              <w:tr2bl w:val="nil"/>
            </w:tcBorders>
            <w:shd w:val="clear" w:color="auto" w:fill="auto"/>
            <w:noWrap/>
            <w:tcMar>
              <w:top w:w="15" w:type="dxa"/>
              <w:left w:w="15" w:type="dxa"/>
              <w:right w:w="15" w:type="dxa"/>
            </w:tcMar>
            <w:vAlign w:val="center"/>
          </w:tcPr>
          <w:p w14:paraId="2D629F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842A9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4BB69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21F65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E0E1F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355" w:type="dxa"/>
            <w:tcBorders>
              <w:tl2br w:val="nil"/>
              <w:tr2bl w:val="nil"/>
            </w:tcBorders>
            <w:shd w:val="clear" w:color="auto" w:fill="auto"/>
            <w:noWrap/>
            <w:tcMar>
              <w:top w:w="15" w:type="dxa"/>
              <w:left w:w="15" w:type="dxa"/>
              <w:right w:w="15" w:type="dxa"/>
            </w:tcMar>
            <w:vAlign w:val="center"/>
          </w:tcPr>
          <w:p w14:paraId="6B78AB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36</w:t>
            </w:r>
          </w:p>
        </w:tc>
        <w:tc>
          <w:tcPr>
            <w:tcW w:w="1355" w:type="dxa"/>
            <w:tcBorders>
              <w:tl2br w:val="nil"/>
              <w:tr2bl w:val="nil"/>
            </w:tcBorders>
            <w:shd w:val="clear" w:color="auto" w:fill="auto"/>
            <w:noWrap/>
            <w:tcMar>
              <w:top w:w="15" w:type="dxa"/>
              <w:left w:w="15" w:type="dxa"/>
              <w:right w:w="15" w:type="dxa"/>
            </w:tcMar>
            <w:vAlign w:val="center"/>
          </w:tcPr>
          <w:p w14:paraId="49E63F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49</w:t>
            </w:r>
          </w:p>
        </w:tc>
        <w:tc>
          <w:tcPr>
            <w:tcW w:w="1817" w:type="dxa"/>
            <w:tcBorders>
              <w:tl2br w:val="nil"/>
              <w:tr2bl w:val="nil"/>
            </w:tcBorders>
            <w:shd w:val="clear" w:color="auto" w:fill="auto"/>
            <w:noWrap/>
            <w:tcMar>
              <w:top w:w="15" w:type="dxa"/>
              <w:left w:w="15" w:type="dxa"/>
              <w:right w:w="15" w:type="dxa"/>
            </w:tcMar>
            <w:vAlign w:val="center"/>
          </w:tcPr>
          <w:p w14:paraId="485484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15.29%</w:t>
            </w:r>
          </w:p>
        </w:tc>
        <w:tc>
          <w:tcPr>
            <w:tcW w:w="1080" w:type="dxa"/>
            <w:tcBorders>
              <w:tl2br w:val="nil"/>
              <w:tr2bl w:val="nil"/>
            </w:tcBorders>
            <w:shd w:val="clear" w:color="auto" w:fill="auto"/>
            <w:noWrap/>
            <w:tcMar>
              <w:top w:w="15" w:type="dxa"/>
              <w:left w:w="15" w:type="dxa"/>
              <w:right w:w="15" w:type="dxa"/>
            </w:tcMar>
            <w:vAlign w:val="center"/>
          </w:tcPr>
          <w:p w14:paraId="356308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69B7F5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127CC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C2C3B5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479800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1355" w:type="dxa"/>
            <w:tcBorders>
              <w:tl2br w:val="nil"/>
              <w:tr2bl w:val="nil"/>
            </w:tcBorders>
            <w:shd w:val="clear" w:color="auto" w:fill="auto"/>
            <w:noWrap/>
            <w:tcMar>
              <w:top w:w="15" w:type="dxa"/>
              <w:left w:w="15" w:type="dxa"/>
              <w:right w:w="15" w:type="dxa"/>
            </w:tcMar>
            <w:vAlign w:val="center"/>
          </w:tcPr>
          <w:p w14:paraId="6D871D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c>
          <w:tcPr>
            <w:tcW w:w="1355" w:type="dxa"/>
            <w:tcBorders>
              <w:tl2br w:val="nil"/>
              <w:tr2bl w:val="nil"/>
            </w:tcBorders>
            <w:shd w:val="clear" w:color="auto" w:fill="auto"/>
            <w:noWrap/>
            <w:tcMar>
              <w:top w:w="15" w:type="dxa"/>
              <w:left w:w="15" w:type="dxa"/>
              <w:right w:w="15" w:type="dxa"/>
            </w:tcMar>
            <w:vAlign w:val="center"/>
          </w:tcPr>
          <w:p w14:paraId="24C8B1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c>
          <w:tcPr>
            <w:tcW w:w="1817" w:type="dxa"/>
            <w:tcBorders>
              <w:tl2br w:val="nil"/>
              <w:tr2bl w:val="nil"/>
            </w:tcBorders>
            <w:shd w:val="clear" w:color="auto" w:fill="auto"/>
            <w:noWrap/>
            <w:tcMar>
              <w:top w:w="15" w:type="dxa"/>
              <w:left w:w="15" w:type="dxa"/>
              <w:right w:w="15" w:type="dxa"/>
            </w:tcMar>
            <w:vAlign w:val="center"/>
          </w:tcPr>
          <w:p w14:paraId="029832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7F15C8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26EB6B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429A07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6119DA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9C130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1355" w:type="dxa"/>
            <w:tcBorders>
              <w:tl2br w:val="nil"/>
              <w:tr2bl w:val="nil"/>
            </w:tcBorders>
            <w:shd w:val="clear" w:color="auto" w:fill="auto"/>
            <w:noWrap/>
            <w:tcMar>
              <w:top w:w="15" w:type="dxa"/>
              <w:left w:w="15" w:type="dxa"/>
              <w:right w:w="15" w:type="dxa"/>
            </w:tcMar>
            <w:vAlign w:val="center"/>
          </w:tcPr>
          <w:p w14:paraId="4F4F59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64</w:t>
            </w:r>
          </w:p>
        </w:tc>
        <w:tc>
          <w:tcPr>
            <w:tcW w:w="1355" w:type="dxa"/>
            <w:tcBorders>
              <w:tl2br w:val="nil"/>
              <w:tr2bl w:val="nil"/>
            </w:tcBorders>
            <w:shd w:val="clear" w:color="auto" w:fill="auto"/>
            <w:noWrap/>
            <w:tcMar>
              <w:top w:w="15" w:type="dxa"/>
              <w:left w:w="15" w:type="dxa"/>
              <w:right w:w="15" w:type="dxa"/>
            </w:tcMar>
            <w:vAlign w:val="center"/>
          </w:tcPr>
          <w:p w14:paraId="516F94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62</w:t>
            </w:r>
          </w:p>
        </w:tc>
        <w:tc>
          <w:tcPr>
            <w:tcW w:w="1817" w:type="dxa"/>
            <w:tcBorders>
              <w:tl2br w:val="nil"/>
              <w:tr2bl w:val="nil"/>
            </w:tcBorders>
            <w:shd w:val="clear" w:color="auto" w:fill="auto"/>
            <w:noWrap/>
            <w:tcMar>
              <w:top w:w="15" w:type="dxa"/>
              <w:left w:w="15" w:type="dxa"/>
              <w:right w:w="15" w:type="dxa"/>
            </w:tcMar>
            <w:vAlign w:val="center"/>
          </w:tcPr>
          <w:p w14:paraId="66813E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1.59%</w:t>
            </w:r>
          </w:p>
        </w:tc>
        <w:tc>
          <w:tcPr>
            <w:tcW w:w="1080" w:type="dxa"/>
            <w:tcBorders>
              <w:tl2br w:val="nil"/>
              <w:tr2bl w:val="nil"/>
            </w:tcBorders>
            <w:shd w:val="clear" w:color="auto" w:fill="auto"/>
            <w:noWrap/>
            <w:tcMar>
              <w:top w:w="15" w:type="dxa"/>
              <w:left w:w="15" w:type="dxa"/>
              <w:right w:w="15" w:type="dxa"/>
            </w:tcMar>
            <w:vAlign w:val="center"/>
          </w:tcPr>
          <w:p w14:paraId="0E38F2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F0D52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39B88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7932E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9E789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355" w:type="dxa"/>
            <w:tcBorders>
              <w:tl2br w:val="nil"/>
              <w:tr2bl w:val="nil"/>
            </w:tcBorders>
            <w:shd w:val="clear" w:color="auto" w:fill="auto"/>
            <w:noWrap/>
            <w:tcMar>
              <w:top w:w="15" w:type="dxa"/>
              <w:left w:w="15" w:type="dxa"/>
              <w:right w:w="15" w:type="dxa"/>
            </w:tcMar>
            <w:vAlign w:val="center"/>
          </w:tcPr>
          <w:p w14:paraId="379E00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9.4</w:t>
            </w:r>
          </w:p>
        </w:tc>
        <w:tc>
          <w:tcPr>
            <w:tcW w:w="1355" w:type="dxa"/>
            <w:tcBorders>
              <w:tl2br w:val="nil"/>
              <w:tr2bl w:val="nil"/>
            </w:tcBorders>
            <w:shd w:val="clear" w:color="auto" w:fill="auto"/>
            <w:noWrap/>
            <w:tcMar>
              <w:top w:w="15" w:type="dxa"/>
              <w:left w:w="15" w:type="dxa"/>
              <w:right w:w="15" w:type="dxa"/>
            </w:tcMar>
            <w:vAlign w:val="center"/>
          </w:tcPr>
          <w:p w14:paraId="7616A4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9.4</w:t>
            </w:r>
          </w:p>
        </w:tc>
        <w:tc>
          <w:tcPr>
            <w:tcW w:w="1817" w:type="dxa"/>
            <w:tcBorders>
              <w:tl2br w:val="nil"/>
              <w:tr2bl w:val="nil"/>
            </w:tcBorders>
            <w:shd w:val="clear" w:color="auto" w:fill="auto"/>
            <w:noWrap/>
            <w:tcMar>
              <w:top w:w="15" w:type="dxa"/>
              <w:left w:w="15" w:type="dxa"/>
              <w:right w:w="15" w:type="dxa"/>
            </w:tcMar>
            <w:vAlign w:val="center"/>
          </w:tcPr>
          <w:p w14:paraId="3661B3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6CE3B3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5B0DAD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CAEBF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DA1B85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97F15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钼</w:t>
            </w:r>
          </w:p>
        </w:tc>
        <w:tc>
          <w:tcPr>
            <w:tcW w:w="1355" w:type="dxa"/>
            <w:tcBorders>
              <w:tl2br w:val="nil"/>
              <w:tr2bl w:val="nil"/>
            </w:tcBorders>
            <w:shd w:val="clear" w:color="auto" w:fill="auto"/>
            <w:noWrap/>
            <w:tcMar>
              <w:top w:w="15" w:type="dxa"/>
              <w:left w:w="15" w:type="dxa"/>
              <w:right w:w="15" w:type="dxa"/>
            </w:tcMar>
            <w:vAlign w:val="center"/>
          </w:tcPr>
          <w:p w14:paraId="5BC199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w:t>
            </w:r>
          </w:p>
        </w:tc>
        <w:tc>
          <w:tcPr>
            <w:tcW w:w="1355" w:type="dxa"/>
            <w:tcBorders>
              <w:tl2br w:val="nil"/>
              <w:tr2bl w:val="nil"/>
            </w:tcBorders>
            <w:shd w:val="clear" w:color="auto" w:fill="auto"/>
            <w:noWrap/>
            <w:tcMar>
              <w:top w:w="15" w:type="dxa"/>
              <w:left w:w="15" w:type="dxa"/>
              <w:right w:w="15" w:type="dxa"/>
            </w:tcMar>
            <w:vAlign w:val="center"/>
          </w:tcPr>
          <w:p w14:paraId="45FC89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1817" w:type="dxa"/>
            <w:tcBorders>
              <w:tl2br w:val="nil"/>
              <w:tr2bl w:val="nil"/>
            </w:tcBorders>
            <w:shd w:val="clear" w:color="auto" w:fill="auto"/>
            <w:noWrap/>
            <w:tcMar>
              <w:top w:w="15" w:type="dxa"/>
              <w:left w:w="15" w:type="dxa"/>
              <w:right w:w="15" w:type="dxa"/>
            </w:tcMar>
            <w:vAlign w:val="center"/>
          </w:tcPr>
          <w:p w14:paraId="5AABDD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14.29%</w:t>
            </w:r>
          </w:p>
        </w:tc>
        <w:tc>
          <w:tcPr>
            <w:tcW w:w="1080" w:type="dxa"/>
            <w:tcBorders>
              <w:tl2br w:val="nil"/>
              <w:tr2bl w:val="nil"/>
            </w:tcBorders>
            <w:shd w:val="clear" w:color="auto" w:fill="auto"/>
            <w:noWrap/>
            <w:tcMar>
              <w:top w:w="15" w:type="dxa"/>
              <w:left w:w="15" w:type="dxa"/>
              <w:right w:w="15" w:type="dxa"/>
            </w:tcMar>
            <w:vAlign w:val="center"/>
          </w:tcPr>
          <w:p w14:paraId="268FE3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7B1D61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31F2EC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64689F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1768C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锑</w:t>
            </w:r>
          </w:p>
        </w:tc>
        <w:tc>
          <w:tcPr>
            <w:tcW w:w="1355" w:type="dxa"/>
            <w:tcBorders>
              <w:tl2br w:val="nil"/>
              <w:tr2bl w:val="nil"/>
            </w:tcBorders>
            <w:shd w:val="clear" w:color="auto" w:fill="auto"/>
            <w:noWrap/>
            <w:tcMar>
              <w:top w:w="15" w:type="dxa"/>
              <w:left w:w="15" w:type="dxa"/>
              <w:right w:w="15" w:type="dxa"/>
            </w:tcMar>
            <w:vAlign w:val="center"/>
          </w:tcPr>
          <w:p w14:paraId="379521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w:t>
            </w:r>
          </w:p>
        </w:tc>
        <w:tc>
          <w:tcPr>
            <w:tcW w:w="1355" w:type="dxa"/>
            <w:tcBorders>
              <w:tl2br w:val="nil"/>
              <w:tr2bl w:val="nil"/>
            </w:tcBorders>
            <w:shd w:val="clear" w:color="auto" w:fill="auto"/>
            <w:noWrap/>
            <w:tcMar>
              <w:top w:w="15" w:type="dxa"/>
              <w:left w:w="15" w:type="dxa"/>
              <w:right w:w="15" w:type="dxa"/>
            </w:tcMar>
            <w:vAlign w:val="center"/>
          </w:tcPr>
          <w:p w14:paraId="381C93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w:t>
            </w:r>
          </w:p>
        </w:tc>
        <w:tc>
          <w:tcPr>
            <w:tcW w:w="1817" w:type="dxa"/>
            <w:tcBorders>
              <w:tl2br w:val="nil"/>
              <w:tr2bl w:val="nil"/>
            </w:tcBorders>
            <w:shd w:val="clear" w:color="auto" w:fill="auto"/>
            <w:noWrap/>
            <w:tcMar>
              <w:top w:w="15" w:type="dxa"/>
              <w:left w:w="15" w:type="dxa"/>
              <w:right w:w="15" w:type="dxa"/>
            </w:tcMar>
            <w:vAlign w:val="center"/>
          </w:tcPr>
          <w:p w14:paraId="05E0CA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752C26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66831C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bl>
    <w:p w14:paraId="16CBE59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auto"/>
          <w:sz w:val="18"/>
          <w:szCs w:val="18"/>
          <w:highlight w:val="none"/>
          <w:lang w:eastAsia="zh-CN"/>
        </w:rPr>
      </w:pPr>
      <w:r>
        <w:rPr>
          <w:rFonts w:hint="default" w:ascii="Times New Roman" w:hAnsi="Times New Roman" w:cs="Times New Roman"/>
          <w:b/>
          <w:color w:val="auto"/>
          <w:sz w:val="18"/>
          <w:szCs w:val="18"/>
          <w:highlight w:val="none"/>
        </w:rPr>
        <w:t>注：①其中</w:t>
      </w:r>
      <w:r>
        <w:rPr>
          <w:rFonts w:hint="default" w:ascii="Times New Roman" w:hAnsi="Times New Roman" w:cs="Times New Roman"/>
          <w:b/>
          <w:color w:val="auto"/>
          <w:sz w:val="18"/>
          <w:szCs w:val="18"/>
          <w:highlight w:val="none"/>
          <w:lang w:eastAsia="zh-CN"/>
        </w:rPr>
        <w:t>：</w:t>
      </w:r>
      <w:r>
        <w:rPr>
          <w:rFonts w:hint="default" w:ascii="Times New Roman" w:hAnsi="Times New Roman" w:cs="Times New Roman"/>
          <w:b/>
          <w:color w:val="auto"/>
          <w:sz w:val="18"/>
          <w:szCs w:val="18"/>
          <w:highlight w:val="none"/>
        </w:rPr>
        <w:t>“铜</w:t>
      </w:r>
      <w:r>
        <w:rPr>
          <w:rFonts w:hint="default" w:ascii="Times New Roman" w:hAnsi="Times New Roman" w:cs="Times New Roman"/>
          <w:b/>
          <w:color w:val="auto"/>
          <w:sz w:val="18"/>
          <w:szCs w:val="18"/>
          <w:highlight w:val="none"/>
          <w:lang w:eastAsia="zh-CN"/>
        </w:rPr>
        <w:t>、铬</w:t>
      </w:r>
      <w:r>
        <w:rPr>
          <w:rFonts w:hint="default" w:ascii="Times New Roman" w:hAnsi="Times New Roman" w:cs="Times New Roman"/>
          <w:b/>
          <w:color w:val="auto"/>
          <w:sz w:val="18"/>
          <w:szCs w:val="18"/>
          <w:highlight w:val="none"/>
        </w:rPr>
        <w:t>、镍</w:t>
      </w:r>
      <w:r>
        <w:rPr>
          <w:rFonts w:hint="default" w:ascii="Times New Roman" w:hAnsi="Times New Roman" w:cs="Times New Roman"/>
          <w:b/>
          <w:color w:val="auto"/>
          <w:sz w:val="18"/>
          <w:szCs w:val="18"/>
          <w:highlight w:val="none"/>
          <w:lang w:eastAsia="zh-CN"/>
        </w:rPr>
        <w:t>、锌</w:t>
      </w:r>
      <w:r>
        <w:rPr>
          <w:rFonts w:hint="default" w:ascii="Times New Roman" w:hAnsi="Times New Roman" w:cs="Times New Roman"/>
          <w:b/>
          <w:color w:val="auto"/>
          <w:sz w:val="18"/>
          <w:szCs w:val="18"/>
          <w:highlight w:val="none"/>
        </w:rPr>
        <w:t>”质控要求按照“HJ 491-2019”确定</w:t>
      </w:r>
      <w:r>
        <w:rPr>
          <w:rFonts w:hint="default" w:ascii="Times New Roman" w:hAnsi="Times New Roman" w:cs="Times New Roman"/>
          <w:b/>
          <w:color w:val="auto"/>
          <w:sz w:val="18"/>
          <w:szCs w:val="18"/>
          <w:highlight w:val="none"/>
          <w:lang w:eastAsia="zh-CN"/>
        </w:rPr>
        <w:t>；</w:t>
      </w:r>
    </w:p>
    <w:p w14:paraId="54CF820B">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cs="Times New Roman"/>
          <w:b/>
          <w:color w:val="auto"/>
          <w:sz w:val="18"/>
          <w:szCs w:val="18"/>
          <w:highlight w:val="none"/>
          <w:lang w:eastAsia="zh-CN"/>
        </w:rPr>
      </w:pPr>
      <w:r>
        <w:rPr>
          <w:rFonts w:hint="default" w:ascii="Times New Roman" w:hAnsi="Times New Roman" w:cs="Times New Roman"/>
          <w:b/>
          <w:color w:val="auto"/>
          <w:sz w:val="18"/>
          <w:szCs w:val="18"/>
          <w:highlight w:val="none"/>
        </w:rPr>
        <w:t>“砷</w:t>
      </w:r>
      <w:r>
        <w:rPr>
          <w:rFonts w:hint="default" w:ascii="Times New Roman" w:hAnsi="Times New Roman" w:cs="Times New Roman"/>
          <w:b/>
          <w:color w:val="auto"/>
          <w:sz w:val="18"/>
          <w:szCs w:val="18"/>
          <w:highlight w:val="none"/>
          <w:lang w:eastAsia="zh-CN"/>
        </w:rPr>
        <w:t>、钴、锑、钼</w:t>
      </w:r>
      <w:r>
        <w:rPr>
          <w:rFonts w:hint="default" w:ascii="Times New Roman" w:hAnsi="Times New Roman" w:cs="Times New Roman"/>
          <w:b/>
          <w:color w:val="auto"/>
          <w:sz w:val="18"/>
          <w:szCs w:val="18"/>
          <w:highlight w:val="none"/>
        </w:rPr>
        <w:t>”质控要求按照“HJ 803-2016”确定</w:t>
      </w:r>
      <w:r>
        <w:rPr>
          <w:rFonts w:hint="default" w:ascii="Times New Roman" w:hAnsi="Times New Roman" w:cs="Times New Roman"/>
          <w:b/>
          <w:color w:val="auto"/>
          <w:sz w:val="18"/>
          <w:szCs w:val="18"/>
          <w:highlight w:val="none"/>
          <w:lang w:eastAsia="zh-CN"/>
        </w:rPr>
        <w:t>；</w:t>
      </w:r>
    </w:p>
    <w:p w14:paraId="2DBFFA0D">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“总氟化物”质控要求按照“</w:t>
      </w:r>
      <w:r>
        <w:rPr>
          <w:rFonts w:hint="default" w:ascii="Times New Roman" w:hAnsi="Times New Roman" w:cs="Times New Roman"/>
          <w:b/>
          <w:color w:val="auto"/>
          <w:sz w:val="18"/>
          <w:szCs w:val="18"/>
          <w:highlight w:val="none"/>
          <w:lang w:val="en-US" w:eastAsia="zh-CN"/>
        </w:rPr>
        <w:t>H873-2017</w:t>
      </w:r>
      <w:r>
        <w:rPr>
          <w:rFonts w:hint="default" w:ascii="Times New Roman" w:hAnsi="Times New Roman" w:cs="Times New Roman"/>
          <w:b/>
          <w:color w:val="auto"/>
          <w:sz w:val="18"/>
          <w:szCs w:val="18"/>
          <w:highlight w:val="none"/>
          <w:lang w:eastAsia="zh-CN"/>
        </w:rPr>
        <w:t>”确定；</w:t>
      </w:r>
    </w:p>
    <w:p w14:paraId="27F23854">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“石油烃（C</w:t>
      </w:r>
      <w:r>
        <w:rPr>
          <w:rFonts w:hint="default" w:ascii="Times New Roman" w:hAnsi="Times New Roman" w:cs="Times New Roman"/>
          <w:b/>
          <w:color w:val="auto"/>
          <w:sz w:val="18"/>
          <w:szCs w:val="18"/>
          <w:highlight w:val="none"/>
          <w:vertAlign w:val="subscript"/>
          <w:lang w:eastAsia="zh-CN"/>
        </w:rPr>
        <w:t>10</w:t>
      </w:r>
      <w:r>
        <w:rPr>
          <w:rFonts w:hint="default" w:ascii="Times New Roman" w:hAnsi="Times New Roman" w:cs="Times New Roman"/>
          <w:b/>
          <w:color w:val="auto"/>
          <w:sz w:val="18"/>
          <w:szCs w:val="18"/>
          <w:highlight w:val="none"/>
          <w:lang w:eastAsia="zh-CN"/>
        </w:rPr>
        <w:t>-C</w:t>
      </w:r>
      <w:r>
        <w:rPr>
          <w:rFonts w:hint="default" w:ascii="Times New Roman" w:hAnsi="Times New Roman" w:cs="Times New Roman"/>
          <w:b/>
          <w:color w:val="auto"/>
          <w:sz w:val="18"/>
          <w:szCs w:val="18"/>
          <w:highlight w:val="none"/>
          <w:vertAlign w:val="subscript"/>
          <w:lang w:eastAsia="zh-CN"/>
        </w:rPr>
        <w:t>40</w:t>
      </w:r>
      <w:r>
        <w:rPr>
          <w:rFonts w:hint="default" w:ascii="Times New Roman" w:hAnsi="Times New Roman" w:cs="Times New Roman"/>
          <w:b/>
          <w:color w:val="auto"/>
          <w:sz w:val="18"/>
          <w:szCs w:val="18"/>
          <w:highlight w:val="none"/>
          <w:lang w:eastAsia="zh-CN"/>
        </w:rPr>
        <w:t>）”质控要求按照“</w:t>
      </w:r>
      <w:r>
        <w:rPr>
          <w:rFonts w:hint="default" w:ascii="Times New Roman" w:hAnsi="Times New Roman" w:cs="Times New Roman"/>
          <w:b/>
          <w:color w:val="auto"/>
          <w:sz w:val="18"/>
          <w:szCs w:val="18"/>
          <w:highlight w:val="none"/>
          <w:lang w:val="en-US" w:eastAsia="zh-CN"/>
        </w:rPr>
        <w:t>H1021-2019</w:t>
      </w:r>
      <w:r>
        <w:rPr>
          <w:rFonts w:hint="default" w:ascii="Times New Roman" w:hAnsi="Times New Roman" w:cs="Times New Roman"/>
          <w:b/>
          <w:color w:val="auto"/>
          <w:sz w:val="18"/>
          <w:szCs w:val="18"/>
          <w:highlight w:val="none"/>
          <w:lang w:eastAsia="zh-CN"/>
        </w:rPr>
        <w:t>”确定；</w:t>
      </w:r>
    </w:p>
    <w:p w14:paraId="412D158B">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rPr>
        <w:t>其余标准中未做规定的指标质控要求依据测试结果数据范围按照“HJ/T166-2004”确定</w:t>
      </w:r>
      <w:r>
        <w:rPr>
          <w:rFonts w:hint="default" w:ascii="Times New Roman" w:hAnsi="Times New Roman" w:cs="Times New Roman"/>
          <w:b/>
          <w:color w:val="auto"/>
          <w:sz w:val="18"/>
          <w:szCs w:val="18"/>
          <w:highlight w:val="none"/>
          <w:lang w:eastAsia="zh-CN"/>
        </w:rPr>
        <w:t>。</w:t>
      </w:r>
    </w:p>
    <w:p w14:paraId="1556AF93">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地下水</w:t>
      </w:r>
      <w:r>
        <w:rPr>
          <w:rFonts w:hint="default" w:ascii="Times New Roman" w:hAnsi="Times New Roman" w:cs="Times New Roman"/>
          <w:color w:val="auto"/>
          <w:highlight w:val="none"/>
        </w:rPr>
        <w:t>平行盲样质量控制</w:t>
      </w:r>
    </w:p>
    <w:p w14:paraId="04AC1B9F">
      <w:pPr>
        <w:spacing w:line="360" w:lineRule="auto"/>
        <w:ind w:left="1" w:firstLine="480" w:firstLineChars="200"/>
        <w:rPr>
          <w:rFonts w:hint="default" w:ascii="Times New Roman" w:hAnsi="Times New Roman" w:cs="Times New Roman"/>
          <w:snapToGrid w:val="0"/>
          <w:color w:val="auto"/>
          <w:kern w:val="0"/>
          <w:sz w:val="24"/>
          <w:highlight w:val="none"/>
          <w:lang w:val="en-US" w:eastAsia="zh-CN"/>
        </w:rPr>
      </w:pPr>
      <w:r>
        <w:rPr>
          <w:rFonts w:hint="default" w:ascii="Times New Roman" w:hAnsi="Times New Roman" w:cs="Times New Roman"/>
          <w:snapToGrid w:val="0"/>
          <w:color w:val="auto"/>
          <w:kern w:val="0"/>
          <w:sz w:val="24"/>
          <w:highlight w:val="none"/>
        </w:rPr>
        <w:t>样品现场采集过程中，</w:t>
      </w:r>
      <w:r>
        <w:rPr>
          <w:rFonts w:hint="default" w:ascii="Times New Roman" w:hAnsi="Times New Roman" w:cs="Times New Roman"/>
          <w:snapToGrid w:val="0"/>
          <w:color w:val="auto"/>
          <w:kern w:val="0"/>
          <w:sz w:val="24"/>
          <w:highlight w:val="none"/>
          <w:lang w:eastAsia="zh-CN"/>
        </w:rPr>
        <w:t>五个工业园区（即华容创业园、</w:t>
      </w:r>
      <w:r>
        <w:rPr>
          <w:rFonts w:hint="default" w:ascii="Times New Roman" w:hAnsi="Times New Roman" w:cs="Times New Roman"/>
          <w:snapToGrid w:val="0"/>
          <w:color w:val="auto"/>
          <w:kern w:val="0"/>
          <w:sz w:val="24"/>
          <w:highlight w:val="none"/>
          <w:lang w:val="en-US" w:eastAsia="zh-CN"/>
        </w:rPr>
        <w:t>三江港经济区</w:t>
      </w:r>
      <w:r>
        <w:rPr>
          <w:rFonts w:hint="default" w:ascii="Times New Roman" w:hAnsi="Times New Roman" w:cs="Times New Roman"/>
          <w:snapToGrid w:val="0"/>
          <w:color w:val="auto"/>
          <w:kern w:val="0"/>
          <w:sz w:val="24"/>
          <w:highlight w:val="none"/>
          <w:lang w:eastAsia="zh-CN"/>
        </w:rPr>
        <w:t>、城东产业园（鄂城新区）、鄂州经济开发区、花湖</w:t>
      </w:r>
      <w:r>
        <w:rPr>
          <w:rFonts w:hint="default" w:ascii="Times New Roman" w:hAnsi="Times New Roman" w:cs="Times New Roman"/>
          <w:snapToGrid w:val="0"/>
          <w:color w:val="auto"/>
          <w:kern w:val="0"/>
          <w:sz w:val="24"/>
          <w:highlight w:val="none"/>
          <w:lang w:val="en-US" w:eastAsia="zh-CN"/>
        </w:rPr>
        <w:t>开发区</w:t>
      </w:r>
      <w:r>
        <w:rPr>
          <w:rFonts w:hint="default" w:ascii="Times New Roman" w:hAnsi="Times New Roman" w:cs="Times New Roman"/>
          <w:snapToGrid w:val="0"/>
          <w:color w:val="auto"/>
          <w:kern w:val="0"/>
          <w:sz w:val="24"/>
          <w:highlight w:val="none"/>
          <w:lang w:eastAsia="zh-CN"/>
        </w:rPr>
        <w:t>）共</w:t>
      </w:r>
      <w:r>
        <w:rPr>
          <w:rFonts w:hint="default" w:ascii="Times New Roman" w:hAnsi="Times New Roman" w:cs="Times New Roman"/>
          <w:snapToGrid w:val="0"/>
          <w:color w:val="auto"/>
          <w:kern w:val="0"/>
          <w:sz w:val="24"/>
          <w:highlight w:val="none"/>
          <w:lang w:val="en-US" w:eastAsia="zh-CN"/>
        </w:rPr>
        <w:t>10个地下水点位均于2020年10月28日同批次采集和送检</w:t>
      </w:r>
      <w:r>
        <w:rPr>
          <w:rFonts w:hint="default" w:ascii="Times New Roman" w:hAnsi="Times New Roman" w:cs="Times New Roman"/>
          <w:snapToGrid w:val="0"/>
          <w:color w:val="auto"/>
          <w:kern w:val="0"/>
          <w:sz w:val="24"/>
          <w:highlight w:val="none"/>
        </w:rPr>
        <w:t>。</w:t>
      </w:r>
      <w:r>
        <w:rPr>
          <w:rFonts w:hint="default" w:ascii="Times New Roman" w:hAnsi="Times New Roman" w:cs="Times New Roman"/>
          <w:snapToGrid w:val="0"/>
          <w:color w:val="auto"/>
          <w:kern w:val="0"/>
          <w:sz w:val="24"/>
          <w:highlight w:val="none"/>
          <w:lang w:eastAsia="zh-CN"/>
        </w:rPr>
        <w:t>根据《地下水环境监测技术</w:t>
      </w:r>
      <w:r>
        <w:rPr>
          <w:rFonts w:hint="default" w:ascii="Times New Roman" w:hAnsi="Times New Roman" w:cs="Times New Roman"/>
          <w:snapToGrid w:val="0"/>
          <w:color w:val="auto"/>
          <w:kern w:val="0"/>
          <w:sz w:val="24"/>
          <w:highlight w:val="none"/>
          <w:lang w:val="en-US" w:eastAsia="zh-CN"/>
        </w:rPr>
        <w:t>规范（HJT 164-2004）》要求，采集了1个地下水平行样。因此，本报告地下水平行样质量控制引用《鄂州市工业园区周边土壤质量调查评估报告（2020年）——鄂州经济开发区》中内容。</w:t>
      </w:r>
    </w:p>
    <w:p w14:paraId="42D1423D">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本次</w:t>
      </w:r>
      <w:r>
        <w:rPr>
          <w:rFonts w:hint="default" w:ascii="Times New Roman" w:hAnsi="Times New Roman" w:cs="Times New Roman"/>
          <w:color w:val="auto"/>
          <w:sz w:val="24"/>
          <w:highlight w:val="none"/>
          <w:lang w:eastAsia="zh-CN"/>
        </w:rPr>
        <w:t>地下水</w:t>
      </w:r>
      <w:r>
        <w:rPr>
          <w:rFonts w:hint="default" w:ascii="Times New Roman" w:hAnsi="Times New Roman" w:cs="Times New Roman"/>
          <w:color w:val="auto"/>
          <w:sz w:val="24"/>
          <w:highlight w:val="none"/>
        </w:rPr>
        <w:t>盲样测试项目中</w:t>
      </w:r>
      <w:r>
        <w:rPr>
          <w:rFonts w:hint="default" w:ascii="Times New Roman" w:hAnsi="Times New Roman" w:cs="Times New Roman"/>
          <w:color w:val="auto"/>
          <w:sz w:val="24"/>
          <w:highlight w:val="none"/>
          <w:lang w:eastAsia="zh-CN"/>
        </w:rPr>
        <w:t>未检出项目包括：铜、铝、锌、铬、汞、砷、硒、铅、镉、铬（六价）、氰化物、挥发酚、硫化物、氯仿、四氯化碳、苯、甲苯，</w:t>
      </w:r>
      <w:r>
        <w:rPr>
          <w:rFonts w:hint="default" w:ascii="Times New Roman" w:hAnsi="Times New Roman" w:cs="Times New Roman"/>
          <w:color w:val="auto"/>
          <w:sz w:val="24"/>
          <w:highlight w:val="none"/>
        </w:rPr>
        <w:t>因此</w:t>
      </w:r>
      <w:r>
        <w:rPr>
          <w:rFonts w:hint="default" w:ascii="Times New Roman" w:hAnsi="Times New Roman" w:cs="Times New Roman"/>
          <w:color w:val="auto"/>
          <w:sz w:val="24"/>
          <w:highlight w:val="none"/>
          <w:lang w:eastAsia="zh-CN"/>
        </w:rPr>
        <w:t>以上指标</w:t>
      </w:r>
      <w:r>
        <w:rPr>
          <w:rFonts w:hint="default" w:ascii="Times New Roman" w:hAnsi="Times New Roman" w:cs="Times New Roman"/>
          <w:color w:val="auto"/>
          <w:sz w:val="24"/>
          <w:highlight w:val="none"/>
        </w:rPr>
        <w:t>不进行相对偏差的分析</w:t>
      </w:r>
      <w:r>
        <w:rPr>
          <w:rFonts w:hint="default" w:ascii="Times New Roman" w:hAnsi="Times New Roman" w:cs="Times New Roman"/>
          <w:color w:val="auto"/>
          <w:sz w:val="24"/>
          <w:highlight w:val="none"/>
          <w:lang w:eastAsia="zh-CN"/>
        </w:rPr>
        <w:t>。可</w:t>
      </w:r>
      <w:r>
        <w:rPr>
          <w:rFonts w:hint="default" w:ascii="Times New Roman" w:hAnsi="Times New Roman" w:cs="Times New Roman"/>
          <w:color w:val="auto"/>
          <w:sz w:val="24"/>
          <w:highlight w:val="none"/>
        </w:rPr>
        <w:t>检出</w:t>
      </w:r>
      <w:r>
        <w:rPr>
          <w:rFonts w:hint="default" w:ascii="Times New Roman" w:hAnsi="Times New Roman" w:cs="Times New Roman"/>
          <w:color w:val="auto"/>
          <w:sz w:val="24"/>
          <w:highlight w:val="none"/>
          <w:lang w:eastAsia="zh-CN"/>
        </w:rPr>
        <w:t>指标的</w:t>
      </w:r>
      <w:r>
        <w:rPr>
          <w:rFonts w:hint="default" w:ascii="Times New Roman" w:hAnsi="Times New Roman" w:cs="Times New Roman"/>
          <w:color w:val="auto"/>
          <w:sz w:val="24"/>
          <w:highlight w:val="none"/>
        </w:rPr>
        <w:t>相对偏差在0%~</w:t>
      </w:r>
      <w:r>
        <w:rPr>
          <w:rFonts w:hint="default" w:ascii="Times New Roman" w:hAnsi="Times New Roman" w:cs="Times New Roman"/>
          <w:color w:val="auto"/>
          <w:sz w:val="24"/>
          <w:highlight w:val="none"/>
          <w:lang w:val="en-US" w:eastAsia="zh-CN"/>
        </w:rPr>
        <w:t>5.88</w:t>
      </w:r>
      <w:r>
        <w:rPr>
          <w:rFonts w:hint="default" w:ascii="Times New Roman" w:hAnsi="Times New Roman" w:cs="Times New Roman"/>
          <w:color w:val="auto"/>
          <w:sz w:val="24"/>
          <w:highlight w:val="none"/>
        </w:rPr>
        <w:t>%，在允许范围内，具体质控结果见表</w:t>
      </w:r>
      <w:r>
        <w:rPr>
          <w:rFonts w:hint="default" w:ascii="Times New Roman" w:hAnsi="Times New Roman" w:cs="Times New Roman"/>
          <w:color w:val="auto"/>
          <w:sz w:val="24"/>
          <w:highlight w:val="none"/>
          <w:lang w:eastAsia="zh-CN"/>
        </w:rPr>
        <w:t>4-5</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p>
    <w:p w14:paraId="3CFFDC16">
      <w:pPr>
        <w:keepNext w:val="0"/>
        <w:keepLines w:val="0"/>
        <w:pageBreakBefore w:val="0"/>
        <w:widowControl w:val="0"/>
        <w:kinsoku/>
        <w:wordWrap/>
        <w:overflowPunct/>
        <w:topLinePunct w:val="0"/>
        <w:autoSpaceDE/>
        <w:autoSpaceDN/>
        <w:bidi w:val="0"/>
        <w:adjustRightInd/>
        <w:snapToGrid/>
        <w:spacing w:before="167" w:beforeLines="50" w:line="240" w:lineRule="auto"/>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
          <w:bCs/>
          <w:color w:val="auto"/>
          <w:sz w:val="24"/>
          <w:highlight w:val="none"/>
        </w:rPr>
        <w:t>表</w:t>
      </w:r>
      <w:r>
        <w:rPr>
          <w:rFonts w:hint="default" w:ascii="Times New Roman" w:hAnsi="Times New Roman" w:eastAsia="黑体" w:cs="Times New Roman"/>
          <w:b/>
          <w:bCs/>
          <w:color w:val="auto"/>
          <w:sz w:val="24"/>
          <w:highlight w:val="none"/>
          <w:lang w:eastAsia="zh-CN"/>
        </w:rPr>
        <w:t>4-5</w:t>
      </w:r>
      <w:r>
        <w:rPr>
          <w:rFonts w:hint="default" w:ascii="Times New Roman" w:hAnsi="Times New Roman" w:eastAsia="黑体" w:cs="Times New Roman"/>
          <w:b/>
          <w:bCs/>
          <w:color w:val="auto"/>
          <w:sz w:val="24"/>
          <w:highlight w:val="none"/>
        </w:rPr>
        <w:t>-</w:t>
      </w:r>
      <w:r>
        <w:rPr>
          <w:rFonts w:hint="default" w:ascii="Times New Roman" w:hAnsi="Times New Roman" w:eastAsia="黑体" w:cs="Times New Roman"/>
          <w:b/>
          <w:bCs/>
          <w:color w:val="auto"/>
          <w:sz w:val="24"/>
          <w:highlight w:val="none"/>
          <w:lang w:val="en-US" w:eastAsia="zh-CN"/>
        </w:rPr>
        <w:t>2 地下水</w:t>
      </w:r>
      <w:r>
        <w:rPr>
          <w:rFonts w:hint="default" w:ascii="Times New Roman" w:hAnsi="Times New Roman" w:eastAsia="黑体" w:cs="Times New Roman"/>
          <w:b/>
          <w:bCs/>
          <w:color w:val="auto"/>
          <w:sz w:val="24"/>
          <w:highlight w:val="none"/>
        </w:rPr>
        <w:t>平行盲样质控结果分析</w:t>
      </w:r>
    </w:p>
    <w:tbl>
      <w:tblPr>
        <w:tblStyle w:val="21"/>
        <w:tblW w:w="961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2035"/>
        <w:gridCol w:w="1411"/>
        <w:gridCol w:w="1411"/>
        <w:gridCol w:w="1515"/>
        <w:gridCol w:w="1080"/>
        <w:gridCol w:w="1080"/>
      </w:tblGrid>
      <w:tr w14:paraId="3FF2DA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restart"/>
            <w:tcBorders>
              <w:bottom w:val="single" w:color="auto" w:sz="12" w:space="0"/>
            </w:tcBorders>
            <w:shd w:val="clear" w:color="auto" w:fill="auto"/>
            <w:noWrap/>
            <w:tcMar>
              <w:top w:w="15" w:type="dxa"/>
              <w:left w:w="15" w:type="dxa"/>
              <w:right w:w="15" w:type="dxa"/>
            </w:tcMar>
            <w:vAlign w:val="center"/>
          </w:tcPr>
          <w:p w14:paraId="70A75C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样品类型</w:t>
            </w:r>
          </w:p>
        </w:tc>
        <w:tc>
          <w:tcPr>
            <w:tcW w:w="2035" w:type="dxa"/>
            <w:vMerge w:val="restart"/>
            <w:tcBorders>
              <w:bottom w:val="single" w:color="auto" w:sz="12" w:space="0"/>
            </w:tcBorders>
            <w:shd w:val="clear" w:color="auto" w:fill="auto"/>
            <w:noWrap/>
            <w:tcMar>
              <w:top w:w="15" w:type="dxa"/>
              <w:left w:w="15" w:type="dxa"/>
              <w:right w:w="15" w:type="dxa"/>
            </w:tcMar>
            <w:vAlign w:val="center"/>
          </w:tcPr>
          <w:p w14:paraId="3D0225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监测项目</w:t>
            </w:r>
          </w:p>
        </w:tc>
        <w:tc>
          <w:tcPr>
            <w:tcW w:w="2822" w:type="dxa"/>
            <w:gridSpan w:val="2"/>
            <w:tcBorders>
              <w:bottom w:val="single" w:color="auto" w:sz="4" w:space="0"/>
            </w:tcBorders>
            <w:shd w:val="clear" w:color="auto" w:fill="auto"/>
            <w:noWrap/>
            <w:tcMar>
              <w:top w:w="15" w:type="dxa"/>
              <w:left w:w="15" w:type="dxa"/>
              <w:right w:w="15" w:type="dxa"/>
            </w:tcMar>
            <w:vAlign w:val="center"/>
          </w:tcPr>
          <w:p w14:paraId="7A1169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监测结果</w:t>
            </w:r>
          </w:p>
        </w:tc>
        <w:tc>
          <w:tcPr>
            <w:tcW w:w="1515" w:type="dxa"/>
            <w:vMerge w:val="restart"/>
            <w:tcBorders>
              <w:bottom w:val="single" w:color="auto" w:sz="12" w:space="0"/>
            </w:tcBorders>
            <w:shd w:val="clear" w:color="auto" w:fill="auto"/>
            <w:noWrap/>
            <w:tcMar>
              <w:top w:w="15" w:type="dxa"/>
              <w:left w:w="15" w:type="dxa"/>
              <w:right w:w="15" w:type="dxa"/>
            </w:tcMar>
            <w:vAlign w:val="center"/>
          </w:tcPr>
          <w:p w14:paraId="3F8F02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相对偏差</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6D0E00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质控要求</w:t>
            </w:r>
            <w:r>
              <w:rPr>
                <w:rFonts w:hint="default" w:ascii="Times New Roman" w:hAnsi="Times New Roman" w:cs="Times New Roman"/>
                <w:b/>
                <w:i w:val="0"/>
                <w:color w:val="auto"/>
                <w:kern w:val="0"/>
                <w:sz w:val="21"/>
                <w:szCs w:val="21"/>
                <w:highlight w:val="none"/>
                <w:u w:val="none"/>
                <w:vertAlign w:val="superscript"/>
                <w:lang w:val="en-US" w:eastAsia="zh-CN" w:bidi="ar"/>
              </w:rPr>
              <w:t>①</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72BE1B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结果判定</w:t>
            </w:r>
          </w:p>
        </w:tc>
      </w:tr>
      <w:tr w14:paraId="32DCC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2EBAD6E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2035"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01A8C8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411" w:type="dxa"/>
            <w:tcBorders>
              <w:top w:val="single" w:color="auto" w:sz="4" w:space="0"/>
              <w:bottom w:val="single" w:color="auto" w:sz="12" w:space="0"/>
            </w:tcBorders>
            <w:shd w:val="clear" w:color="auto" w:fill="auto"/>
            <w:noWrap/>
            <w:tcMar>
              <w:top w:w="15" w:type="dxa"/>
              <w:left w:w="15" w:type="dxa"/>
              <w:right w:w="15" w:type="dxa"/>
            </w:tcMar>
            <w:vAlign w:val="center"/>
          </w:tcPr>
          <w:p w14:paraId="62D321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sz w:val="21"/>
                <w:szCs w:val="21"/>
                <w:highlight w:val="none"/>
                <w:u w:val="none"/>
                <w:lang w:val="en-US" w:eastAsia="zh-CN"/>
              </w:rPr>
              <w:t>EJK-W2</w:t>
            </w:r>
          </w:p>
        </w:tc>
        <w:tc>
          <w:tcPr>
            <w:tcW w:w="1411" w:type="dxa"/>
            <w:tcBorders>
              <w:top w:val="single" w:color="auto" w:sz="4" w:space="0"/>
              <w:bottom w:val="single" w:color="auto" w:sz="12" w:space="0"/>
            </w:tcBorders>
            <w:shd w:val="clear" w:color="auto" w:fill="auto"/>
            <w:noWrap/>
            <w:tcMar>
              <w:top w:w="15" w:type="dxa"/>
              <w:left w:w="15" w:type="dxa"/>
              <w:right w:w="15" w:type="dxa"/>
            </w:tcMar>
            <w:vAlign w:val="center"/>
          </w:tcPr>
          <w:p w14:paraId="00194F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EJK-W2</w:t>
            </w:r>
            <w:r>
              <w:rPr>
                <w:rFonts w:hint="default" w:ascii="Times New Roman" w:hAnsi="Times New Roman" w:cs="Times New Roman"/>
                <w:b/>
                <w:i w:val="0"/>
                <w:color w:val="auto"/>
                <w:sz w:val="21"/>
                <w:szCs w:val="21"/>
                <w:highlight w:val="none"/>
                <w:u w:val="none"/>
                <w:lang w:val="en-US" w:eastAsia="zh-CN"/>
              </w:rPr>
              <w:t>-px</w:t>
            </w:r>
          </w:p>
        </w:tc>
        <w:tc>
          <w:tcPr>
            <w:tcW w:w="1515"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7787723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0A3551F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2D684F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r>
      <w:tr w14:paraId="1D2AD1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restart"/>
            <w:tcBorders>
              <w:top w:val="single" w:color="auto" w:sz="12" w:space="0"/>
            </w:tcBorders>
            <w:shd w:val="clear" w:color="auto" w:fill="auto"/>
            <w:noWrap/>
            <w:tcMar>
              <w:top w:w="15" w:type="dxa"/>
              <w:left w:w="15" w:type="dxa"/>
              <w:right w:w="15" w:type="dxa"/>
            </w:tcMar>
            <w:vAlign w:val="center"/>
          </w:tcPr>
          <w:p w14:paraId="6BFC23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地下水</w:t>
            </w:r>
          </w:p>
        </w:tc>
        <w:tc>
          <w:tcPr>
            <w:tcW w:w="2035" w:type="dxa"/>
            <w:tcBorders>
              <w:top w:val="single" w:color="auto" w:sz="12" w:space="0"/>
            </w:tcBorders>
            <w:shd w:val="clear" w:color="auto" w:fill="auto"/>
            <w:noWrap/>
            <w:tcMar>
              <w:top w:w="15" w:type="dxa"/>
              <w:left w:w="15" w:type="dxa"/>
              <w:right w:w="15" w:type="dxa"/>
            </w:tcMar>
            <w:vAlign w:val="center"/>
          </w:tcPr>
          <w:p w14:paraId="1819DE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1411" w:type="dxa"/>
            <w:tcBorders>
              <w:top w:val="single" w:color="auto" w:sz="12" w:space="0"/>
            </w:tcBorders>
            <w:shd w:val="clear" w:color="auto" w:fill="auto"/>
            <w:noWrap/>
            <w:tcMar>
              <w:top w:w="15" w:type="dxa"/>
              <w:left w:w="15" w:type="dxa"/>
              <w:right w:w="15" w:type="dxa"/>
            </w:tcMar>
            <w:vAlign w:val="center"/>
          </w:tcPr>
          <w:p w14:paraId="2C163F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671</w:t>
            </w:r>
          </w:p>
        </w:tc>
        <w:tc>
          <w:tcPr>
            <w:tcW w:w="1411" w:type="dxa"/>
            <w:tcBorders>
              <w:top w:val="single" w:color="auto" w:sz="12" w:space="0"/>
            </w:tcBorders>
            <w:shd w:val="clear" w:color="auto" w:fill="auto"/>
            <w:noWrap/>
            <w:tcMar>
              <w:top w:w="15" w:type="dxa"/>
              <w:left w:w="15" w:type="dxa"/>
              <w:right w:w="15" w:type="dxa"/>
            </w:tcMar>
            <w:vAlign w:val="center"/>
          </w:tcPr>
          <w:p w14:paraId="5E1EB0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676</w:t>
            </w:r>
          </w:p>
        </w:tc>
        <w:tc>
          <w:tcPr>
            <w:tcW w:w="1515" w:type="dxa"/>
            <w:tcBorders>
              <w:top w:val="single" w:color="auto" w:sz="12" w:space="0"/>
            </w:tcBorders>
            <w:shd w:val="clear" w:color="auto" w:fill="auto"/>
            <w:noWrap/>
            <w:tcMar>
              <w:top w:w="15" w:type="dxa"/>
              <w:left w:w="15" w:type="dxa"/>
              <w:right w:w="15" w:type="dxa"/>
            </w:tcMar>
            <w:vAlign w:val="center"/>
          </w:tcPr>
          <w:p w14:paraId="2F07EA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0.37%</w:t>
            </w:r>
          </w:p>
        </w:tc>
        <w:tc>
          <w:tcPr>
            <w:tcW w:w="1080" w:type="dxa"/>
            <w:tcBorders>
              <w:top w:val="single" w:color="auto" w:sz="12" w:space="0"/>
            </w:tcBorders>
            <w:shd w:val="clear" w:color="auto" w:fill="auto"/>
            <w:noWrap/>
            <w:tcMar>
              <w:top w:w="15" w:type="dxa"/>
              <w:left w:w="15" w:type="dxa"/>
              <w:right w:w="15" w:type="dxa"/>
            </w:tcMar>
            <w:vAlign w:val="center"/>
          </w:tcPr>
          <w:p w14:paraId="33815D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op w:val="single" w:color="auto" w:sz="12" w:space="0"/>
            </w:tcBorders>
            <w:shd w:val="clear" w:color="auto" w:fill="auto"/>
            <w:noWrap/>
            <w:tcMar>
              <w:top w:w="15" w:type="dxa"/>
              <w:left w:w="15" w:type="dxa"/>
              <w:right w:w="15" w:type="dxa"/>
            </w:tcMar>
            <w:vAlign w:val="center"/>
          </w:tcPr>
          <w:p w14:paraId="41AC8D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57142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1E7BD9C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2F0B3D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1411" w:type="dxa"/>
            <w:tcBorders>
              <w:tl2br w:val="nil"/>
              <w:tr2bl w:val="nil"/>
            </w:tcBorders>
            <w:shd w:val="clear" w:color="auto" w:fill="auto"/>
            <w:noWrap/>
            <w:tcMar>
              <w:top w:w="15" w:type="dxa"/>
              <w:left w:w="15" w:type="dxa"/>
              <w:right w:w="15" w:type="dxa"/>
            </w:tcMar>
            <w:vAlign w:val="center"/>
          </w:tcPr>
          <w:p w14:paraId="275145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908</w:t>
            </w:r>
          </w:p>
        </w:tc>
        <w:tc>
          <w:tcPr>
            <w:tcW w:w="1411" w:type="dxa"/>
            <w:tcBorders>
              <w:tl2br w:val="nil"/>
              <w:tr2bl w:val="nil"/>
            </w:tcBorders>
            <w:shd w:val="clear" w:color="auto" w:fill="auto"/>
            <w:noWrap/>
            <w:tcMar>
              <w:top w:w="15" w:type="dxa"/>
              <w:left w:w="15" w:type="dxa"/>
              <w:right w:w="15" w:type="dxa"/>
            </w:tcMar>
            <w:vAlign w:val="center"/>
          </w:tcPr>
          <w:p w14:paraId="7CAA52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903</w:t>
            </w:r>
          </w:p>
        </w:tc>
        <w:tc>
          <w:tcPr>
            <w:tcW w:w="1515" w:type="dxa"/>
            <w:tcBorders>
              <w:tl2br w:val="nil"/>
              <w:tr2bl w:val="nil"/>
            </w:tcBorders>
            <w:shd w:val="clear" w:color="auto" w:fill="auto"/>
            <w:noWrap/>
            <w:tcMar>
              <w:top w:w="15" w:type="dxa"/>
              <w:left w:w="15" w:type="dxa"/>
              <w:right w:w="15" w:type="dxa"/>
            </w:tcMar>
            <w:vAlign w:val="center"/>
          </w:tcPr>
          <w:p w14:paraId="7139EC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0.28%</w:t>
            </w:r>
          </w:p>
        </w:tc>
        <w:tc>
          <w:tcPr>
            <w:tcW w:w="1080" w:type="dxa"/>
            <w:tcBorders>
              <w:tl2br w:val="nil"/>
              <w:tr2bl w:val="nil"/>
            </w:tcBorders>
            <w:shd w:val="clear" w:color="auto" w:fill="auto"/>
            <w:noWrap/>
            <w:tcMar>
              <w:top w:w="15" w:type="dxa"/>
              <w:left w:w="15" w:type="dxa"/>
              <w:right w:w="15" w:type="dxa"/>
            </w:tcMar>
            <w:vAlign w:val="center"/>
          </w:tcPr>
          <w:p w14:paraId="04DB95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728387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A8ABB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5DBD15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5B148C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耗氧量</w:t>
            </w:r>
          </w:p>
        </w:tc>
        <w:tc>
          <w:tcPr>
            <w:tcW w:w="1411" w:type="dxa"/>
            <w:tcBorders>
              <w:tl2br w:val="nil"/>
              <w:tr2bl w:val="nil"/>
            </w:tcBorders>
            <w:shd w:val="clear" w:color="auto" w:fill="auto"/>
            <w:noWrap/>
            <w:tcMar>
              <w:top w:w="15" w:type="dxa"/>
              <w:left w:w="15" w:type="dxa"/>
              <w:right w:w="15" w:type="dxa"/>
            </w:tcMar>
            <w:vAlign w:val="center"/>
          </w:tcPr>
          <w:p w14:paraId="518704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4.62</w:t>
            </w:r>
          </w:p>
        </w:tc>
        <w:tc>
          <w:tcPr>
            <w:tcW w:w="1411" w:type="dxa"/>
            <w:tcBorders>
              <w:tl2br w:val="nil"/>
              <w:tr2bl w:val="nil"/>
            </w:tcBorders>
            <w:shd w:val="clear" w:color="auto" w:fill="auto"/>
            <w:noWrap/>
            <w:tcMar>
              <w:top w:w="15" w:type="dxa"/>
              <w:left w:w="15" w:type="dxa"/>
              <w:right w:w="15" w:type="dxa"/>
            </w:tcMar>
            <w:vAlign w:val="center"/>
          </w:tcPr>
          <w:p w14:paraId="207552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4.7</w:t>
            </w:r>
          </w:p>
        </w:tc>
        <w:tc>
          <w:tcPr>
            <w:tcW w:w="1515" w:type="dxa"/>
            <w:tcBorders>
              <w:tl2br w:val="nil"/>
              <w:tr2bl w:val="nil"/>
            </w:tcBorders>
            <w:shd w:val="clear" w:color="auto" w:fill="auto"/>
            <w:noWrap/>
            <w:tcMar>
              <w:top w:w="15" w:type="dxa"/>
              <w:left w:w="15" w:type="dxa"/>
              <w:right w:w="15" w:type="dxa"/>
            </w:tcMar>
            <w:vAlign w:val="center"/>
          </w:tcPr>
          <w:p w14:paraId="3D3DDB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0.86%</w:t>
            </w:r>
          </w:p>
        </w:tc>
        <w:tc>
          <w:tcPr>
            <w:tcW w:w="1080" w:type="dxa"/>
            <w:tcBorders>
              <w:tl2br w:val="nil"/>
              <w:tr2bl w:val="nil"/>
            </w:tcBorders>
            <w:shd w:val="clear" w:color="auto" w:fill="auto"/>
            <w:noWrap/>
            <w:tcMar>
              <w:top w:w="15" w:type="dxa"/>
              <w:left w:w="15" w:type="dxa"/>
              <w:right w:w="15" w:type="dxa"/>
            </w:tcMar>
            <w:vAlign w:val="center"/>
          </w:tcPr>
          <w:p w14:paraId="3F8129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6AF234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7964B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CBBB3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3C6303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1411" w:type="dxa"/>
            <w:tcBorders>
              <w:tl2br w:val="nil"/>
              <w:tr2bl w:val="nil"/>
            </w:tcBorders>
            <w:shd w:val="clear" w:color="auto" w:fill="auto"/>
            <w:noWrap/>
            <w:tcMar>
              <w:top w:w="15" w:type="dxa"/>
              <w:left w:w="15" w:type="dxa"/>
              <w:right w:w="15" w:type="dxa"/>
            </w:tcMar>
            <w:vAlign w:val="center"/>
          </w:tcPr>
          <w:p w14:paraId="2909BA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1.22</w:t>
            </w:r>
          </w:p>
        </w:tc>
        <w:tc>
          <w:tcPr>
            <w:tcW w:w="1411" w:type="dxa"/>
            <w:tcBorders>
              <w:tl2br w:val="nil"/>
              <w:tr2bl w:val="nil"/>
            </w:tcBorders>
            <w:shd w:val="clear" w:color="auto" w:fill="auto"/>
            <w:noWrap/>
            <w:tcMar>
              <w:top w:w="15" w:type="dxa"/>
              <w:left w:w="15" w:type="dxa"/>
              <w:right w:w="15" w:type="dxa"/>
            </w:tcMar>
            <w:vAlign w:val="center"/>
          </w:tcPr>
          <w:p w14:paraId="4DFF5F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1.22</w:t>
            </w:r>
          </w:p>
        </w:tc>
        <w:tc>
          <w:tcPr>
            <w:tcW w:w="1515" w:type="dxa"/>
            <w:tcBorders>
              <w:tl2br w:val="nil"/>
              <w:tr2bl w:val="nil"/>
            </w:tcBorders>
            <w:shd w:val="clear" w:color="auto" w:fill="auto"/>
            <w:noWrap/>
            <w:tcMar>
              <w:top w:w="15" w:type="dxa"/>
              <w:left w:w="15" w:type="dxa"/>
              <w:right w:w="15" w:type="dxa"/>
            </w:tcMar>
            <w:vAlign w:val="center"/>
          </w:tcPr>
          <w:p w14:paraId="08F7DA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706C6F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4D981A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2628F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FC6AB7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3F0EB2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硝酸盐(以氮计)</w:t>
            </w:r>
          </w:p>
        </w:tc>
        <w:tc>
          <w:tcPr>
            <w:tcW w:w="1411" w:type="dxa"/>
            <w:tcBorders>
              <w:tl2br w:val="nil"/>
              <w:tr2bl w:val="nil"/>
            </w:tcBorders>
            <w:shd w:val="clear" w:color="auto" w:fill="auto"/>
            <w:noWrap/>
            <w:tcMar>
              <w:top w:w="15" w:type="dxa"/>
              <w:left w:w="15" w:type="dxa"/>
              <w:right w:w="15" w:type="dxa"/>
            </w:tcMar>
            <w:vAlign w:val="center"/>
          </w:tcPr>
          <w:p w14:paraId="353088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0.78</w:t>
            </w:r>
          </w:p>
        </w:tc>
        <w:tc>
          <w:tcPr>
            <w:tcW w:w="1411" w:type="dxa"/>
            <w:tcBorders>
              <w:tl2br w:val="nil"/>
              <w:tr2bl w:val="nil"/>
            </w:tcBorders>
            <w:shd w:val="clear" w:color="auto" w:fill="auto"/>
            <w:noWrap/>
            <w:tcMar>
              <w:top w:w="15" w:type="dxa"/>
              <w:left w:w="15" w:type="dxa"/>
              <w:right w:w="15" w:type="dxa"/>
            </w:tcMar>
            <w:vAlign w:val="center"/>
          </w:tcPr>
          <w:p w14:paraId="1B143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0.813</w:t>
            </w:r>
          </w:p>
        </w:tc>
        <w:tc>
          <w:tcPr>
            <w:tcW w:w="1515" w:type="dxa"/>
            <w:tcBorders>
              <w:tl2br w:val="nil"/>
              <w:tr2bl w:val="nil"/>
            </w:tcBorders>
            <w:shd w:val="clear" w:color="auto" w:fill="auto"/>
            <w:noWrap/>
            <w:tcMar>
              <w:top w:w="15" w:type="dxa"/>
              <w:left w:w="15" w:type="dxa"/>
              <w:right w:w="15" w:type="dxa"/>
            </w:tcMar>
            <w:vAlign w:val="center"/>
          </w:tcPr>
          <w:p w14:paraId="5B182C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2.07%</w:t>
            </w:r>
          </w:p>
        </w:tc>
        <w:tc>
          <w:tcPr>
            <w:tcW w:w="1080" w:type="dxa"/>
            <w:tcBorders>
              <w:tl2br w:val="nil"/>
              <w:tr2bl w:val="nil"/>
            </w:tcBorders>
            <w:shd w:val="clear" w:color="auto" w:fill="auto"/>
            <w:noWrap/>
            <w:tcMar>
              <w:top w:w="15" w:type="dxa"/>
              <w:left w:w="15" w:type="dxa"/>
              <w:right w:w="15" w:type="dxa"/>
            </w:tcMar>
            <w:vAlign w:val="center"/>
          </w:tcPr>
          <w:p w14:paraId="5A8859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6AB4B1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9B576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1E739D5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29A392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1411" w:type="dxa"/>
            <w:tcBorders>
              <w:tl2br w:val="nil"/>
              <w:tr2bl w:val="nil"/>
            </w:tcBorders>
            <w:shd w:val="clear" w:color="auto" w:fill="auto"/>
            <w:noWrap/>
            <w:tcMar>
              <w:top w:w="15" w:type="dxa"/>
              <w:left w:w="15" w:type="dxa"/>
              <w:right w:w="15" w:type="dxa"/>
            </w:tcMar>
            <w:vAlign w:val="center"/>
          </w:tcPr>
          <w:p w14:paraId="609689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13.2</w:t>
            </w:r>
          </w:p>
        </w:tc>
        <w:tc>
          <w:tcPr>
            <w:tcW w:w="1411" w:type="dxa"/>
            <w:tcBorders>
              <w:tl2br w:val="nil"/>
              <w:tr2bl w:val="nil"/>
            </w:tcBorders>
            <w:shd w:val="clear" w:color="auto" w:fill="auto"/>
            <w:noWrap/>
            <w:tcMar>
              <w:top w:w="15" w:type="dxa"/>
              <w:left w:w="15" w:type="dxa"/>
              <w:right w:w="15" w:type="dxa"/>
            </w:tcMar>
            <w:vAlign w:val="center"/>
          </w:tcPr>
          <w:p w14:paraId="2B1911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13.3</w:t>
            </w:r>
          </w:p>
        </w:tc>
        <w:tc>
          <w:tcPr>
            <w:tcW w:w="1515" w:type="dxa"/>
            <w:tcBorders>
              <w:tl2br w:val="nil"/>
              <w:tr2bl w:val="nil"/>
            </w:tcBorders>
            <w:shd w:val="clear" w:color="auto" w:fill="auto"/>
            <w:noWrap/>
            <w:tcMar>
              <w:top w:w="15" w:type="dxa"/>
              <w:left w:w="15" w:type="dxa"/>
              <w:right w:w="15" w:type="dxa"/>
            </w:tcMar>
            <w:vAlign w:val="center"/>
          </w:tcPr>
          <w:p w14:paraId="5C7188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0.38%</w:t>
            </w:r>
          </w:p>
        </w:tc>
        <w:tc>
          <w:tcPr>
            <w:tcW w:w="1080" w:type="dxa"/>
            <w:tcBorders>
              <w:tl2br w:val="nil"/>
              <w:tr2bl w:val="nil"/>
            </w:tcBorders>
            <w:shd w:val="clear" w:color="auto" w:fill="auto"/>
            <w:noWrap/>
            <w:tcMar>
              <w:top w:w="15" w:type="dxa"/>
              <w:left w:w="15" w:type="dxa"/>
              <w:right w:w="15" w:type="dxa"/>
            </w:tcMar>
            <w:vAlign w:val="center"/>
          </w:tcPr>
          <w:p w14:paraId="5839F5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24EF99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43DE25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73070AC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495247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总氟化物</w:t>
            </w:r>
          </w:p>
        </w:tc>
        <w:tc>
          <w:tcPr>
            <w:tcW w:w="1411" w:type="dxa"/>
            <w:tcBorders>
              <w:tl2br w:val="nil"/>
              <w:tr2bl w:val="nil"/>
            </w:tcBorders>
            <w:shd w:val="clear" w:color="auto" w:fill="auto"/>
            <w:noWrap/>
            <w:tcMar>
              <w:top w:w="15" w:type="dxa"/>
              <w:left w:w="15" w:type="dxa"/>
              <w:right w:w="15" w:type="dxa"/>
            </w:tcMar>
            <w:vAlign w:val="center"/>
          </w:tcPr>
          <w:p w14:paraId="028189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0.166</w:t>
            </w:r>
          </w:p>
        </w:tc>
        <w:tc>
          <w:tcPr>
            <w:tcW w:w="1411" w:type="dxa"/>
            <w:tcBorders>
              <w:tl2br w:val="nil"/>
              <w:tr2bl w:val="nil"/>
            </w:tcBorders>
            <w:shd w:val="clear" w:color="auto" w:fill="auto"/>
            <w:noWrap/>
            <w:tcMar>
              <w:top w:w="15" w:type="dxa"/>
              <w:left w:w="15" w:type="dxa"/>
              <w:right w:w="15" w:type="dxa"/>
            </w:tcMar>
            <w:vAlign w:val="center"/>
          </w:tcPr>
          <w:p w14:paraId="16AA0D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0.168</w:t>
            </w:r>
          </w:p>
        </w:tc>
        <w:tc>
          <w:tcPr>
            <w:tcW w:w="1515" w:type="dxa"/>
            <w:tcBorders>
              <w:tl2br w:val="nil"/>
              <w:tr2bl w:val="nil"/>
            </w:tcBorders>
            <w:shd w:val="clear" w:color="auto" w:fill="auto"/>
            <w:noWrap/>
            <w:tcMar>
              <w:top w:w="15" w:type="dxa"/>
              <w:left w:w="15" w:type="dxa"/>
              <w:right w:w="15" w:type="dxa"/>
            </w:tcMar>
            <w:vAlign w:val="center"/>
          </w:tcPr>
          <w:p w14:paraId="19EFB2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0.60%</w:t>
            </w:r>
          </w:p>
        </w:tc>
        <w:tc>
          <w:tcPr>
            <w:tcW w:w="1080" w:type="dxa"/>
            <w:tcBorders>
              <w:tl2br w:val="nil"/>
              <w:tr2bl w:val="nil"/>
            </w:tcBorders>
            <w:shd w:val="clear" w:color="auto" w:fill="auto"/>
            <w:noWrap/>
            <w:tcMar>
              <w:top w:w="15" w:type="dxa"/>
              <w:left w:w="15" w:type="dxa"/>
              <w:right w:w="15" w:type="dxa"/>
            </w:tcMar>
            <w:vAlign w:val="center"/>
          </w:tcPr>
          <w:p w14:paraId="5B597A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574E25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F864F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5A8029E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4C0D0A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阴离子表面活性剂</w:t>
            </w:r>
          </w:p>
        </w:tc>
        <w:tc>
          <w:tcPr>
            <w:tcW w:w="1411" w:type="dxa"/>
            <w:tcBorders>
              <w:tl2br w:val="nil"/>
              <w:tr2bl w:val="nil"/>
            </w:tcBorders>
            <w:shd w:val="clear" w:color="auto" w:fill="auto"/>
            <w:noWrap/>
            <w:tcMar>
              <w:top w:w="15" w:type="dxa"/>
              <w:left w:w="15" w:type="dxa"/>
              <w:right w:w="15" w:type="dxa"/>
            </w:tcMar>
            <w:vAlign w:val="center"/>
          </w:tcPr>
          <w:p w14:paraId="78A8AB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0.056</w:t>
            </w:r>
          </w:p>
        </w:tc>
        <w:tc>
          <w:tcPr>
            <w:tcW w:w="1411" w:type="dxa"/>
            <w:tcBorders>
              <w:tl2br w:val="nil"/>
              <w:tr2bl w:val="nil"/>
            </w:tcBorders>
            <w:shd w:val="clear" w:color="auto" w:fill="auto"/>
            <w:noWrap/>
            <w:tcMar>
              <w:top w:w="15" w:type="dxa"/>
              <w:left w:w="15" w:type="dxa"/>
              <w:right w:w="15" w:type="dxa"/>
            </w:tcMar>
            <w:vAlign w:val="center"/>
          </w:tcPr>
          <w:p w14:paraId="4510CF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0.058</w:t>
            </w:r>
          </w:p>
        </w:tc>
        <w:tc>
          <w:tcPr>
            <w:tcW w:w="1515" w:type="dxa"/>
            <w:tcBorders>
              <w:tl2br w:val="nil"/>
              <w:tr2bl w:val="nil"/>
            </w:tcBorders>
            <w:shd w:val="clear" w:color="auto" w:fill="auto"/>
            <w:noWrap/>
            <w:tcMar>
              <w:top w:w="15" w:type="dxa"/>
              <w:left w:w="15" w:type="dxa"/>
              <w:right w:w="15" w:type="dxa"/>
            </w:tcMar>
            <w:vAlign w:val="center"/>
          </w:tcPr>
          <w:p w14:paraId="07F6E6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1080" w:type="dxa"/>
            <w:tcBorders>
              <w:tl2br w:val="nil"/>
              <w:tr2bl w:val="nil"/>
            </w:tcBorders>
            <w:shd w:val="clear" w:color="auto" w:fill="auto"/>
            <w:noWrap/>
            <w:tcMar>
              <w:top w:w="15" w:type="dxa"/>
              <w:left w:w="15" w:type="dxa"/>
              <w:right w:w="15" w:type="dxa"/>
            </w:tcMar>
            <w:vAlign w:val="center"/>
          </w:tcPr>
          <w:p w14:paraId="522BA9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977DF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6F0D5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0D5920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27BD5D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p>
        </w:tc>
        <w:tc>
          <w:tcPr>
            <w:tcW w:w="1411" w:type="dxa"/>
            <w:tcBorders>
              <w:tl2br w:val="nil"/>
              <w:tr2bl w:val="nil"/>
            </w:tcBorders>
            <w:shd w:val="clear" w:color="auto" w:fill="auto"/>
            <w:noWrap/>
            <w:tcMar>
              <w:top w:w="15" w:type="dxa"/>
              <w:left w:w="15" w:type="dxa"/>
              <w:right w:w="15" w:type="dxa"/>
            </w:tcMar>
            <w:vAlign w:val="center"/>
          </w:tcPr>
          <w:p w14:paraId="1C5FFF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w:t>
            </w:r>
          </w:p>
        </w:tc>
        <w:tc>
          <w:tcPr>
            <w:tcW w:w="1411" w:type="dxa"/>
            <w:tcBorders>
              <w:tl2br w:val="nil"/>
              <w:tr2bl w:val="nil"/>
            </w:tcBorders>
            <w:shd w:val="clear" w:color="auto" w:fill="auto"/>
            <w:noWrap/>
            <w:tcMar>
              <w:top w:w="15" w:type="dxa"/>
              <w:left w:w="15" w:type="dxa"/>
              <w:right w:w="15" w:type="dxa"/>
            </w:tcMar>
            <w:vAlign w:val="center"/>
          </w:tcPr>
          <w:p w14:paraId="327477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1515" w:type="dxa"/>
            <w:tcBorders>
              <w:tl2br w:val="nil"/>
              <w:tr2bl w:val="nil"/>
            </w:tcBorders>
            <w:shd w:val="clear" w:color="auto" w:fill="auto"/>
            <w:noWrap/>
            <w:tcMar>
              <w:top w:w="15" w:type="dxa"/>
              <w:left w:w="15" w:type="dxa"/>
              <w:right w:w="15" w:type="dxa"/>
            </w:tcMar>
            <w:vAlign w:val="center"/>
          </w:tcPr>
          <w:p w14:paraId="4B41A9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5.88%</w:t>
            </w:r>
          </w:p>
        </w:tc>
        <w:tc>
          <w:tcPr>
            <w:tcW w:w="1080" w:type="dxa"/>
            <w:tcBorders>
              <w:tl2br w:val="nil"/>
              <w:tr2bl w:val="nil"/>
            </w:tcBorders>
            <w:shd w:val="clear" w:color="auto" w:fill="auto"/>
            <w:noWrap/>
            <w:tcMar>
              <w:top w:w="15" w:type="dxa"/>
              <w:left w:w="15" w:type="dxa"/>
              <w:right w:w="15" w:type="dxa"/>
            </w:tcMar>
            <w:vAlign w:val="center"/>
          </w:tcPr>
          <w:p w14:paraId="037AFD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5958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0630C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68BB34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018861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亚硝酸盐氮</w:t>
            </w:r>
          </w:p>
        </w:tc>
        <w:tc>
          <w:tcPr>
            <w:tcW w:w="1411" w:type="dxa"/>
            <w:tcBorders>
              <w:tl2br w:val="nil"/>
              <w:tr2bl w:val="nil"/>
            </w:tcBorders>
            <w:shd w:val="clear" w:color="auto" w:fill="auto"/>
            <w:noWrap/>
            <w:tcMar>
              <w:top w:w="15" w:type="dxa"/>
              <w:left w:w="15" w:type="dxa"/>
              <w:right w:w="15" w:type="dxa"/>
            </w:tcMar>
            <w:vAlign w:val="center"/>
          </w:tcPr>
          <w:p w14:paraId="5E8F1C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w:t>
            </w:r>
          </w:p>
        </w:tc>
        <w:tc>
          <w:tcPr>
            <w:tcW w:w="1411" w:type="dxa"/>
            <w:tcBorders>
              <w:tl2br w:val="nil"/>
              <w:tr2bl w:val="nil"/>
            </w:tcBorders>
            <w:shd w:val="clear" w:color="auto" w:fill="auto"/>
            <w:noWrap/>
            <w:tcMar>
              <w:top w:w="15" w:type="dxa"/>
              <w:left w:w="15" w:type="dxa"/>
              <w:right w:w="15" w:type="dxa"/>
            </w:tcMar>
            <w:vAlign w:val="center"/>
          </w:tcPr>
          <w:p w14:paraId="28CC20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w:t>
            </w:r>
          </w:p>
        </w:tc>
        <w:tc>
          <w:tcPr>
            <w:tcW w:w="1515" w:type="dxa"/>
            <w:tcBorders>
              <w:tl2br w:val="nil"/>
              <w:tr2bl w:val="nil"/>
            </w:tcBorders>
            <w:shd w:val="clear" w:color="auto" w:fill="auto"/>
            <w:noWrap/>
            <w:tcMar>
              <w:top w:w="15" w:type="dxa"/>
              <w:left w:w="15" w:type="dxa"/>
              <w:right w:w="15" w:type="dxa"/>
            </w:tcMar>
            <w:vAlign w:val="center"/>
          </w:tcPr>
          <w:p w14:paraId="264278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518EBA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0974DE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5CD8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052521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64CFDA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铁</w:t>
            </w:r>
          </w:p>
        </w:tc>
        <w:tc>
          <w:tcPr>
            <w:tcW w:w="1411" w:type="dxa"/>
            <w:tcBorders>
              <w:tl2br w:val="nil"/>
              <w:tr2bl w:val="nil"/>
            </w:tcBorders>
            <w:shd w:val="clear" w:color="auto" w:fill="auto"/>
            <w:noWrap/>
            <w:tcMar>
              <w:top w:w="15" w:type="dxa"/>
              <w:left w:w="15" w:type="dxa"/>
              <w:right w:w="15" w:type="dxa"/>
            </w:tcMar>
            <w:vAlign w:val="center"/>
          </w:tcPr>
          <w:p w14:paraId="708D8B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0.061</w:t>
            </w:r>
          </w:p>
        </w:tc>
        <w:tc>
          <w:tcPr>
            <w:tcW w:w="1411" w:type="dxa"/>
            <w:tcBorders>
              <w:tl2br w:val="nil"/>
              <w:tr2bl w:val="nil"/>
            </w:tcBorders>
            <w:shd w:val="clear" w:color="auto" w:fill="auto"/>
            <w:noWrap/>
            <w:tcMar>
              <w:top w:w="15" w:type="dxa"/>
              <w:left w:w="15" w:type="dxa"/>
              <w:right w:w="15" w:type="dxa"/>
            </w:tcMar>
            <w:vAlign w:val="center"/>
          </w:tcPr>
          <w:p w14:paraId="4BE0D5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w:t>
            </w:r>
          </w:p>
        </w:tc>
        <w:tc>
          <w:tcPr>
            <w:tcW w:w="1515" w:type="dxa"/>
            <w:tcBorders>
              <w:tl2br w:val="nil"/>
              <w:tr2bl w:val="nil"/>
            </w:tcBorders>
            <w:shd w:val="clear" w:color="auto" w:fill="auto"/>
            <w:noWrap/>
            <w:tcMar>
              <w:top w:w="15" w:type="dxa"/>
              <w:left w:w="15" w:type="dxa"/>
              <w:right w:w="15" w:type="dxa"/>
            </w:tcMar>
            <w:vAlign w:val="center"/>
          </w:tcPr>
          <w:p w14:paraId="3F5059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0.83%</w:t>
            </w:r>
          </w:p>
        </w:tc>
        <w:tc>
          <w:tcPr>
            <w:tcW w:w="1080" w:type="dxa"/>
            <w:tcBorders>
              <w:tl2br w:val="nil"/>
              <w:tr2bl w:val="nil"/>
            </w:tcBorders>
            <w:shd w:val="clear" w:color="auto" w:fill="auto"/>
            <w:noWrap/>
            <w:tcMar>
              <w:top w:w="15" w:type="dxa"/>
              <w:left w:w="15" w:type="dxa"/>
              <w:right w:w="15" w:type="dxa"/>
            </w:tcMar>
            <w:vAlign w:val="center"/>
          </w:tcPr>
          <w:p w14:paraId="7348B2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080" w:type="dxa"/>
            <w:tcBorders>
              <w:tl2br w:val="nil"/>
              <w:tr2bl w:val="nil"/>
            </w:tcBorders>
            <w:shd w:val="clear" w:color="auto" w:fill="auto"/>
            <w:noWrap/>
            <w:tcMar>
              <w:top w:w="15" w:type="dxa"/>
              <w:left w:w="15" w:type="dxa"/>
              <w:right w:w="15" w:type="dxa"/>
            </w:tcMar>
            <w:vAlign w:val="center"/>
          </w:tcPr>
          <w:p w14:paraId="239D97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CA460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6957FF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59884D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1411" w:type="dxa"/>
            <w:tcBorders>
              <w:tl2br w:val="nil"/>
              <w:tr2bl w:val="nil"/>
            </w:tcBorders>
            <w:shd w:val="clear" w:color="auto" w:fill="auto"/>
            <w:noWrap/>
            <w:tcMar>
              <w:top w:w="15" w:type="dxa"/>
              <w:left w:w="15" w:type="dxa"/>
              <w:right w:w="15" w:type="dxa"/>
            </w:tcMar>
            <w:vAlign w:val="center"/>
          </w:tcPr>
          <w:p w14:paraId="280C26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1.84</w:t>
            </w:r>
          </w:p>
        </w:tc>
        <w:tc>
          <w:tcPr>
            <w:tcW w:w="1411" w:type="dxa"/>
            <w:tcBorders>
              <w:tl2br w:val="nil"/>
              <w:tr2bl w:val="nil"/>
            </w:tcBorders>
            <w:shd w:val="clear" w:color="auto" w:fill="auto"/>
            <w:noWrap/>
            <w:tcMar>
              <w:top w:w="15" w:type="dxa"/>
              <w:left w:w="15" w:type="dxa"/>
              <w:right w:w="15" w:type="dxa"/>
            </w:tcMar>
            <w:vAlign w:val="center"/>
          </w:tcPr>
          <w:p w14:paraId="3D0F83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1.85</w:t>
            </w:r>
          </w:p>
        </w:tc>
        <w:tc>
          <w:tcPr>
            <w:tcW w:w="1515" w:type="dxa"/>
            <w:tcBorders>
              <w:tl2br w:val="nil"/>
              <w:tr2bl w:val="nil"/>
            </w:tcBorders>
            <w:shd w:val="clear" w:color="auto" w:fill="auto"/>
            <w:noWrap/>
            <w:tcMar>
              <w:top w:w="15" w:type="dxa"/>
              <w:left w:w="15" w:type="dxa"/>
              <w:right w:w="15" w:type="dxa"/>
            </w:tcMar>
            <w:vAlign w:val="center"/>
          </w:tcPr>
          <w:p w14:paraId="31FF22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0.27%</w:t>
            </w:r>
          </w:p>
        </w:tc>
        <w:tc>
          <w:tcPr>
            <w:tcW w:w="1080" w:type="dxa"/>
            <w:tcBorders>
              <w:tl2br w:val="nil"/>
              <w:tr2bl w:val="nil"/>
            </w:tcBorders>
            <w:shd w:val="clear" w:color="auto" w:fill="auto"/>
            <w:noWrap/>
            <w:tcMar>
              <w:top w:w="15" w:type="dxa"/>
              <w:left w:w="15" w:type="dxa"/>
              <w:right w:w="15" w:type="dxa"/>
            </w:tcMar>
            <w:vAlign w:val="center"/>
          </w:tcPr>
          <w:p w14:paraId="05B70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3715AD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BAC3F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78F802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009CCB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1411" w:type="dxa"/>
            <w:tcBorders>
              <w:tl2br w:val="nil"/>
              <w:tr2bl w:val="nil"/>
            </w:tcBorders>
            <w:shd w:val="clear" w:color="auto" w:fill="auto"/>
            <w:noWrap/>
            <w:tcMar>
              <w:top w:w="15" w:type="dxa"/>
              <w:left w:w="15" w:type="dxa"/>
              <w:right w:w="15" w:type="dxa"/>
            </w:tcMar>
            <w:vAlign w:val="center"/>
          </w:tcPr>
          <w:p w14:paraId="0D77BE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49.4</w:t>
            </w:r>
          </w:p>
        </w:tc>
        <w:tc>
          <w:tcPr>
            <w:tcW w:w="1411" w:type="dxa"/>
            <w:tcBorders>
              <w:tl2br w:val="nil"/>
              <w:tr2bl w:val="nil"/>
            </w:tcBorders>
            <w:shd w:val="clear" w:color="auto" w:fill="auto"/>
            <w:noWrap/>
            <w:tcMar>
              <w:top w:w="15" w:type="dxa"/>
              <w:left w:w="15" w:type="dxa"/>
              <w:right w:w="15" w:type="dxa"/>
            </w:tcMar>
            <w:vAlign w:val="center"/>
          </w:tcPr>
          <w:p w14:paraId="26DCD0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49.1</w:t>
            </w:r>
          </w:p>
        </w:tc>
        <w:tc>
          <w:tcPr>
            <w:tcW w:w="1515" w:type="dxa"/>
            <w:tcBorders>
              <w:tl2br w:val="nil"/>
              <w:tr2bl w:val="nil"/>
            </w:tcBorders>
            <w:shd w:val="clear" w:color="auto" w:fill="auto"/>
            <w:noWrap/>
            <w:tcMar>
              <w:top w:w="15" w:type="dxa"/>
              <w:left w:w="15" w:type="dxa"/>
              <w:right w:w="15" w:type="dxa"/>
            </w:tcMar>
            <w:vAlign w:val="center"/>
          </w:tcPr>
          <w:p w14:paraId="473A9C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0.30%</w:t>
            </w:r>
          </w:p>
        </w:tc>
        <w:tc>
          <w:tcPr>
            <w:tcW w:w="1080" w:type="dxa"/>
            <w:tcBorders>
              <w:tl2br w:val="nil"/>
              <w:tr2bl w:val="nil"/>
            </w:tcBorders>
            <w:shd w:val="clear" w:color="auto" w:fill="auto"/>
            <w:noWrap/>
            <w:tcMar>
              <w:top w:w="15" w:type="dxa"/>
              <w:left w:w="15" w:type="dxa"/>
              <w:right w:w="15" w:type="dxa"/>
            </w:tcMar>
            <w:vAlign w:val="center"/>
          </w:tcPr>
          <w:p w14:paraId="7DAE9B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0C5FD9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448CC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5213FF2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040D73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411" w:type="dxa"/>
            <w:tcBorders>
              <w:tl2br w:val="nil"/>
              <w:tr2bl w:val="nil"/>
            </w:tcBorders>
            <w:shd w:val="clear" w:color="auto" w:fill="auto"/>
            <w:noWrap/>
            <w:tcMar>
              <w:top w:w="15" w:type="dxa"/>
              <w:left w:w="15" w:type="dxa"/>
              <w:right w:w="15" w:type="dxa"/>
            </w:tcMar>
            <w:vAlign w:val="center"/>
          </w:tcPr>
          <w:p w14:paraId="75788C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0.0232</w:t>
            </w:r>
          </w:p>
        </w:tc>
        <w:tc>
          <w:tcPr>
            <w:tcW w:w="1411" w:type="dxa"/>
            <w:tcBorders>
              <w:tl2br w:val="nil"/>
              <w:tr2bl w:val="nil"/>
            </w:tcBorders>
            <w:shd w:val="clear" w:color="auto" w:fill="auto"/>
            <w:noWrap/>
            <w:tcMar>
              <w:top w:w="15" w:type="dxa"/>
              <w:left w:w="15" w:type="dxa"/>
              <w:right w:w="15" w:type="dxa"/>
            </w:tcMar>
            <w:vAlign w:val="center"/>
          </w:tcPr>
          <w:p w14:paraId="34B801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0.0242</w:t>
            </w:r>
          </w:p>
        </w:tc>
        <w:tc>
          <w:tcPr>
            <w:tcW w:w="1515" w:type="dxa"/>
            <w:tcBorders>
              <w:tl2br w:val="nil"/>
              <w:tr2bl w:val="nil"/>
            </w:tcBorders>
            <w:shd w:val="clear" w:color="auto" w:fill="auto"/>
            <w:noWrap/>
            <w:tcMar>
              <w:top w:w="15" w:type="dxa"/>
              <w:left w:w="15" w:type="dxa"/>
              <w:right w:w="15" w:type="dxa"/>
            </w:tcMar>
            <w:vAlign w:val="center"/>
          </w:tcPr>
          <w:p w14:paraId="4DA601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2.11%</w:t>
            </w:r>
          </w:p>
        </w:tc>
        <w:tc>
          <w:tcPr>
            <w:tcW w:w="1080" w:type="dxa"/>
            <w:tcBorders>
              <w:tl2br w:val="nil"/>
              <w:tr2bl w:val="nil"/>
            </w:tcBorders>
            <w:shd w:val="clear" w:color="auto" w:fill="auto"/>
            <w:noWrap/>
            <w:tcMar>
              <w:top w:w="15" w:type="dxa"/>
              <w:left w:w="15" w:type="dxa"/>
              <w:right w:w="15" w:type="dxa"/>
            </w:tcMar>
            <w:vAlign w:val="center"/>
          </w:tcPr>
          <w:p w14:paraId="65C101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67B451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92BC5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76A6A5F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3D7F08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1411" w:type="dxa"/>
            <w:tcBorders>
              <w:tl2br w:val="nil"/>
              <w:tr2bl w:val="nil"/>
            </w:tcBorders>
            <w:shd w:val="clear" w:color="auto" w:fill="auto"/>
            <w:noWrap/>
            <w:tcMar>
              <w:top w:w="15" w:type="dxa"/>
              <w:left w:w="15" w:type="dxa"/>
              <w:right w:w="15" w:type="dxa"/>
            </w:tcMar>
            <w:vAlign w:val="center"/>
          </w:tcPr>
          <w:p w14:paraId="6EFC83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w:t>
            </w:r>
          </w:p>
        </w:tc>
        <w:tc>
          <w:tcPr>
            <w:tcW w:w="1411" w:type="dxa"/>
            <w:tcBorders>
              <w:tl2br w:val="nil"/>
              <w:tr2bl w:val="nil"/>
            </w:tcBorders>
            <w:shd w:val="clear" w:color="auto" w:fill="auto"/>
            <w:noWrap/>
            <w:tcMar>
              <w:top w:w="15" w:type="dxa"/>
              <w:left w:w="15" w:type="dxa"/>
              <w:right w:w="15" w:type="dxa"/>
            </w:tcMar>
            <w:vAlign w:val="center"/>
          </w:tcPr>
          <w:p w14:paraId="7EDFD6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w:t>
            </w:r>
          </w:p>
        </w:tc>
        <w:tc>
          <w:tcPr>
            <w:tcW w:w="1515" w:type="dxa"/>
            <w:tcBorders>
              <w:tl2br w:val="nil"/>
              <w:tr2bl w:val="nil"/>
            </w:tcBorders>
            <w:shd w:val="clear" w:color="auto" w:fill="auto"/>
            <w:noWrap/>
            <w:tcMar>
              <w:top w:w="15" w:type="dxa"/>
              <w:left w:w="15" w:type="dxa"/>
              <w:right w:w="15" w:type="dxa"/>
            </w:tcMar>
            <w:vAlign w:val="center"/>
          </w:tcPr>
          <w:p w14:paraId="140FC5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3885A5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A11E9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bl>
    <w:p w14:paraId="7D39547A">
      <w:pPr>
        <w:rPr>
          <w:rFonts w:hint="default" w:ascii="Times New Roman" w:hAnsi="Times New Roman" w:cs="Times New Roman"/>
          <w:b/>
          <w:bCs/>
          <w:sz w:val="18"/>
          <w:szCs w:val="18"/>
          <w:highlight w:val="none"/>
        </w:rPr>
      </w:pPr>
      <w:r>
        <w:rPr>
          <w:rFonts w:hint="default" w:ascii="Times New Roman" w:hAnsi="Times New Roman" w:cs="Times New Roman"/>
          <w:b/>
          <w:bCs/>
          <w:sz w:val="18"/>
          <w:szCs w:val="18"/>
          <w:highlight w:val="none"/>
        </w:rPr>
        <w:t>注：①地下水监测项目的质控要求来源为实验室监测报告中给出的质控要求，较该指标分析测试方法规定的质控要求更严。</w:t>
      </w:r>
    </w:p>
    <w:p w14:paraId="00F998B4">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样品的保存和运输</w:t>
      </w:r>
    </w:p>
    <w:p w14:paraId="07D52730">
      <w:pPr>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在土壤样品标签上注明样品编号、采样日期等信息。在样品制备完成后低温保存，并及时送至实验室分析。</w:t>
      </w:r>
    </w:p>
    <w:p w14:paraId="4C3425D3">
      <w:pPr>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样品发货前重复核对采样记录表、样品标签等信息。样品送到实验室后，双方人员同时清点核实样品，并在样品流转单上签字确认。</w:t>
      </w:r>
    </w:p>
    <w:p w14:paraId="70AFC186">
      <w:pPr>
        <w:pStyle w:val="4"/>
        <w:keepNext/>
        <w:keepLines/>
        <w:pageBreakBefore w:val="0"/>
        <w:widowControl w:val="0"/>
        <w:kinsoku/>
        <w:wordWrap/>
        <w:overflowPunct/>
        <w:topLinePunct w:val="0"/>
        <w:autoSpaceDE/>
        <w:autoSpaceDN/>
        <w:bidi w:val="0"/>
        <w:adjustRightInd/>
        <w:snapToGrid/>
        <w:ind w:left="567" w:hanging="567"/>
        <w:textAlignment w:val="auto"/>
        <w:rPr>
          <w:rFonts w:hint="default" w:ascii="Times New Roman" w:hAnsi="Times New Roman" w:cs="Times New Roman"/>
          <w:color w:val="auto"/>
          <w:highlight w:val="none"/>
        </w:rPr>
      </w:pPr>
      <w:bookmarkStart w:id="54" w:name="_Toc26899"/>
      <w:bookmarkStart w:id="55" w:name="_Toc26843"/>
      <w:r>
        <w:rPr>
          <w:rFonts w:hint="default" w:ascii="Times New Roman" w:hAnsi="Times New Roman" w:cs="Times New Roman"/>
          <w:color w:val="auto"/>
          <w:highlight w:val="none"/>
        </w:rPr>
        <w:t>实验室质量控制</w:t>
      </w:r>
      <w:bookmarkEnd w:id="54"/>
      <w:bookmarkEnd w:id="55"/>
    </w:p>
    <w:p w14:paraId="2285EFA9">
      <w:pPr>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项目样品分析选择拥有中国计量认证资质证书（CMA）的第三方实验室进行样品的监测，实验室拥有健全的环境监测设备以及专业的管理人员和技术人员。实验室对送入实验室的样品首先核对采样单、容器编号、包装情况、保存条件及有效期等，符合要求的样品方可开展分析监测，并按照规范采用标准流程分析样品。</w:t>
      </w:r>
    </w:p>
    <w:p w14:paraId="20022DF1">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实验室样品分析质量控制主要为内部质量控制，由实验室自主实施。通过各项质控措施以及相应的质控指标体系来保证实验室分析流程质量可控，检测结果准确可靠。</w:t>
      </w:r>
    </w:p>
    <w:p w14:paraId="1D54CAB1">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实验室空白</w:t>
      </w:r>
    </w:p>
    <w:p w14:paraId="2BC6BD5C">
      <w:pPr>
        <w:spacing w:line="360" w:lineRule="auto"/>
        <w:ind w:left="1"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检测实验室对所有检测项目均进行了实验室空白样品检测分析，据质控报告</w:t>
      </w:r>
      <w:r>
        <w:rPr>
          <w:rFonts w:hint="default" w:ascii="Times New Roman" w:hAnsi="Times New Roman" w:cs="Times New Roman"/>
          <w:snapToGrid w:val="0"/>
          <w:color w:val="auto"/>
          <w:kern w:val="0"/>
          <w:sz w:val="24"/>
          <w:highlight w:val="none"/>
          <w:lang w:eastAsia="zh-CN"/>
        </w:rPr>
        <w:t>BJ20A0692</w:t>
      </w:r>
      <w:r>
        <w:rPr>
          <w:rFonts w:hint="default" w:ascii="Times New Roman" w:hAnsi="Times New Roman" w:cs="Times New Roman"/>
          <w:snapToGrid w:val="0"/>
          <w:color w:val="auto"/>
          <w:kern w:val="0"/>
          <w:sz w:val="24"/>
          <w:highlight w:val="none"/>
        </w:rPr>
        <w:t>和</w:t>
      </w:r>
      <w:r>
        <w:rPr>
          <w:rFonts w:hint="default" w:ascii="Times New Roman" w:hAnsi="Times New Roman" w:cs="Times New Roman"/>
          <w:snapToGrid w:val="0"/>
          <w:color w:val="auto"/>
          <w:kern w:val="0"/>
          <w:sz w:val="24"/>
          <w:highlight w:val="none"/>
          <w:lang w:eastAsia="zh-CN"/>
        </w:rPr>
        <w:t>BJ20A0770</w:t>
      </w:r>
      <w:r>
        <w:rPr>
          <w:rFonts w:hint="default" w:ascii="Times New Roman" w:hAnsi="Times New Roman" w:cs="Times New Roman"/>
          <w:color w:val="auto"/>
          <w:sz w:val="24"/>
          <w:highlight w:val="none"/>
        </w:rPr>
        <w:t>检测结果，实验室空白样品检测结果均低于报告检出限，表明分析过程中未引入污染物。</w:t>
      </w:r>
    </w:p>
    <w:p w14:paraId="63B484FE">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精密度控制</w:t>
      </w:r>
    </w:p>
    <w:p w14:paraId="332989AB">
      <w:pPr>
        <w:spacing w:line="360" w:lineRule="auto"/>
        <w:ind w:left="1"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本次土壤样品检测实验室内精密度平行双样测试样品中有机污染物指标</w:t>
      </w:r>
      <w:r>
        <w:rPr>
          <w:rFonts w:hint="default" w:ascii="Times New Roman" w:hAnsi="Times New Roman" w:cs="Times New Roman"/>
          <w:color w:val="auto"/>
          <w:sz w:val="24"/>
          <w:highlight w:val="none"/>
          <w:lang w:eastAsia="zh-CN"/>
        </w:rPr>
        <w:t>、石油烃（</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10</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40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，重金属</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均未检出，因此不进行偏差分析。根据质控报告</w:t>
      </w:r>
      <w:r>
        <w:rPr>
          <w:rFonts w:hint="default" w:ascii="Times New Roman" w:hAnsi="Times New Roman" w:cs="Times New Roman"/>
          <w:snapToGrid w:val="0"/>
          <w:color w:val="auto"/>
          <w:kern w:val="0"/>
          <w:sz w:val="24"/>
          <w:highlight w:val="none"/>
          <w:lang w:eastAsia="zh-CN"/>
        </w:rPr>
        <w:t>BJ20A0692</w:t>
      </w:r>
      <w:r>
        <w:rPr>
          <w:rFonts w:hint="default" w:ascii="Times New Roman" w:hAnsi="Times New Roman" w:cs="Times New Roman"/>
          <w:snapToGrid w:val="0"/>
          <w:color w:val="auto"/>
          <w:kern w:val="0"/>
          <w:sz w:val="24"/>
          <w:highlight w:val="none"/>
        </w:rPr>
        <w:t>和</w:t>
      </w:r>
      <w:r>
        <w:rPr>
          <w:rFonts w:hint="default" w:ascii="Times New Roman" w:hAnsi="Times New Roman" w:cs="Times New Roman"/>
          <w:snapToGrid w:val="0"/>
          <w:color w:val="auto"/>
          <w:kern w:val="0"/>
          <w:sz w:val="24"/>
          <w:highlight w:val="none"/>
          <w:lang w:eastAsia="zh-CN"/>
        </w:rPr>
        <w:t>BJ20A0770</w:t>
      </w:r>
      <w:r>
        <w:rPr>
          <w:rFonts w:hint="default" w:ascii="Times New Roman" w:hAnsi="Times New Roman" w:cs="Times New Roman"/>
          <w:snapToGrid w:val="0"/>
          <w:color w:val="auto"/>
          <w:kern w:val="0"/>
          <w:sz w:val="24"/>
          <w:highlight w:val="none"/>
        </w:rPr>
        <w:t>，土壤pH值实验室平行样相对偏差为0，</w:t>
      </w:r>
      <w:r>
        <w:rPr>
          <w:rFonts w:hint="default" w:ascii="Times New Roman" w:hAnsi="Times New Roman" w:cs="Times New Roman"/>
          <w:snapToGrid w:val="0"/>
          <w:color w:val="auto"/>
          <w:kern w:val="0"/>
          <w:sz w:val="24"/>
          <w:highlight w:val="none"/>
          <w:lang w:eastAsia="zh-CN"/>
        </w:rPr>
        <w:t>总氟化物实验室平行样相对偏差为</w:t>
      </w:r>
      <w:r>
        <w:rPr>
          <w:rFonts w:hint="default" w:ascii="Times New Roman" w:hAnsi="Times New Roman" w:cs="Times New Roman"/>
          <w:snapToGrid w:val="0"/>
          <w:color w:val="auto"/>
          <w:kern w:val="0"/>
          <w:sz w:val="24"/>
          <w:highlight w:val="none"/>
          <w:lang w:val="en-US" w:eastAsia="zh-CN"/>
        </w:rPr>
        <w:t>0.6%，</w:t>
      </w:r>
      <w:r>
        <w:rPr>
          <w:rFonts w:hint="default" w:ascii="Times New Roman" w:hAnsi="Times New Roman" w:cs="Times New Roman"/>
          <w:color w:val="auto"/>
          <w:sz w:val="24"/>
          <w:highlight w:val="none"/>
        </w:rPr>
        <w:t>土壤重金属室内平行样相对偏差范围为 0.0%~</w:t>
      </w:r>
      <w:r>
        <w:rPr>
          <w:rFonts w:hint="default" w:ascii="Times New Roman" w:hAnsi="Times New Roman" w:cs="Times New Roman"/>
          <w:color w:val="auto"/>
          <w:sz w:val="24"/>
          <w:highlight w:val="none"/>
          <w:lang w:val="en-US" w:eastAsia="zh-CN"/>
        </w:rPr>
        <w:t>5.3</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均</w:t>
      </w:r>
      <w:r>
        <w:rPr>
          <w:rFonts w:hint="default" w:ascii="Times New Roman" w:hAnsi="Times New Roman" w:cs="Times New Roman"/>
          <w:color w:val="auto"/>
          <w:sz w:val="24"/>
          <w:highlight w:val="none"/>
        </w:rPr>
        <w:t>在允许质控要求范围内</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质控测试数据详见质控报告</w:t>
      </w:r>
      <w:r>
        <w:rPr>
          <w:rFonts w:hint="default" w:ascii="Times New Roman" w:hAnsi="Times New Roman" w:cs="Times New Roman"/>
          <w:color w:val="auto"/>
          <w:sz w:val="24"/>
          <w:highlight w:val="none"/>
          <w:lang w:eastAsia="zh-CN"/>
        </w:rPr>
        <w:t>。</w:t>
      </w:r>
    </w:p>
    <w:p w14:paraId="4F99356F">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准确度控制</w:t>
      </w:r>
    </w:p>
    <w:p w14:paraId="04340DAD">
      <w:pPr>
        <w:numPr>
          <w:ilvl w:val="0"/>
          <w:numId w:val="0"/>
        </w:numPr>
        <w:spacing w:line="360" w:lineRule="auto"/>
        <w:ind w:left="481" w:leftChars="0"/>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eastAsia="zh-CN"/>
        </w:rPr>
        <w:t>（</w:t>
      </w:r>
      <w:r>
        <w:rPr>
          <w:rFonts w:hint="default" w:ascii="Times New Roman" w:hAnsi="Times New Roman" w:cs="Times New Roman"/>
          <w:b/>
          <w:bCs/>
          <w:color w:val="auto"/>
          <w:kern w:val="0"/>
          <w:sz w:val="24"/>
          <w:highlight w:val="none"/>
          <w:lang w:val="en-US" w:eastAsia="zh-CN"/>
        </w:rPr>
        <w:t>1</w:t>
      </w:r>
      <w:r>
        <w:rPr>
          <w:rFonts w:hint="default" w:ascii="Times New Roman" w:hAnsi="Times New Roman" w:cs="Times New Roman"/>
          <w:b/>
          <w:bCs/>
          <w:color w:val="auto"/>
          <w:kern w:val="0"/>
          <w:sz w:val="24"/>
          <w:highlight w:val="none"/>
          <w:lang w:eastAsia="zh-CN"/>
        </w:rPr>
        <w:t>）</w:t>
      </w:r>
      <w:r>
        <w:rPr>
          <w:rFonts w:hint="default" w:ascii="Times New Roman" w:hAnsi="Times New Roman" w:cs="Times New Roman"/>
          <w:b/>
          <w:bCs/>
          <w:color w:val="auto"/>
          <w:kern w:val="0"/>
          <w:sz w:val="24"/>
          <w:highlight w:val="none"/>
        </w:rPr>
        <w:t>有证标准物质质控</w:t>
      </w:r>
    </w:p>
    <w:p w14:paraId="3B82480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按照《土壤和沉积物</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铜、锌、铅、镍、铬的测定 火焰原子吸收分光光度法》（HJ 491-2019）测试方法中质量保证与质量控制要求，检测实验室</w:t>
      </w:r>
      <w:r>
        <w:rPr>
          <w:rFonts w:hint="default" w:ascii="Times New Roman" w:hAnsi="Times New Roman" w:cs="Times New Roman"/>
          <w:color w:val="auto"/>
          <w:sz w:val="24"/>
          <w:highlight w:val="none"/>
          <w:lang w:eastAsia="zh-CN"/>
        </w:rPr>
        <w:t>对总氟化物同步测定了</w:t>
      </w:r>
      <w:r>
        <w:rPr>
          <w:rFonts w:hint="default" w:ascii="Times New Roman" w:hAnsi="Times New Roman" w:cs="Times New Roman"/>
          <w:color w:val="auto"/>
          <w:sz w:val="24"/>
          <w:highlight w:val="none"/>
          <w:lang w:val="en-US" w:eastAsia="zh-CN"/>
        </w:rPr>
        <w:t>2个有证标准样品，</w:t>
      </w:r>
      <w:r>
        <w:rPr>
          <w:rFonts w:hint="default" w:ascii="Times New Roman" w:hAnsi="Times New Roman" w:cs="Times New Roman"/>
          <w:color w:val="auto"/>
          <w:sz w:val="24"/>
          <w:highlight w:val="none"/>
        </w:rPr>
        <w:t>对重金属指标铜</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镍</w:t>
      </w:r>
      <w:r>
        <w:rPr>
          <w:rFonts w:hint="default" w:ascii="Times New Roman" w:hAnsi="Times New Roman" w:cs="Times New Roman"/>
          <w:color w:val="auto"/>
          <w:sz w:val="24"/>
          <w:highlight w:val="none"/>
          <w:lang w:eastAsia="zh-CN"/>
        </w:rPr>
        <w:t>、铬、锌</w:t>
      </w:r>
      <w:r>
        <w:rPr>
          <w:rFonts w:hint="default" w:ascii="Times New Roman" w:hAnsi="Times New Roman" w:cs="Times New Roman"/>
          <w:color w:val="auto"/>
          <w:sz w:val="24"/>
          <w:highlight w:val="none"/>
        </w:rPr>
        <w:t>同步测定了1个有证标准样品，有证标准样品测试结果在有证标准样品证书标准值上、下限范围内（其中</w:t>
      </w:r>
      <w:r>
        <w:rPr>
          <w:rFonts w:hint="default" w:ascii="Times New Roman" w:hAnsi="Times New Roman" w:cs="Times New Roman"/>
          <w:color w:val="auto"/>
          <w:sz w:val="24"/>
          <w:highlight w:val="none"/>
          <w:lang w:eastAsia="zh-CN"/>
        </w:rPr>
        <w:t>总氟化物</w:t>
      </w:r>
      <w:r>
        <w:rPr>
          <w:rFonts w:hint="default" w:ascii="Times New Roman" w:hAnsi="Times New Roman" w:cs="Times New Roman"/>
          <w:color w:val="auto"/>
          <w:sz w:val="24"/>
          <w:highlight w:val="none"/>
          <w:lang w:val="en-US" w:eastAsia="zh-CN"/>
        </w:rPr>
        <w:t>684~762、</w:t>
      </w:r>
      <w:r>
        <w:rPr>
          <w:rFonts w:hint="default" w:ascii="Times New Roman" w:hAnsi="Times New Roman" w:cs="Times New Roman"/>
          <w:color w:val="auto"/>
          <w:sz w:val="24"/>
          <w:highlight w:val="none"/>
        </w:rPr>
        <w:t>铜41~</w:t>
      </w:r>
      <w:r>
        <w:rPr>
          <w:rFonts w:hint="default" w:ascii="Times New Roman" w:hAnsi="Times New Roman" w:cs="Times New Roman"/>
          <w:color w:val="auto"/>
          <w:sz w:val="24"/>
          <w:highlight w:val="none"/>
          <w:lang w:val="en-US" w:eastAsia="zh-CN"/>
        </w:rPr>
        <w:t>45</w:t>
      </w:r>
      <w:r>
        <w:rPr>
          <w:rFonts w:hint="default" w:ascii="Times New Roman" w:hAnsi="Times New Roman" w:cs="Times New Roman"/>
          <w:color w:val="auto"/>
          <w:sz w:val="24"/>
          <w:highlight w:val="none"/>
        </w:rPr>
        <w:t>，镍34~38</w:t>
      </w:r>
      <w:r>
        <w:rPr>
          <w:rFonts w:hint="default" w:ascii="Times New Roman" w:hAnsi="Times New Roman" w:cs="Times New Roman"/>
          <w:color w:val="auto"/>
          <w:sz w:val="24"/>
          <w:highlight w:val="none"/>
          <w:lang w:eastAsia="zh-CN"/>
        </w:rPr>
        <w:t>，铬</w:t>
      </w:r>
      <w:r>
        <w:rPr>
          <w:rFonts w:hint="default" w:ascii="Times New Roman" w:hAnsi="Times New Roman" w:cs="Times New Roman"/>
          <w:color w:val="auto"/>
          <w:sz w:val="24"/>
          <w:highlight w:val="none"/>
          <w:lang w:val="en-US" w:eastAsia="zh-CN"/>
        </w:rPr>
        <w:t>77~85，锌89~95</w:t>
      </w:r>
      <w:r>
        <w:rPr>
          <w:rFonts w:hint="default" w:ascii="Times New Roman" w:hAnsi="Times New Roman" w:cs="Times New Roman"/>
          <w:color w:val="auto"/>
          <w:sz w:val="24"/>
          <w:highlight w:val="none"/>
        </w:rPr>
        <w:t>），本次质控结果合格。</w:t>
      </w:r>
    </w:p>
    <w:p w14:paraId="54375736">
      <w:pPr>
        <w:bidi w:val="0"/>
        <w:ind w:firstLine="420" w:firstLineChars="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w:t>
      </w:r>
      <w:r>
        <w:rPr>
          <w:rFonts w:hint="default" w:ascii="Times New Roman" w:hAnsi="Times New Roman" w:cs="Times New Roman"/>
          <w:b/>
          <w:bCs/>
          <w:color w:val="auto"/>
          <w:highlight w:val="none"/>
          <w:lang w:val="en-US" w:eastAsia="zh-CN"/>
        </w:rPr>
        <w:t>2</w:t>
      </w:r>
      <w:r>
        <w:rPr>
          <w:rFonts w:hint="default" w:ascii="Times New Roman" w:hAnsi="Times New Roman" w:cs="Times New Roman"/>
          <w:b/>
          <w:bCs/>
          <w:color w:val="auto"/>
          <w:highlight w:val="none"/>
          <w:lang w:eastAsia="zh-CN"/>
        </w:rPr>
        <w:t>）土壤样品</w:t>
      </w:r>
      <w:r>
        <w:rPr>
          <w:rFonts w:hint="default" w:ascii="Times New Roman" w:hAnsi="Times New Roman" w:cs="Times New Roman"/>
          <w:b/>
          <w:bCs/>
          <w:color w:val="auto"/>
          <w:highlight w:val="none"/>
        </w:rPr>
        <w:t>空白加标/基体加标回收质控</w:t>
      </w:r>
      <w:r>
        <w:rPr>
          <w:rFonts w:hint="default" w:ascii="Times New Roman" w:hAnsi="Times New Roman" w:cs="Times New Roman"/>
          <w:b/>
          <w:bCs/>
          <w:color w:val="auto"/>
          <w:highlight w:val="none"/>
          <w:lang w:eastAsia="zh-CN"/>
        </w:rPr>
        <w:t>结果</w:t>
      </w:r>
    </w:p>
    <w:p w14:paraId="766F5C6E">
      <w:pPr>
        <w:numPr>
          <w:ilvl w:val="0"/>
          <w:numId w:val="0"/>
        </w:numPr>
        <w:spacing w:line="360" w:lineRule="auto"/>
        <w:ind w:firstLine="42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①</w:t>
      </w:r>
      <w:r>
        <w:rPr>
          <w:rFonts w:hint="default" w:ascii="Times New Roman" w:hAnsi="Times New Roman" w:cs="Times New Roman"/>
          <w:color w:val="auto"/>
          <w:sz w:val="24"/>
          <w:highlight w:val="none"/>
        </w:rPr>
        <w:t>铅、汞、隔、砷</w:t>
      </w:r>
      <w:r>
        <w:rPr>
          <w:rFonts w:hint="default" w:ascii="Times New Roman" w:hAnsi="Times New Roman" w:cs="Times New Roman"/>
          <w:color w:val="auto"/>
          <w:sz w:val="24"/>
          <w:highlight w:val="none"/>
          <w:lang w:eastAsia="zh-CN"/>
        </w:rPr>
        <w:t>、钴、钼、锑</w:t>
      </w:r>
      <w:r>
        <w:rPr>
          <w:rFonts w:hint="default" w:ascii="Times New Roman" w:hAnsi="Times New Roman" w:cs="Times New Roman"/>
          <w:color w:val="auto"/>
          <w:sz w:val="24"/>
          <w:highlight w:val="none"/>
        </w:rPr>
        <w:t>等重金属空白加标回收率范围为9</w:t>
      </w:r>
      <w:r>
        <w:rPr>
          <w:rFonts w:hint="default" w:ascii="Times New Roman" w:hAnsi="Times New Roman" w:cs="Times New Roman"/>
          <w:color w:val="auto"/>
          <w:sz w:val="24"/>
          <w:highlight w:val="none"/>
          <w:lang w:val="en-US" w:eastAsia="zh-CN"/>
        </w:rPr>
        <w:t>3.7</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110</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%，在允许加标回收范围（80%~120%）内</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基体加标回收率范围为</w:t>
      </w:r>
      <w:r>
        <w:rPr>
          <w:rFonts w:hint="default" w:ascii="Times New Roman" w:hAnsi="Times New Roman" w:cs="Times New Roman"/>
          <w:color w:val="auto"/>
          <w:sz w:val="24"/>
          <w:highlight w:val="none"/>
          <w:lang w:val="en-US" w:eastAsia="zh-CN"/>
        </w:rPr>
        <w:t>70.0~98.4</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70</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125</w:t>
      </w:r>
      <w:r>
        <w:rPr>
          <w:rFonts w:hint="default" w:ascii="Times New Roman" w:hAnsi="Times New Roman" w:cs="Times New Roman"/>
          <w:color w:val="auto"/>
          <w:sz w:val="24"/>
          <w:highlight w:val="none"/>
        </w:rPr>
        <w:t>%）内</w:t>
      </w:r>
      <w:r>
        <w:rPr>
          <w:rFonts w:hint="default" w:ascii="Times New Roman" w:hAnsi="Times New Roman" w:cs="Times New Roman"/>
          <w:color w:val="auto"/>
          <w:sz w:val="24"/>
          <w:highlight w:val="none"/>
          <w:lang w:eastAsia="zh-CN"/>
        </w:rPr>
        <w:t>；</w:t>
      </w:r>
    </w:p>
    <w:p w14:paraId="7F4C195F">
      <w:pPr>
        <w:numPr>
          <w:ilvl w:val="0"/>
          <w:numId w:val="0"/>
        </w:numPr>
        <w:spacing w:line="360" w:lineRule="auto"/>
        <w:ind w:firstLine="42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②石油烃（</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10</w:t>
      </w:r>
      <w:r>
        <w:rPr>
          <w:rFonts w:hint="default" w:ascii="Times New Roman" w:hAnsi="Times New Roman" w:cs="Times New Roman"/>
          <w:color w:val="auto"/>
          <w:sz w:val="24"/>
          <w:highlight w:val="none"/>
          <w:lang w:val="en-US" w:eastAsia="zh-CN"/>
        </w:rPr>
        <w:t>-C</w:t>
      </w:r>
      <w:r>
        <w:rPr>
          <w:rFonts w:hint="default" w:ascii="Times New Roman" w:hAnsi="Times New Roman" w:cs="Times New Roman"/>
          <w:color w:val="auto"/>
          <w:sz w:val="24"/>
          <w:highlight w:val="none"/>
          <w:vertAlign w:val="subscript"/>
          <w:lang w:val="en-US" w:eastAsia="zh-CN"/>
        </w:rPr>
        <w:t>40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加标回收率为</w:t>
      </w:r>
      <w:r>
        <w:rPr>
          <w:rFonts w:hint="default" w:ascii="Times New Roman" w:hAnsi="Times New Roman" w:cs="Times New Roman"/>
          <w:color w:val="auto"/>
          <w:sz w:val="24"/>
          <w:highlight w:val="none"/>
          <w:lang w:val="en-US" w:eastAsia="zh-CN"/>
        </w:rPr>
        <w:t>100.0</w:t>
      </w:r>
      <w:r>
        <w:rPr>
          <w:rFonts w:hint="default" w:ascii="Times New Roman" w:hAnsi="Times New Roman" w:cs="Times New Roman"/>
          <w:color w:val="auto"/>
          <w:sz w:val="24"/>
          <w:highlight w:val="none"/>
        </w:rPr>
        <w:t>%，在允许加标回收范围（70%~12</w:t>
      </w:r>
      <w:r>
        <w:rPr>
          <w:rFonts w:hint="default"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%）内</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基体加标回收率范围为</w:t>
      </w:r>
      <w:r>
        <w:rPr>
          <w:rFonts w:hint="default" w:ascii="Times New Roman" w:hAnsi="Times New Roman" w:cs="Times New Roman"/>
          <w:color w:val="auto"/>
          <w:sz w:val="24"/>
          <w:highlight w:val="none"/>
          <w:lang w:val="en-US" w:eastAsia="zh-CN"/>
        </w:rPr>
        <w:t>81.9</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50</w:t>
      </w: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0%）内</w:t>
      </w:r>
      <w:r>
        <w:rPr>
          <w:rFonts w:hint="default" w:ascii="Times New Roman" w:hAnsi="Times New Roman" w:cs="Times New Roman"/>
          <w:color w:val="auto"/>
          <w:sz w:val="24"/>
          <w:highlight w:val="none"/>
          <w:lang w:eastAsia="zh-CN"/>
        </w:rPr>
        <w:t>；</w:t>
      </w:r>
    </w:p>
    <w:p w14:paraId="43E2D777">
      <w:pPr>
        <w:numPr>
          <w:ilvl w:val="0"/>
          <w:numId w:val="0"/>
        </w:numPr>
        <w:spacing w:line="360" w:lineRule="auto"/>
        <w:ind w:firstLine="42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③</w:t>
      </w:r>
      <w:r>
        <w:rPr>
          <w:rFonts w:hint="default" w:ascii="Times New Roman" w:hAnsi="Times New Roman" w:cs="Times New Roman"/>
          <w:color w:val="auto"/>
          <w:sz w:val="24"/>
          <w:highlight w:val="none"/>
        </w:rPr>
        <w:t>挥发性有机物空白加标回收率范围为</w:t>
      </w:r>
      <w:r>
        <w:rPr>
          <w:rFonts w:hint="default" w:ascii="Times New Roman" w:hAnsi="Times New Roman" w:cs="Times New Roman"/>
          <w:color w:val="auto"/>
          <w:sz w:val="24"/>
          <w:highlight w:val="none"/>
          <w:lang w:val="en-US" w:eastAsia="zh-CN"/>
        </w:rPr>
        <w:t>72.4</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124.2</w:t>
      </w:r>
      <w:r>
        <w:rPr>
          <w:rFonts w:hint="default" w:ascii="Times New Roman" w:hAnsi="Times New Roman" w:cs="Times New Roman"/>
          <w:color w:val="auto"/>
          <w:sz w:val="24"/>
          <w:highlight w:val="none"/>
        </w:rPr>
        <w:t>%，在允许加标回收范围（70%~130%）内，基体加标回收率范围为</w:t>
      </w:r>
      <w:r>
        <w:rPr>
          <w:rFonts w:hint="default" w:ascii="Times New Roman" w:hAnsi="Times New Roman" w:cs="Times New Roman"/>
          <w:color w:val="auto"/>
          <w:sz w:val="24"/>
          <w:highlight w:val="none"/>
          <w:lang w:val="en-US" w:eastAsia="zh-CN"/>
        </w:rPr>
        <w:t>68.4</w:t>
      </w:r>
      <w:r>
        <w:rPr>
          <w:rFonts w:hint="default" w:ascii="Times New Roman" w:hAnsi="Times New Roman" w:cs="Times New Roman"/>
          <w:color w:val="auto"/>
          <w:sz w:val="24"/>
          <w:highlight w:val="none"/>
        </w:rPr>
        <w:t>%~12</w:t>
      </w:r>
      <w:r>
        <w:rPr>
          <w:rFonts w:hint="default" w:ascii="Times New Roman" w:hAnsi="Times New Roman" w:cs="Times New Roman"/>
          <w:color w:val="auto"/>
          <w:sz w:val="24"/>
          <w:highlight w:val="none"/>
          <w:lang w:val="en-US" w:eastAsia="zh-CN"/>
        </w:rPr>
        <w:t>4.9</w:t>
      </w:r>
      <w:r>
        <w:rPr>
          <w:rFonts w:hint="default" w:ascii="Times New Roman" w:hAnsi="Times New Roman" w:cs="Times New Roman"/>
          <w:color w:val="auto"/>
          <w:sz w:val="24"/>
          <w:highlight w:val="none"/>
        </w:rPr>
        <w:t>%，在允许加标回收范围（70%~130%）内</w:t>
      </w:r>
      <w:r>
        <w:rPr>
          <w:rFonts w:hint="default" w:ascii="Times New Roman" w:hAnsi="Times New Roman" w:cs="Times New Roman"/>
          <w:color w:val="auto"/>
          <w:sz w:val="24"/>
          <w:highlight w:val="none"/>
          <w:lang w:eastAsia="zh-CN"/>
        </w:rPr>
        <w:t>；</w:t>
      </w:r>
    </w:p>
    <w:p w14:paraId="183D8473">
      <w:pPr>
        <w:numPr>
          <w:ilvl w:val="0"/>
          <w:numId w:val="0"/>
        </w:numPr>
        <w:spacing w:line="360" w:lineRule="auto"/>
        <w:ind w:firstLine="420" w:firstLineChars="0"/>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④</w:t>
      </w:r>
      <w:r>
        <w:rPr>
          <w:rFonts w:hint="default" w:ascii="Times New Roman" w:hAnsi="Times New Roman" w:cs="Times New Roman"/>
          <w:color w:val="auto"/>
          <w:sz w:val="24"/>
          <w:highlight w:val="none"/>
        </w:rPr>
        <w:t>半挥发性有机物空白加标回收率为</w:t>
      </w:r>
      <w:r>
        <w:rPr>
          <w:rFonts w:hint="default" w:ascii="Times New Roman" w:hAnsi="Times New Roman" w:cs="Times New Roman"/>
          <w:color w:val="auto"/>
          <w:sz w:val="24"/>
          <w:highlight w:val="none"/>
          <w:lang w:val="en-US" w:eastAsia="zh-CN"/>
        </w:rPr>
        <w:t>85.1</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113.0</w:t>
      </w:r>
      <w:r>
        <w:rPr>
          <w:rFonts w:hint="default" w:ascii="Times New Roman" w:hAnsi="Times New Roman" w:cs="Times New Roman"/>
          <w:color w:val="auto"/>
          <w:sz w:val="24"/>
          <w:highlight w:val="none"/>
        </w:rPr>
        <w:t>%，在允许加标回收范围（50%~130%）内，基体加标回收率为50.3%~</w:t>
      </w:r>
      <w:r>
        <w:rPr>
          <w:rFonts w:hint="default" w:ascii="Times New Roman" w:hAnsi="Times New Roman" w:cs="Times New Roman"/>
          <w:color w:val="auto"/>
          <w:sz w:val="24"/>
          <w:highlight w:val="none"/>
          <w:lang w:val="en-US" w:eastAsia="zh-CN"/>
        </w:rPr>
        <w:t>127.4</w:t>
      </w:r>
      <w:r>
        <w:rPr>
          <w:rFonts w:hint="default" w:ascii="Times New Roman" w:hAnsi="Times New Roman" w:cs="Times New Roman"/>
          <w:color w:val="auto"/>
          <w:sz w:val="24"/>
          <w:highlight w:val="none"/>
        </w:rPr>
        <w:t>%，在允许加标回收范围（50%~130%）内</w:t>
      </w:r>
      <w:r>
        <w:rPr>
          <w:rFonts w:hint="eastAsia" w:cs="Times New Roman"/>
          <w:color w:val="auto"/>
          <w:sz w:val="24"/>
          <w:highlight w:val="none"/>
          <w:lang w:eastAsia="zh-CN"/>
        </w:rPr>
        <w:t>；</w:t>
      </w:r>
    </w:p>
    <w:p w14:paraId="217A2D1F">
      <w:pPr>
        <w:numPr>
          <w:ilvl w:val="0"/>
          <w:numId w:val="0"/>
        </w:numPr>
        <w:spacing w:line="360" w:lineRule="auto"/>
        <w:ind w:firstLine="42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⑤多氯联苯</w:t>
      </w:r>
      <w:r>
        <w:rPr>
          <w:rFonts w:hint="default" w:ascii="Times New Roman" w:hAnsi="Times New Roman" w:cs="Times New Roman"/>
          <w:color w:val="auto"/>
          <w:sz w:val="24"/>
          <w:highlight w:val="none"/>
        </w:rPr>
        <w:t>空白加标回收率为</w:t>
      </w:r>
      <w:r>
        <w:rPr>
          <w:rFonts w:hint="default" w:ascii="Times New Roman" w:hAnsi="Times New Roman" w:cs="Times New Roman"/>
          <w:color w:val="auto"/>
          <w:sz w:val="24"/>
          <w:highlight w:val="none"/>
          <w:lang w:val="en-US" w:eastAsia="zh-CN"/>
        </w:rPr>
        <w:t>88.0</w:t>
      </w: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12.0</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0%~130%）内</w:t>
      </w:r>
      <w:r>
        <w:rPr>
          <w:rFonts w:hint="default" w:ascii="Times New Roman" w:hAnsi="Times New Roman" w:cs="Times New Roman"/>
          <w:color w:val="auto"/>
          <w:sz w:val="24"/>
          <w:highlight w:val="none"/>
          <w:lang w:eastAsia="zh-CN"/>
        </w:rPr>
        <w:t>；</w:t>
      </w:r>
    </w:p>
    <w:p w14:paraId="5056CFF4">
      <w:pPr>
        <w:numPr>
          <w:ilvl w:val="0"/>
          <w:numId w:val="0"/>
        </w:numPr>
        <w:spacing w:line="360" w:lineRule="auto"/>
        <w:ind w:firstLine="42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⑥苯胺</w:t>
      </w:r>
      <w:r>
        <w:rPr>
          <w:rFonts w:hint="default" w:ascii="Times New Roman" w:hAnsi="Times New Roman" w:cs="Times New Roman"/>
          <w:color w:val="auto"/>
          <w:sz w:val="24"/>
          <w:highlight w:val="none"/>
        </w:rPr>
        <w:t>空白加标回收率为</w:t>
      </w:r>
      <w:r>
        <w:rPr>
          <w:rFonts w:hint="default" w:ascii="Times New Roman" w:hAnsi="Times New Roman" w:cs="Times New Roman"/>
          <w:color w:val="auto"/>
          <w:sz w:val="24"/>
          <w:highlight w:val="none"/>
          <w:lang w:val="en-US" w:eastAsia="zh-CN"/>
        </w:rPr>
        <w:t>85.1</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0%~1</w:t>
      </w:r>
      <w:r>
        <w:rPr>
          <w:rFonts w:hint="default"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0%）内</w:t>
      </w:r>
      <w:r>
        <w:rPr>
          <w:rFonts w:hint="default" w:ascii="Times New Roman" w:hAnsi="Times New Roman" w:cs="Times New Roman"/>
          <w:color w:val="auto"/>
          <w:sz w:val="24"/>
          <w:highlight w:val="none"/>
          <w:lang w:eastAsia="zh-CN"/>
        </w:rPr>
        <w:t>。</w:t>
      </w:r>
    </w:p>
    <w:p w14:paraId="0E1665F9">
      <w:pPr>
        <w:bidi w:val="0"/>
        <w:ind w:firstLine="420" w:firstLineChars="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w:t>
      </w:r>
      <w:r>
        <w:rPr>
          <w:rFonts w:hint="default" w:ascii="Times New Roman" w:hAnsi="Times New Roman" w:cs="Times New Roman"/>
          <w:b/>
          <w:bCs/>
          <w:color w:val="auto"/>
          <w:highlight w:val="none"/>
          <w:lang w:val="en-US" w:eastAsia="zh-CN"/>
        </w:rPr>
        <w:t>3</w:t>
      </w:r>
      <w:r>
        <w:rPr>
          <w:rFonts w:hint="default" w:ascii="Times New Roman" w:hAnsi="Times New Roman" w:cs="Times New Roman"/>
          <w:b/>
          <w:bCs/>
          <w:color w:val="auto"/>
          <w:highlight w:val="none"/>
          <w:lang w:eastAsia="zh-CN"/>
        </w:rPr>
        <w:t>）地下水样品</w:t>
      </w:r>
      <w:r>
        <w:rPr>
          <w:rFonts w:hint="default" w:ascii="Times New Roman" w:hAnsi="Times New Roman" w:cs="Times New Roman"/>
          <w:b/>
          <w:bCs/>
          <w:color w:val="auto"/>
          <w:highlight w:val="none"/>
        </w:rPr>
        <w:t>空白加标/基体加标回收质控</w:t>
      </w:r>
      <w:r>
        <w:rPr>
          <w:rFonts w:hint="default" w:ascii="Times New Roman" w:hAnsi="Times New Roman" w:cs="Times New Roman"/>
          <w:b/>
          <w:bCs/>
          <w:color w:val="auto"/>
          <w:highlight w:val="none"/>
          <w:lang w:eastAsia="zh-CN"/>
        </w:rPr>
        <w:t>结果</w:t>
      </w:r>
    </w:p>
    <w:p w14:paraId="0C674406">
      <w:pPr>
        <w:numPr>
          <w:ilvl w:val="0"/>
          <w:numId w:val="0"/>
        </w:numPr>
        <w:spacing w:line="360" w:lineRule="auto"/>
        <w:ind w:firstLine="420" w:firstLineChars="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①氰化物的加标回收率为</w:t>
      </w:r>
      <w:r>
        <w:rPr>
          <w:rFonts w:hint="default" w:ascii="Times New Roman" w:hAnsi="Times New Roman" w:cs="Times New Roman"/>
          <w:color w:val="auto"/>
          <w:sz w:val="24"/>
          <w:highlight w:val="none"/>
          <w:lang w:val="en-US" w:eastAsia="zh-CN"/>
        </w:rPr>
        <w:t>93.8</w:t>
      </w:r>
      <w:r>
        <w:rPr>
          <w:rFonts w:hint="default" w:ascii="Times New Roman" w:hAnsi="Times New Roman" w:cs="Times New Roman"/>
          <w:color w:val="auto"/>
          <w:sz w:val="24"/>
          <w:highlight w:val="none"/>
        </w:rPr>
        <w:t>%，在允许加标回收范围（8</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115</w:t>
      </w:r>
      <w:r>
        <w:rPr>
          <w:rFonts w:hint="default" w:ascii="Times New Roman" w:hAnsi="Times New Roman" w:cs="Times New Roman"/>
          <w:color w:val="auto"/>
          <w:sz w:val="24"/>
          <w:highlight w:val="none"/>
        </w:rPr>
        <w:t>%）内</w:t>
      </w:r>
      <w:r>
        <w:rPr>
          <w:rFonts w:hint="eastAsia" w:cs="Times New Roman"/>
          <w:color w:val="auto"/>
          <w:sz w:val="24"/>
          <w:highlight w:val="none"/>
          <w:lang w:eastAsia="zh-CN"/>
        </w:rPr>
        <w:t>；</w:t>
      </w:r>
    </w:p>
    <w:p w14:paraId="7F935BD0">
      <w:pPr>
        <w:numPr>
          <w:ilvl w:val="0"/>
          <w:numId w:val="0"/>
        </w:numPr>
        <w:spacing w:line="360" w:lineRule="auto"/>
        <w:ind w:firstLine="420" w:firstLineChars="0"/>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②三氯甲烷</w:t>
      </w:r>
      <w:r>
        <w:rPr>
          <w:rFonts w:hint="default" w:ascii="Times New Roman" w:hAnsi="Times New Roman" w:cs="Times New Roman"/>
          <w:color w:val="auto"/>
          <w:sz w:val="24"/>
          <w:highlight w:val="none"/>
        </w:rPr>
        <w:t>空白加标回收率范围为</w:t>
      </w:r>
      <w:r>
        <w:rPr>
          <w:rFonts w:hint="default" w:ascii="Times New Roman" w:hAnsi="Times New Roman" w:cs="Times New Roman"/>
          <w:color w:val="auto"/>
          <w:sz w:val="24"/>
          <w:highlight w:val="none"/>
          <w:lang w:val="en-US" w:eastAsia="zh-CN"/>
        </w:rPr>
        <w:t>85.0</w:t>
      </w:r>
      <w:r>
        <w:rPr>
          <w:rFonts w:hint="default" w:ascii="Times New Roman" w:hAnsi="Times New Roman" w:cs="Times New Roman"/>
          <w:color w:val="auto"/>
          <w:sz w:val="24"/>
          <w:highlight w:val="none"/>
        </w:rPr>
        <w:t>~128</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80</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120</w:t>
      </w:r>
      <w:r>
        <w:rPr>
          <w:rFonts w:hint="default" w:ascii="Times New Roman" w:hAnsi="Times New Roman" w:cs="Times New Roman"/>
          <w:color w:val="auto"/>
          <w:sz w:val="24"/>
          <w:highlight w:val="none"/>
        </w:rPr>
        <w:t>%）内，基体加标回收率范围为</w:t>
      </w:r>
      <w:r>
        <w:rPr>
          <w:rFonts w:hint="default" w:ascii="Times New Roman" w:hAnsi="Times New Roman" w:cs="Times New Roman"/>
          <w:color w:val="auto"/>
          <w:sz w:val="24"/>
          <w:highlight w:val="none"/>
          <w:lang w:val="en-US" w:eastAsia="zh-CN"/>
        </w:rPr>
        <w:t>101</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eastAsia" w:cs="Times New Roman"/>
          <w:color w:val="auto"/>
          <w:sz w:val="24"/>
          <w:highlight w:val="none"/>
          <w:lang w:eastAsia="zh-CN"/>
        </w:rPr>
        <w:t>；</w:t>
      </w:r>
    </w:p>
    <w:p w14:paraId="4CAC6A66">
      <w:pPr>
        <w:numPr>
          <w:ilvl w:val="0"/>
          <w:numId w:val="0"/>
        </w:numPr>
        <w:spacing w:line="360" w:lineRule="auto"/>
        <w:ind w:firstLine="42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③四氯化碳</w:t>
      </w:r>
      <w:r>
        <w:rPr>
          <w:rFonts w:hint="default" w:ascii="Times New Roman" w:hAnsi="Times New Roman" w:cs="Times New Roman"/>
          <w:color w:val="auto"/>
          <w:sz w:val="24"/>
          <w:highlight w:val="none"/>
        </w:rPr>
        <w:t>空白加标回收率为</w:t>
      </w:r>
      <w:r>
        <w:rPr>
          <w:rFonts w:hint="default" w:ascii="Times New Roman" w:hAnsi="Times New Roman" w:cs="Times New Roman"/>
          <w:color w:val="auto"/>
          <w:sz w:val="24"/>
          <w:highlight w:val="none"/>
          <w:lang w:val="en-US" w:eastAsia="zh-CN"/>
        </w:rPr>
        <w:t>85.0</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80</w:t>
      </w: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0%）内，基体加标回收率为</w:t>
      </w:r>
      <w:r>
        <w:rPr>
          <w:rFonts w:hint="default" w:ascii="Times New Roman" w:hAnsi="Times New Roman" w:cs="Times New Roman"/>
          <w:color w:val="auto"/>
          <w:sz w:val="24"/>
          <w:highlight w:val="none"/>
          <w:lang w:val="en-US" w:eastAsia="zh-CN"/>
        </w:rPr>
        <w:t>93.2</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eastAsia" w:cs="Times New Roman"/>
          <w:color w:val="auto"/>
          <w:sz w:val="24"/>
          <w:highlight w:val="none"/>
          <w:lang w:eastAsia="zh-CN"/>
        </w:rPr>
        <w:t>；</w:t>
      </w:r>
    </w:p>
    <w:p w14:paraId="34FF746F">
      <w:pPr>
        <w:numPr>
          <w:ilvl w:val="0"/>
          <w:numId w:val="0"/>
        </w:numPr>
        <w:spacing w:line="360" w:lineRule="auto"/>
        <w:ind w:firstLine="42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④苯</w:t>
      </w:r>
      <w:r>
        <w:rPr>
          <w:rFonts w:hint="default" w:ascii="Times New Roman" w:hAnsi="Times New Roman" w:cs="Times New Roman"/>
          <w:color w:val="auto"/>
          <w:sz w:val="24"/>
          <w:highlight w:val="none"/>
        </w:rPr>
        <w:t>空白加标回收率为</w:t>
      </w:r>
      <w:r>
        <w:rPr>
          <w:rFonts w:hint="default" w:ascii="Times New Roman" w:hAnsi="Times New Roman" w:cs="Times New Roman"/>
          <w:color w:val="auto"/>
          <w:sz w:val="24"/>
          <w:highlight w:val="none"/>
          <w:lang w:val="en-US" w:eastAsia="zh-CN"/>
        </w:rPr>
        <w:t>81.8</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80</w:t>
      </w: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0%）内，基体加标回收率为</w:t>
      </w:r>
      <w:r>
        <w:rPr>
          <w:rFonts w:hint="default" w:ascii="Times New Roman" w:hAnsi="Times New Roman" w:cs="Times New Roman"/>
          <w:color w:val="auto"/>
          <w:sz w:val="24"/>
          <w:highlight w:val="none"/>
          <w:lang w:val="en-US" w:eastAsia="zh-CN"/>
        </w:rPr>
        <w:t>98.2</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eastAsia" w:cs="Times New Roman"/>
          <w:color w:val="auto"/>
          <w:sz w:val="24"/>
          <w:highlight w:val="none"/>
          <w:lang w:eastAsia="zh-CN"/>
        </w:rPr>
        <w:t>；</w:t>
      </w:r>
    </w:p>
    <w:p w14:paraId="169C9036">
      <w:pPr>
        <w:pStyle w:val="2"/>
        <w:ind w:firstLine="420" w:firstLineChars="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⑤</w:t>
      </w:r>
      <w:r>
        <w:rPr>
          <w:rFonts w:hint="default" w:ascii="Times New Roman" w:hAnsi="Times New Roman" w:cs="Times New Roman"/>
          <w:color w:val="auto"/>
          <w:sz w:val="24"/>
          <w:highlight w:val="none"/>
          <w:lang w:eastAsia="zh-CN"/>
        </w:rPr>
        <w:t>甲苯</w:t>
      </w:r>
      <w:r>
        <w:rPr>
          <w:rFonts w:hint="default" w:ascii="Times New Roman" w:hAnsi="Times New Roman" w:cs="Times New Roman"/>
          <w:color w:val="auto"/>
          <w:sz w:val="24"/>
          <w:highlight w:val="none"/>
        </w:rPr>
        <w:t>空白加标回收率为</w:t>
      </w:r>
      <w:r>
        <w:rPr>
          <w:rFonts w:hint="default" w:ascii="Times New Roman" w:hAnsi="Times New Roman" w:cs="Times New Roman"/>
          <w:color w:val="auto"/>
          <w:sz w:val="24"/>
          <w:highlight w:val="none"/>
          <w:lang w:val="en-US" w:eastAsia="zh-CN"/>
        </w:rPr>
        <w:t>82.1</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80</w:t>
      </w: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0%）内，基体加标回收率为</w:t>
      </w:r>
      <w:r>
        <w:rPr>
          <w:rFonts w:hint="default" w:ascii="Times New Roman" w:hAnsi="Times New Roman" w:cs="Times New Roman"/>
          <w:color w:val="auto"/>
          <w:sz w:val="24"/>
          <w:highlight w:val="none"/>
          <w:lang w:val="en-US" w:eastAsia="zh-CN"/>
        </w:rPr>
        <w:t>106</w:t>
      </w:r>
      <w:r>
        <w:rPr>
          <w:rFonts w:hint="default" w:ascii="Times New Roman" w:hAnsi="Times New Roman" w:cs="Times New Roman"/>
          <w:color w:val="auto"/>
          <w:sz w:val="24"/>
          <w:highlight w:val="none"/>
        </w:rPr>
        <w:t>%，在允许加标回收范围（</w:t>
      </w:r>
      <w:r>
        <w:rPr>
          <w:rFonts w:hint="default" w:ascii="Times New Roman" w:hAnsi="Times New Roman" w:cs="Times New Roman"/>
          <w:color w:val="auto"/>
          <w:sz w:val="24"/>
          <w:highlight w:val="none"/>
          <w:lang w:val="en-US" w:eastAsia="zh-CN"/>
        </w:rPr>
        <w:t>60</w:t>
      </w:r>
      <w:r>
        <w:rPr>
          <w:rFonts w:hint="default" w:ascii="Times New Roman" w:hAnsi="Times New Roman" w:cs="Times New Roman"/>
          <w:color w:val="auto"/>
          <w:sz w:val="24"/>
          <w:highlight w:val="none"/>
        </w:rPr>
        <w:t>%~130%）内</w:t>
      </w:r>
      <w:r>
        <w:rPr>
          <w:rFonts w:hint="default" w:ascii="Times New Roman" w:hAnsi="Times New Roman" w:cs="Times New Roman"/>
          <w:color w:val="auto"/>
          <w:sz w:val="24"/>
          <w:highlight w:val="none"/>
          <w:lang w:eastAsia="zh-CN"/>
        </w:rPr>
        <w:t>。</w:t>
      </w:r>
    </w:p>
    <w:p w14:paraId="33647563">
      <w:pPr>
        <w:numPr>
          <w:ilvl w:val="0"/>
          <w:numId w:val="0"/>
        </w:numPr>
        <w:spacing w:line="360" w:lineRule="auto"/>
        <w:ind w:firstLine="420" w:firstLineChars="0"/>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eastAsia="zh-CN"/>
        </w:rPr>
        <w:t>（</w:t>
      </w:r>
      <w:r>
        <w:rPr>
          <w:rFonts w:hint="default" w:ascii="Times New Roman" w:hAnsi="Times New Roman" w:cs="Times New Roman"/>
          <w:b/>
          <w:bCs/>
          <w:color w:val="auto"/>
          <w:kern w:val="0"/>
          <w:sz w:val="24"/>
          <w:highlight w:val="none"/>
          <w:lang w:val="en-US" w:eastAsia="zh-CN"/>
        </w:rPr>
        <w:t>4</w:t>
      </w:r>
      <w:r>
        <w:rPr>
          <w:rFonts w:hint="default" w:ascii="Times New Roman" w:hAnsi="Times New Roman" w:cs="Times New Roman"/>
          <w:b/>
          <w:bCs/>
          <w:color w:val="auto"/>
          <w:kern w:val="0"/>
          <w:sz w:val="24"/>
          <w:highlight w:val="none"/>
          <w:lang w:eastAsia="zh-CN"/>
        </w:rPr>
        <w:t>）</w:t>
      </w:r>
      <w:r>
        <w:rPr>
          <w:rFonts w:hint="default" w:ascii="Times New Roman" w:hAnsi="Times New Roman" w:cs="Times New Roman"/>
          <w:b/>
          <w:bCs/>
          <w:color w:val="auto"/>
          <w:kern w:val="0"/>
          <w:sz w:val="24"/>
          <w:highlight w:val="none"/>
        </w:rPr>
        <w:t>替代物加标回收质控</w:t>
      </w:r>
    </w:p>
    <w:p w14:paraId="13D0A812">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本次实验过程对每个样品以及所有的质控样品均进行了替代物（Surrogate）加标检测，并且要求 VOCs 替代物加标的回收率控制在 70%~130%，SVOCs 替代物加标的回收率控制在 50%～130%。本次所有控制样品检测结果的替代物加标回收率均在要求范围内，符合质控要求。</w:t>
      </w:r>
    </w:p>
    <w:p w14:paraId="2CB05610">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实验室质控结论</w:t>
      </w:r>
    </w:p>
    <w:p w14:paraId="13F65A2F">
      <w:pPr>
        <w:spacing w:line="360" w:lineRule="auto"/>
        <w:ind w:left="1" w:firstLine="480" w:firstLineChars="20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本次质控方法空白结果均小于报告限值；本次土壤实验室内精密度平行双样测试样品中有机污染物指标均未检出、重金属</w:t>
      </w:r>
      <w:r>
        <w:rPr>
          <w:rFonts w:hint="default" w:ascii="Times New Roman" w:hAnsi="Times New Roman" w:cs="Times New Roman"/>
          <w:color w:val="auto"/>
          <w:kern w:val="0"/>
          <w:sz w:val="24"/>
          <w:highlight w:val="none"/>
          <w:lang w:eastAsia="zh-CN"/>
        </w:rPr>
        <w:t>铬（六价）</w:t>
      </w:r>
      <w:r>
        <w:rPr>
          <w:rFonts w:hint="default" w:ascii="Times New Roman" w:hAnsi="Times New Roman" w:cs="Times New Roman"/>
          <w:color w:val="auto"/>
          <w:kern w:val="0"/>
          <w:sz w:val="24"/>
          <w:highlight w:val="none"/>
        </w:rPr>
        <w:t>均</w:t>
      </w:r>
      <w:r>
        <w:rPr>
          <w:rFonts w:hint="eastAsia" w:cs="Times New Roman"/>
          <w:color w:val="auto"/>
          <w:kern w:val="0"/>
          <w:sz w:val="24"/>
          <w:highlight w:val="none"/>
          <w:lang w:val="en-US" w:eastAsia="zh-CN"/>
        </w:rPr>
        <w:t>未</w:t>
      </w:r>
      <w:r>
        <w:rPr>
          <w:rFonts w:hint="default" w:ascii="Times New Roman" w:hAnsi="Times New Roman" w:cs="Times New Roman"/>
          <w:color w:val="auto"/>
          <w:kern w:val="0"/>
          <w:sz w:val="24"/>
          <w:highlight w:val="none"/>
        </w:rPr>
        <w:t>检出，</w:t>
      </w:r>
      <w:r>
        <w:rPr>
          <w:rFonts w:hint="default" w:ascii="Times New Roman" w:hAnsi="Times New Roman" w:cs="Times New Roman"/>
          <w:color w:val="auto"/>
          <w:sz w:val="24"/>
          <w:highlight w:val="none"/>
        </w:rPr>
        <w:t>重金属土壤室内平行样相对偏差在 0.0%~</w:t>
      </w:r>
      <w:r>
        <w:rPr>
          <w:rFonts w:hint="default" w:ascii="Times New Roman" w:hAnsi="Times New Roman" w:cs="Times New Roman"/>
          <w:color w:val="auto"/>
          <w:sz w:val="24"/>
          <w:highlight w:val="none"/>
          <w:lang w:val="en-US" w:eastAsia="zh-CN"/>
        </w:rPr>
        <w:t>5.3</w:t>
      </w:r>
      <w:r>
        <w:rPr>
          <w:rFonts w:hint="default" w:ascii="Times New Roman" w:hAnsi="Times New Roman" w:cs="Times New Roman"/>
          <w:color w:val="auto"/>
          <w:sz w:val="24"/>
          <w:highlight w:val="none"/>
        </w:rPr>
        <w:t>%，在允许范围内。重金属检测指标</w:t>
      </w:r>
      <w:r>
        <w:rPr>
          <w:rFonts w:hint="eastAsia" w:cs="Times New Roman"/>
          <w:color w:val="auto"/>
          <w:sz w:val="24"/>
          <w:highlight w:val="none"/>
          <w:lang w:val="en-US" w:eastAsia="zh-CN"/>
        </w:rPr>
        <w:t>铬、</w:t>
      </w:r>
      <w:r>
        <w:rPr>
          <w:rFonts w:hint="default" w:ascii="Times New Roman" w:hAnsi="Times New Roman" w:cs="Times New Roman"/>
          <w:color w:val="auto"/>
          <w:sz w:val="24"/>
          <w:highlight w:val="none"/>
        </w:rPr>
        <w:t>铜、</w:t>
      </w:r>
      <w:r>
        <w:rPr>
          <w:rFonts w:hint="eastAsia" w:cs="Times New Roman"/>
          <w:color w:val="auto"/>
          <w:sz w:val="24"/>
          <w:highlight w:val="none"/>
          <w:lang w:val="en-US" w:eastAsia="zh-CN"/>
        </w:rPr>
        <w:t>锌和</w:t>
      </w:r>
      <w:r>
        <w:rPr>
          <w:rFonts w:hint="default" w:ascii="Times New Roman" w:hAnsi="Times New Roman" w:cs="Times New Roman"/>
          <w:color w:val="auto"/>
          <w:sz w:val="24"/>
          <w:highlight w:val="none"/>
        </w:rPr>
        <w:t>镍有证标准样品质控结果合格；样品空白加标/基体加标回收率在允许加标回收率范围内，质控结果合格</w:t>
      </w:r>
      <w:r>
        <w:rPr>
          <w:rFonts w:hint="default" w:ascii="Times New Roman" w:hAnsi="Times New Roman" w:cs="Times New Roman"/>
          <w:color w:val="auto"/>
          <w:kern w:val="0"/>
          <w:sz w:val="24"/>
          <w:highlight w:val="none"/>
        </w:rPr>
        <w:t>；替代物加标回收率</w:t>
      </w:r>
      <w:r>
        <w:rPr>
          <w:rFonts w:hint="default" w:ascii="Times New Roman" w:hAnsi="Times New Roman" w:cs="Times New Roman"/>
          <w:color w:val="auto"/>
          <w:sz w:val="24"/>
          <w:highlight w:val="none"/>
        </w:rPr>
        <w:t>在允许加标回收率范围内，质控结果合格，</w:t>
      </w:r>
      <w:r>
        <w:rPr>
          <w:rFonts w:hint="default" w:ascii="Times New Roman" w:hAnsi="Times New Roman" w:cs="Times New Roman"/>
          <w:color w:val="auto"/>
          <w:kern w:val="0"/>
          <w:sz w:val="24"/>
          <w:highlight w:val="none"/>
        </w:rPr>
        <w:t>因此，本批次测试数据质量可靠，详见</w:t>
      </w:r>
      <w:r>
        <w:rPr>
          <w:rFonts w:hint="default" w:ascii="Times New Roman" w:hAnsi="Times New Roman" w:cs="Times New Roman"/>
          <w:color w:val="auto"/>
          <w:kern w:val="0"/>
          <w:sz w:val="24"/>
          <w:highlight w:val="none"/>
          <w:lang w:eastAsia="zh-CN"/>
        </w:rPr>
        <w:t>附件</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lang w:eastAsia="zh-CN"/>
        </w:rPr>
        <w:t>监测报告和附件</w:t>
      </w:r>
      <w:r>
        <w:rPr>
          <w:rFonts w:hint="default" w:ascii="Times New Roman" w:hAnsi="Times New Roman" w:cs="Times New Roman"/>
          <w:color w:val="auto"/>
          <w:kern w:val="0"/>
          <w:sz w:val="24"/>
          <w:highlight w:val="none"/>
          <w:lang w:val="en-US" w:eastAsia="zh-CN"/>
        </w:rPr>
        <w:t>4质控报告</w:t>
      </w:r>
      <w:r>
        <w:rPr>
          <w:rFonts w:hint="default" w:ascii="Times New Roman" w:hAnsi="Times New Roman" w:cs="Times New Roman"/>
          <w:color w:val="auto"/>
          <w:kern w:val="0"/>
          <w:sz w:val="24"/>
          <w:highlight w:val="none"/>
        </w:rPr>
        <w:t>。</w:t>
      </w:r>
    </w:p>
    <w:p w14:paraId="2F1F651F">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设备校正和清洗</w:t>
      </w:r>
    </w:p>
    <w:p w14:paraId="40C8BE94">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所有测量仪器在使用前均预先进行了校正，以确保测量结果的准确性。所有取样瓶由实验室提供，统一进行了消毒处理。在采集土样时，始终佩戴干净的一次性手套。</w:t>
      </w:r>
    </w:p>
    <w:p w14:paraId="710E8C25">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取样过程中采用标准操作程序以确保采集到能代表</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条件的样品。采用的取样方法包括：清洗程序、样品准备和保存、通过样品跟踪单进行样品追踪。现场的质量控制（QC）要填写详细现场观察的记录单，如采样深度、土壤质地、气味、颜色等，以便于后期定性分析。</w:t>
      </w:r>
    </w:p>
    <w:p w14:paraId="5A0AE4F1">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样品交接与运输</w:t>
      </w:r>
    </w:p>
    <w:p w14:paraId="34B81248">
      <w:pPr>
        <w:spacing w:line="360" w:lineRule="auto"/>
        <w:ind w:left="1"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样品采集后尽快装运核对后送往分析实验室。</w:t>
      </w:r>
      <w:r>
        <w:rPr>
          <w:rFonts w:hint="default" w:ascii="Times New Roman" w:hAnsi="Times New Roman" w:cs="Times New Roman"/>
          <w:color w:val="auto"/>
          <w:sz w:val="24"/>
          <w:highlight w:val="none"/>
          <w:lang w:eastAsia="zh-CN"/>
        </w:rPr>
        <w:t>对于有时限要求的监测指标进行严格的时间把控，例如铬（六价）样品，从采集到实验室预处理时间不应超过</w:t>
      </w:r>
      <w:r>
        <w:rPr>
          <w:rFonts w:hint="default" w:ascii="Times New Roman" w:hAnsi="Times New Roman" w:cs="Times New Roman"/>
          <w:color w:val="auto"/>
          <w:sz w:val="24"/>
          <w:highlight w:val="none"/>
          <w:lang w:val="en-US" w:eastAsia="zh-CN"/>
        </w:rPr>
        <w:t>24h。</w:t>
      </w:r>
    </w:p>
    <w:p w14:paraId="118AA387">
      <w:pPr>
        <w:spacing w:line="360" w:lineRule="auto"/>
        <w:ind w:left="1"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装运前核对：</w:t>
      </w:r>
      <w:r>
        <w:rPr>
          <w:rFonts w:hint="default" w:ascii="Times New Roman" w:hAnsi="Times New Roman" w:cs="Times New Roman"/>
          <w:color w:val="auto"/>
          <w:sz w:val="24"/>
          <w:highlight w:val="none"/>
        </w:rPr>
        <w:t>采样结束后现场逐项检查，如采样记录表、样品标签等，如有缺项、漏项和错误处，应及时补齐和修正后方可装运。</w:t>
      </w:r>
    </w:p>
    <w:p w14:paraId="07AC7762">
      <w:pPr>
        <w:spacing w:line="360" w:lineRule="auto"/>
        <w:ind w:left="1"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样品运输：</w:t>
      </w:r>
      <w:r>
        <w:rPr>
          <w:rFonts w:hint="default" w:ascii="Times New Roman" w:hAnsi="Times New Roman" w:cs="Times New Roman"/>
          <w:color w:val="auto"/>
          <w:sz w:val="24"/>
          <w:highlight w:val="none"/>
        </w:rPr>
        <w:t>样品运输过程中严防损失、混淆，并尽快送至实验室分析测试。</w:t>
      </w:r>
    </w:p>
    <w:p w14:paraId="50794F4A">
      <w:pPr>
        <w:spacing w:line="360" w:lineRule="auto"/>
        <w:ind w:left="1"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样品交接：</w:t>
      </w:r>
      <w:r>
        <w:rPr>
          <w:rFonts w:hint="default" w:ascii="Times New Roman" w:hAnsi="Times New Roman" w:cs="Times New Roman"/>
          <w:color w:val="auto"/>
          <w:sz w:val="24"/>
          <w:highlight w:val="none"/>
        </w:rPr>
        <w:t>样品送到实验室后，采样人员和实验室样品管理员双方同时清点核实样品。</w:t>
      </w:r>
    </w:p>
    <w:p w14:paraId="0DBADAFF">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实验室质量控制</w:t>
      </w:r>
    </w:p>
    <w:p w14:paraId="5CCBD20D">
      <w:pPr>
        <w:spacing w:line="360" w:lineRule="auto"/>
        <w:ind w:firstLine="480" w:firstLineChars="200"/>
        <w:rPr>
          <w:rFonts w:hint="default" w:ascii="Times New Roman" w:hAnsi="Times New Roman" w:cs="Times New Roman"/>
          <w:color w:val="auto"/>
          <w:sz w:val="24"/>
          <w:highlight w:val="none"/>
        </w:rPr>
        <w:sectPr>
          <w:headerReference r:id="rId18"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default" w:ascii="Times New Roman" w:hAnsi="Times New Roman" w:cs="Times New Roman"/>
          <w:color w:val="auto"/>
          <w:sz w:val="24"/>
          <w:highlight w:val="none"/>
        </w:rPr>
        <w:t>实验室分析时设实验室空白、平行样、基质加标。要求分析结果中平行样的相对标准偏差均在要求的范围内，实验室加标和基质加标的平行样品均在要求的相对百分偏差内。样品的保留时间、保留温度等实验室内部质量保证/控制措施均符合规定的要求。</w:t>
      </w:r>
    </w:p>
    <w:p w14:paraId="0ED1374F">
      <w:pPr>
        <w:pStyle w:val="3"/>
        <w:numPr>
          <w:ilvl w:val="0"/>
          <w:numId w:val="1"/>
        </w:numPr>
        <w:tabs>
          <w:tab w:val="clear" w:pos="425"/>
        </w:tabs>
        <w:rPr>
          <w:rFonts w:hint="default" w:ascii="Times New Roman" w:hAnsi="Times New Roman" w:cs="Times New Roman"/>
          <w:color w:val="auto"/>
          <w:highlight w:val="none"/>
          <w:lang w:eastAsia="zh-CN"/>
        </w:rPr>
      </w:pPr>
      <w:bookmarkStart w:id="56" w:name="_Toc10302"/>
      <w:bookmarkStart w:id="57" w:name="_Toc11153"/>
      <w:r>
        <w:rPr>
          <w:rFonts w:hint="default" w:ascii="Times New Roman" w:hAnsi="Times New Roman" w:cs="Times New Roman"/>
          <w:color w:val="auto"/>
          <w:highlight w:val="none"/>
          <w:lang w:eastAsia="zh-CN"/>
        </w:rPr>
        <w:t>结果与评价</w:t>
      </w:r>
      <w:bookmarkEnd w:id="56"/>
      <w:bookmarkEnd w:id="57"/>
    </w:p>
    <w:p w14:paraId="154E95CE">
      <w:pPr>
        <w:pStyle w:val="4"/>
        <w:tabs>
          <w:tab w:val="left" w:leader="dot" w:pos="0"/>
          <w:tab w:val="clear" w:pos="425"/>
        </w:tabs>
        <w:rPr>
          <w:rFonts w:hint="default" w:ascii="Times New Roman" w:hAnsi="Times New Roman" w:cs="Times New Roman"/>
          <w:color w:val="auto"/>
          <w:highlight w:val="none"/>
        </w:rPr>
      </w:pPr>
      <w:bookmarkStart w:id="58" w:name="_Toc303"/>
      <w:bookmarkStart w:id="59" w:name="_Toc18729"/>
      <w:bookmarkStart w:id="60" w:name="_Toc55399881"/>
      <w:bookmarkStart w:id="61" w:name="_Toc5936_WPSOffice_Level2"/>
      <w:r>
        <w:rPr>
          <w:rFonts w:hint="default" w:ascii="Times New Roman" w:hAnsi="Times New Roman" w:cs="Times New Roman"/>
          <w:color w:val="auto"/>
          <w:highlight w:val="none"/>
          <w:lang w:eastAsia="zh-CN"/>
        </w:rPr>
        <w:t>园区环境质量参考标准</w:t>
      </w:r>
      <w:bookmarkEnd w:id="58"/>
      <w:bookmarkEnd w:id="59"/>
    </w:p>
    <w:p w14:paraId="69CCD732">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土壤</w:t>
      </w:r>
      <w:bookmarkEnd w:id="60"/>
      <w:bookmarkEnd w:id="61"/>
      <w:r>
        <w:rPr>
          <w:rFonts w:hint="default" w:ascii="Times New Roman" w:hAnsi="Times New Roman" w:cs="Times New Roman"/>
          <w:color w:val="auto"/>
          <w:highlight w:val="none"/>
          <w:lang w:eastAsia="zh-CN"/>
        </w:rPr>
        <w:t>评价标准</w:t>
      </w:r>
    </w:p>
    <w:p w14:paraId="01768C3C">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本</w:t>
      </w:r>
      <w:r>
        <w:rPr>
          <w:rFonts w:hint="default" w:ascii="Times New Roman" w:hAnsi="Times New Roman" w:cs="Times New Roman"/>
          <w:color w:val="auto"/>
          <w:kern w:val="0"/>
          <w:sz w:val="24"/>
          <w:szCs w:val="24"/>
          <w:highlight w:val="none"/>
          <w:lang w:val="en-US" w:eastAsia="zh-CN" w:bidi="ar-SA"/>
        </w:rPr>
        <w:t>园区段</w:t>
      </w:r>
      <w:r>
        <w:rPr>
          <w:rFonts w:hint="default" w:ascii="Times New Roman" w:hAnsi="Times New Roman" w:eastAsia="宋体" w:cs="Times New Roman"/>
          <w:color w:val="auto"/>
          <w:kern w:val="0"/>
          <w:sz w:val="24"/>
          <w:szCs w:val="24"/>
          <w:highlight w:val="none"/>
          <w:lang w:val="en-US" w:eastAsia="zh-CN" w:bidi="ar-SA"/>
        </w:rPr>
        <w:t>共测试</w:t>
      </w:r>
      <w:r>
        <w:rPr>
          <w:rFonts w:hint="default" w:ascii="Times New Roman" w:hAnsi="Times New Roman" w:cs="Times New Roman"/>
          <w:color w:val="auto"/>
          <w:kern w:val="0"/>
          <w:sz w:val="24"/>
          <w:szCs w:val="24"/>
          <w:highlight w:val="none"/>
          <w:lang w:val="en-US" w:eastAsia="zh-CN" w:bidi="ar-SA"/>
        </w:rPr>
        <w:t>61</w:t>
      </w:r>
      <w:r>
        <w:rPr>
          <w:rFonts w:hint="default" w:ascii="Times New Roman" w:hAnsi="Times New Roman" w:eastAsia="宋体" w:cs="Times New Roman"/>
          <w:color w:val="auto"/>
          <w:kern w:val="0"/>
          <w:sz w:val="24"/>
          <w:szCs w:val="24"/>
          <w:highlight w:val="none"/>
          <w:lang w:val="en-US" w:eastAsia="zh-CN" w:bidi="ar-SA"/>
        </w:rPr>
        <w:t>个项目</w:t>
      </w:r>
      <w:r>
        <w:rPr>
          <w:rFonts w:hint="eastAsia"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采集</w:t>
      </w:r>
      <w:r>
        <w:rPr>
          <w:rFonts w:hint="default" w:ascii="Times New Roman" w:hAnsi="Times New Roman" w:cs="Times New Roman"/>
          <w:color w:val="auto"/>
          <w:kern w:val="0"/>
          <w:sz w:val="24"/>
          <w:szCs w:val="24"/>
          <w:highlight w:val="none"/>
          <w:lang w:val="en-US" w:eastAsia="zh-CN" w:bidi="ar-SA"/>
        </w:rPr>
        <w:t>16个点位样品（</w:t>
      </w:r>
      <w:r>
        <w:rPr>
          <w:rFonts w:hint="eastAsia" w:cs="Times New Roman"/>
          <w:color w:val="auto"/>
          <w:kern w:val="0"/>
          <w:sz w:val="24"/>
          <w:szCs w:val="24"/>
          <w:highlight w:val="none"/>
          <w:lang w:val="en-US" w:eastAsia="zh-CN" w:bidi="ar-SA"/>
        </w:rPr>
        <w:t>不含质控样品</w:t>
      </w:r>
      <w:r>
        <w:rPr>
          <w:rFonts w:hint="default" w:ascii="Times New Roman" w:hAnsi="Times New Roman" w:cs="Times New Roman"/>
          <w:color w:val="auto"/>
          <w:kern w:val="0"/>
          <w:sz w:val="24"/>
          <w:szCs w:val="24"/>
          <w:highlight w:val="none"/>
          <w:lang w:val="en-US" w:eastAsia="zh-CN" w:bidi="ar-SA"/>
        </w:rPr>
        <w:t>）</w:t>
      </w:r>
      <w:r>
        <w:rPr>
          <w:rFonts w:hint="eastAsia"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根据点位所在位置对应的建设用地或农用地土壤类型，参考《土壤环境质量 建设用地土壤污染风险管控标准（试行）（GB36600</w:t>
      </w:r>
      <w:r>
        <w:rPr>
          <w:rFonts w:hint="default" w:ascii="Times New Roman" w:hAnsi="Times New Roman" w:cs="Times New Roman"/>
          <w:color w:val="auto"/>
          <w:kern w:val="0"/>
          <w:sz w:val="24"/>
          <w:szCs w:val="24"/>
          <w:highlight w:val="none"/>
          <w:lang w:val="en-US" w:eastAsia="zh-CN" w:bidi="ar-SA"/>
        </w:rPr>
        <w:t>-2018</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cs="Times New Roman"/>
          <w:color w:val="auto"/>
          <w:kern w:val="0"/>
          <w:sz w:val="24"/>
          <w:szCs w:val="24"/>
          <w:highlight w:val="none"/>
          <w:lang w:val="en-US" w:eastAsia="zh-CN" w:bidi="ar-SA"/>
        </w:rPr>
        <w:t>（以下简称“GB36600”）</w:t>
      </w:r>
      <w:r>
        <w:rPr>
          <w:rFonts w:hint="default" w:ascii="Times New Roman" w:hAnsi="Times New Roman" w:eastAsia="宋体" w:cs="Times New Roman"/>
          <w:color w:val="auto"/>
          <w:kern w:val="0"/>
          <w:sz w:val="24"/>
          <w:szCs w:val="24"/>
          <w:highlight w:val="none"/>
          <w:lang w:val="en-US" w:eastAsia="zh-CN" w:bidi="ar-SA"/>
        </w:rPr>
        <w:t>、《土壤环境质量 农用地土壤污染风险管控标准（试行）（GB1561</w:t>
      </w:r>
      <w:r>
        <w:rPr>
          <w:rFonts w:hint="default" w:ascii="Times New Roman" w:hAnsi="Times New Roman" w:cs="Times New Roman"/>
          <w:color w:val="auto"/>
          <w:kern w:val="0"/>
          <w:sz w:val="24"/>
          <w:szCs w:val="24"/>
          <w:highlight w:val="none"/>
          <w:lang w:val="en-US" w:eastAsia="zh-CN" w:bidi="ar-SA"/>
        </w:rPr>
        <w:t>8-2018</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cs="Times New Roman"/>
          <w:color w:val="auto"/>
          <w:kern w:val="0"/>
          <w:sz w:val="24"/>
          <w:szCs w:val="24"/>
          <w:highlight w:val="none"/>
          <w:lang w:val="en-US" w:eastAsia="zh-CN" w:bidi="ar-SA"/>
        </w:rPr>
        <w:t>（以下简称“GB15618”）</w:t>
      </w:r>
      <w:r>
        <w:rPr>
          <w:rFonts w:hint="default" w:ascii="Times New Roman" w:hAnsi="Times New Roman" w:eastAsia="宋体" w:cs="Times New Roman"/>
          <w:color w:val="auto"/>
          <w:kern w:val="0"/>
          <w:sz w:val="24"/>
          <w:szCs w:val="24"/>
          <w:highlight w:val="none"/>
          <w:lang w:val="en-US" w:eastAsia="zh-CN" w:bidi="ar-SA"/>
        </w:rPr>
        <w:t>进行评估，其中无法参考上述标准的测试因子采用《建设用地土壤污染风险筛选值和管制值（DB4403_T 67-2020）（深圳</w:t>
      </w:r>
      <w:r>
        <w:rPr>
          <w:rFonts w:hint="default" w:ascii="Times New Roman" w:hAnsi="Times New Roman"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cs="Times New Roman"/>
          <w:color w:val="auto"/>
          <w:kern w:val="0"/>
          <w:sz w:val="24"/>
          <w:szCs w:val="24"/>
          <w:highlight w:val="none"/>
          <w:lang w:val="en-US" w:eastAsia="zh-CN" w:bidi="ar-SA"/>
        </w:rPr>
        <w:t>（以下简称“深圳标准”）、</w:t>
      </w:r>
      <w:r>
        <w:rPr>
          <w:rFonts w:hint="default" w:ascii="Times New Roman" w:hAnsi="Times New Roman" w:cs="Times New Roman"/>
          <w:color w:val="000000"/>
          <w:kern w:val="0"/>
          <w:highlight w:val="none"/>
        </w:rPr>
        <w:t>《建设用地土壤污染风险筛选值（DB13_T 5216-2020）</w:t>
      </w:r>
      <w:r>
        <w:rPr>
          <w:rFonts w:hint="eastAsia" w:cs="Times New Roman"/>
          <w:color w:val="000000"/>
          <w:kern w:val="0"/>
          <w:highlight w:val="none"/>
          <w:lang w:eastAsia="zh-CN"/>
        </w:rPr>
        <w:t>（</w:t>
      </w:r>
      <w:r>
        <w:rPr>
          <w:rFonts w:hint="eastAsia" w:cs="Times New Roman"/>
          <w:color w:val="000000"/>
          <w:kern w:val="0"/>
          <w:highlight w:val="none"/>
          <w:lang w:val="en-US" w:eastAsia="zh-CN"/>
        </w:rPr>
        <w:t>河北</w:t>
      </w:r>
      <w:r>
        <w:rPr>
          <w:rFonts w:hint="eastAsia" w:cs="Times New Roman"/>
          <w:color w:val="000000"/>
          <w:kern w:val="0"/>
          <w:highlight w:val="none"/>
          <w:lang w:eastAsia="zh-CN"/>
        </w:rPr>
        <w:t>）</w:t>
      </w:r>
      <w:r>
        <w:rPr>
          <w:rFonts w:hint="default" w:ascii="Times New Roman" w:hAnsi="Times New Roman" w:cs="Times New Roman"/>
          <w:color w:val="000000"/>
          <w:kern w:val="0"/>
          <w:highlight w:val="none"/>
        </w:rPr>
        <w:t>》（以下简称“河北标准”）</w:t>
      </w:r>
      <w:r>
        <w:rPr>
          <w:rFonts w:hint="default" w:ascii="Times New Roman" w:hAnsi="Times New Roman" w:eastAsia="宋体" w:cs="Times New Roman"/>
          <w:color w:val="auto"/>
          <w:kern w:val="0"/>
          <w:sz w:val="24"/>
          <w:szCs w:val="24"/>
          <w:highlight w:val="none"/>
          <w:lang w:val="en-US" w:eastAsia="zh-CN" w:bidi="ar-SA"/>
        </w:rPr>
        <w:t>中对应的用地类型</w:t>
      </w:r>
      <w:r>
        <w:rPr>
          <w:rFonts w:hint="default" w:ascii="Times New Roman" w:hAnsi="Times New Roman" w:cs="Times New Roman"/>
          <w:color w:val="auto"/>
          <w:kern w:val="0"/>
          <w:sz w:val="24"/>
          <w:szCs w:val="24"/>
          <w:highlight w:val="none"/>
          <w:lang w:val="en-US" w:eastAsia="zh-CN" w:bidi="ar-SA"/>
        </w:rPr>
        <w:t>或风险评估计算值</w:t>
      </w:r>
      <w:r>
        <w:rPr>
          <w:rFonts w:hint="default" w:ascii="Times New Roman" w:hAnsi="Times New Roman" w:eastAsia="宋体" w:cs="Times New Roman"/>
          <w:color w:val="auto"/>
          <w:kern w:val="0"/>
          <w:sz w:val="24"/>
          <w:szCs w:val="24"/>
          <w:highlight w:val="none"/>
          <w:lang w:val="en-US" w:eastAsia="zh-CN" w:bidi="ar-SA"/>
        </w:rPr>
        <w:t>进行评估。</w:t>
      </w:r>
      <w:r>
        <w:rPr>
          <w:rFonts w:hint="default" w:ascii="Times New Roman" w:hAnsi="Times New Roman" w:cs="Times New Roman"/>
          <w:color w:val="auto"/>
          <w:kern w:val="0"/>
          <w:sz w:val="24"/>
          <w:szCs w:val="24"/>
          <w:highlight w:val="none"/>
          <w:lang w:val="en-US" w:eastAsia="zh-CN" w:bidi="ar-SA"/>
        </w:rPr>
        <w:t>具体原则如下：</w:t>
      </w:r>
    </w:p>
    <w:p w14:paraId="03A4B73B">
      <w:pPr>
        <w:pStyle w:val="2"/>
        <w:keepNext w:val="0"/>
        <w:keepLines w:val="0"/>
        <w:pageBreakBefore w:val="0"/>
        <w:widowControl w:val="0"/>
        <w:numPr>
          <w:ilvl w:val="0"/>
          <w:numId w:val="9"/>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园区周边土壤点位根据现场踏勘结合谷歌卫片，采用现状用地类型进行评估；</w:t>
      </w:r>
    </w:p>
    <w:p w14:paraId="36093E0E">
      <w:pPr>
        <w:pStyle w:val="2"/>
        <w:keepNext w:val="0"/>
        <w:keepLines w:val="0"/>
        <w:pageBreakBefore w:val="0"/>
        <w:widowControl w:val="0"/>
        <w:numPr>
          <w:ilvl w:val="0"/>
          <w:numId w:val="9"/>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已建成企业聚集区周边点位根据</w:t>
      </w:r>
      <w:r>
        <w:rPr>
          <w:rFonts w:hint="eastAsia" w:cs="Times New Roman"/>
          <w:color w:val="auto"/>
          <w:kern w:val="0"/>
          <w:sz w:val="24"/>
          <w:szCs w:val="24"/>
          <w:highlight w:val="none"/>
          <w:lang w:val="en-US" w:eastAsia="zh-CN" w:bidi="ar-SA"/>
        </w:rPr>
        <w:t>《</w:t>
      </w:r>
      <w:r>
        <w:rPr>
          <w:rFonts w:hint="eastAsia" w:cs="Times New Roman"/>
          <w:color w:val="auto"/>
          <w:kern w:val="0"/>
          <w:sz w:val="24"/>
          <w:highlight w:val="none"/>
          <w:lang w:val="en-US" w:eastAsia="zh-CN"/>
        </w:rPr>
        <w:t>鄂州市三江港新区总体规划（2013-2030）——土地使用规划图》</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color w:val="auto"/>
          <w:kern w:val="0"/>
          <w:sz w:val="24"/>
          <w:szCs w:val="24"/>
          <w:highlight w:val="none"/>
          <w:lang w:val="en-US" w:eastAsia="zh-CN" w:bidi="ar-SA"/>
        </w:rPr>
        <w:t>采用规划用地类型进行评估；</w:t>
      </w:r>
    </w:p>
    <w:p w14:paraId="701371F9">
      <w:pPr>
        <w:pStyle w:val="2"/>
        <w:keepNext w:val="0"/>
        <w:keepLines w:val="0"/>
        <w:pageBreakBefore w:val="0"/>
        <w:widowControl/>
        <w:numPr>
          <w:ilvl w:val="0"/>
          <w:numId w:val="9"/>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000000"/>
          <w:kern w:val="0"/>
          <w:highlight w:val="none"/>
        </w:rPr>
        <w:t>对于园区周边土壤中现状用地为农用地的点位，GB15618中未涉及的因子</w:t>
      </w:r>
      <w:r>
        <w:rPr>
          <w:rFonts w:hint="default" w:ascii="Times New Roman" w:hAnsi="Times New Roman" w:cs="Times New Roman"/>
          <w:color w:val="000000"/>
          <w:kern w:val="0"/>
          <w:highlight w:val="none"/>
          <w:lang w:val="en-US" w:eastAsia="zh-CN"/>
        </w:rPr>
        <w:t>参照</w:t>
      </w:r>
      <w:r>
        <w:rPr>
          <w:rFonts w:hint="default" w:ascii="Times New Roman" w:hAnsi="Times New Roman" w:cs="Times New Roman"/>
          <w:color w:val="000000"/>
          <w:kern w:val="0"/>
          <w:highlight w:val="none"/>
        </w:rPr>
        <w:t>GB36600第一类用地筛选值进行评估。</w:t>
      </w:r>
    </w:p>
    <w:p w14:paraId="6C0494BC">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各点位参考标准</w:t>
      </w:r>
      <w:r>
        <w:rPr>
          <w:rFonts w:hint="default" w:ascii="Times New Roman" w:hAnsi="Times New Roman" w:eastAsia="宋体" w:cs="Times New Roman"/>
          <w:color w:val="auto"/>
          <w:kern w:val="0"/>
          <w:sz w:val="24"/>
          <w:szCs w:val="24"/>
          <w:highlight w:val="none"/>
          <w:lang w:val="en-US" w:eastAsia="zh-CN" w:bidi="ar-SA"/>
        </w:rPr>
        <w:t>具体如下</w:t>
      </w:r>
      <w:r>
        <w:rPr>
          <w:rFonts w:hint="default" w:ascii="Times New Roman" w:hAnsi="Times New Roman" w:cs="Times New Roman"/>
          <w:color w:val="auto"/>
          <w:kern w:val="0"/>
          <w:sz w:val="24"/>
          <w:szCs w:val="24"/>
          <w:highlight w:val="none"/>
          <w:lang w:val="en-US" w:eastAsia="zh-CN" w:bidi="ar-SA"/>
        </w:rPr>
        <w:t>表所示。</w:t>
      </w:r>
    </w:p>
    <w:p w14:paraId="5C29F5D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b/>
          <w:bCs/>
          <w:color w:val="auto"/>
          <w:sz w:val="24"/>
          <w:highlight w:val="none"/>
        </w:rPr>
        <w:t>表5-1-</w:t>
      </w:r>
      <w:r>
        <w:rPr>
          <w:rFonts w:hint="default" w:ascii="Times New Roman" w:hAnsi="Times New Roman" w:eastAsia="黑体" w:cs="Times New Roman"/>
          <w:b/>
          <w:bCs/>
          <w:color w:val="auto"/>
          <w:sz w:val="24"/>
          <w:highlight w:val="none"/>
          <w:lang w:val="en-US" w:eastAsia="zh-CN"/>
        </w:rPr>
        <w:t xml:space="preserve">1 </w:t>
      </w:r>
      <w:r>
        <w:rPr>
          <w:rFonts w:hint="default" w:ascii="Times New Roman" w:hAnsi="Times New Roman" w:eastAsia="黑体" w:cs="Times New Roman"/>
          <w:b/>
          <w:bCs/>
          <w:color w:val="auto"/>
          <w:sz w:val="24"/>
          <w:highlight w:val="none"/>
          <w:lang w:eastAsia="zh-CN"/>
        </w:rPr>
        <w:t>三江港经济区区土壤点位参考标准一览表</w:t>
      </w:r>
    </w:p>
    <w:tbl>
      <w:tblPr>
        <w:tblStyle w:val="21"/>
        <w:tblW w:w="9612"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34"/>
        <w:gridCol w:w="1155"/>
        <w:gridCol w:w="1080"/>
        <w:gridCol w:w="2640"/>
        <w:gridCol w:w="4103"/>
      </w:tblGrid>
      <w:tr w14:paraId="4638B2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tblHeader/>
          <w:jc w:val="center"/>
        </w:trPr>
        <w:tc>
          <w:tcPr>
            <w:tcW w:w="634" w:type="dxa"/>
            <w:tcBorders>
              <w:bottom w:val="single" w:color="000000" w:sz="12" w:space="0"/>
            </w:tcBorders>
            <w:shd w:val="clear" w:color="auto" w:fill="auto"/>
            <w:noWrap/>
            <w:tcMar>
              <w:top w:w="15" w:type="dxa"/>
              <w:left w:w="15" w:type="dxa"/>
              <w:right w:w="15" w:type="dxa"/>
            </w:tcMar>
            <w:vAlign w:val="center"/>
          </w:tcPr>
          <w:p w14:paraId="3C1DC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序号</w:t>
            </w:r>
          </w:p>
        </w:tc>
        <w:tc>
          <w:tcPr>
            <w:tcW w:w="1155" w:type="dxa"/>
            <w:tcBorders>
              <w:bottom w:val="single" w:color="000000" w:sz="12" w:space="0"/>
            </w:tcBorders>
            <w:shd w:val="clear" w:color="auto" w:fill="auto"/>
            <w:noWrap/>
            <w:tcMar>
              <w:top w:w="15" w:type="dxa"/>
              <w:left w:w="15" w:type="dxa"/>
              <w:right w:w="15" w:type="dxa"/>
            </w:tcMar>
            <w:vAlign w:val="center"/>
          </w:tcPr>
          <w:p w14:paraId="0BEB18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点位编号</w:t>
            </w:r>
          </w:p>
        </w:tc>
        <w:tc>
          <w:tcPr>
            <w:tcW w:w="1080" w:type="dxa"/>
            <w:tcBorders>
              <w:bottom w:val="single" w:color="000000" w:sz="12" w:space="0"/>
            </w:tcBorders>
            <w:shd w:val="clear" w:color="auto" w:fill="auto"/>
            <w:noWrap/>
            <w:tcMar>
              <w:top w:w="15" w:type="dxa"/>
              <w:left w:w="15" w:type="dxa"/>
              <w:right w:w="15" w:type="dxa"/>
            </w:tcMar>
            <w:vAlign w:val="center"/>
          </w:tcPr>
          <w:p w14:paraId="1E40A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cs="Times New Roman"/>
                <w:b/>
                <w:bCs/>
                <w:i w:val="0"/>
                <w:color w:val="auto"/>
                <w:kern w:val="0"/>
                <w:sz w:val="21"/>
                <w:szCs w:val="21"/>
                <w:highlight w:val="none"/>
                <w:u w:val="none"/>
                <w:lang w:val="en-US" w:eastAsia="zh-CN" w:bidi="ar"/>
              </w:rPr>
              <w:t>点位类型</w:t>
            </w:r>
          </w:p>
        </w:tc>
        <w:tc>
          <w:tcPr>
            <w:tcW w:w="2640" w:type="dxa"/>
            <w:tcBorders>
              <w:bottom w:val="single" w:color="000000" w:sz="12" w:space="0"/>
            </w:tcBorders>
            <w:shd w:val="clear" w:color="auto" w:fill="auto"/>
            <w:noWrap/>
            <w:tcMar>
              <w:top w:w="15" w:type="dxa"/>
              <w:left w:w="15" w:type="dxa"/>
              <w:right w:w="15" w:type="dxa"/>
            </w:tcMar>
            <w:vAlign w:val="center"/>
          </w:tcPr>
          <w:p w14:paraId="7B0E1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规划/现状用地类型</w:t>
            </w:r>
            <w:r>
              <w:rPr>
                <w:rFonts w:hint="default" w:ascii="Times New Roman" w:hAnsi="Times New Roman" w:cs="Times New Roman"/>
                <w:b/>
                <w:bCs/>
                <w:i w:val="0"/>
                <w:color w:val="auto"/>
                <w:kern w:val="0"/>
                <w:sz w:val="21"/>
                <w:szCs w:val="21"/>
                <w:highlight w:val="none"/>
                <w:u w:val="none"/>
                <w:vertAlign w:val="superscript"/>
                <w:lang w:val="en-US" w:eastAsia="zh-CN" w:bidi="ar"/>
              </w:rPr>
              <w:t>①</w:t>
            </w:r>
          </w:p>
        </w:tc>
        <w:tc>
          <w:tcPr>
            <w:tcW w:w="4103" w:type="dxa"/>
            <w:tcBorders>
              <w:bottom w:val="single" w:color="000000" w:sz="12" w:space="0"/>
            </w:tcBorders>
            <w:shd w:val="clear" w:color="auto" w:fill="auto"/>
            <w:noWrap/>
            <w:tcMar>
              <w:top w:w="15" w:type="dxa"/>
              <w:left w:w="15" w:type="dxa"/>
              <w:right w:w="15" w:type="dxa"/>
            </w:tcMar>
            <w:vAlign w:val="center"/>
          </w:tcPr>
          <w:p w14:paraId="07242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cs="Times New Roman"/>
                <w:b/>
                <w:bCs/>
                <w:i w:val="0"/>
                <w:color w:val="auto"/>
                <w:kern w:val="0"/>
                <w:sz w:val="21"/>
                <w:szCs w:val="21"/>
                <w:highlight w:val="none"/>
                <w:u w:val="none"/>
                <w:lang w:val="en-US" w:eastAsia="zh-CN" w:bidi="ar"/>
              </w:rPr>
              <w:t>参考标准</w:t>
            </w:r>
          </w:p>
        </w:tc>
      </w:tr>
      <w:tr w14:paraId="02ED09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op w:val="single" w:color="000000" w:sz="12" w:space="0"/>
              <w:tl2br w:val="nil"/>
              <w:tr2bl w:val="nil"/>
            </w:tcBorders>
            <w:shd w:val="clear" w:color="auto" w:fill="auto"/>
            <w:noWrap/>
            <w:tcMar>
              <w:top w:w="15" w:type="dxa"/>
              <w:left w:w="15" w:type="dxa"/>
              <w:right w:w="15" w:type="dxa"/>
            </w:tcMar>
            <w:vAlign w:val="center"/>
          </w:tcPr>
          <w:p w14:paraId="00539D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155" w:type="dxa"/>
            <w:tcBorders>
              <w:top w:val="single" w:color="000000" w:sz="12" w:space="0"/>
              <w:tl2br w:val="nil"/>
              <w:tr2bl w:val="nil"/>
            </w:tcBorders>
            <w:shd w:val="clear" w:color="auto" w:fill="auto"/>
            <w:noWrap/>
            <w:tcMar>
              <w:top w:w="15" w:type="dxa"/>
              <w:left w:w="15" w:type="dxa"/>
              <w:right w:w="15" w:type="dxa"/>
            </w:tcMar>
            <w:vAlign w:val="center"/>
          </w:tcPr>
          <w:p w14:paraId="5C4089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1080" w:type="dxa"/>
            <w:vMerge w:val="restart"/>
            <w:tcBorders>
              <w:top w:val="single" w:color="000000" w:sz="12" w:space="0"/>
              <w:tl2br w:val="nil"/>
              <w:tr2bl w:val="nil"/>
            </w:tcBorders>
            <w:shd w:val="clear" w:color="auto" w:fill="auto"/>
            <w:noWrap/>
            <w:tcMar>
              <w:top w:w="15" w:type="dxa"/>
              <w:left w:w="15" w:type="dxa"/>
              <w:right w:w="15" w:type="dxa"/>
            </w:tcMar>
            <w:vAlign w:val="center"/>
          </w:tcPr>
          <w:p w14:paraId="62BD7D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工业园周边点位</w:t>
            </w:r>
          </w:p>
        </w:tc>
        <w:tc>
          <w:tcPr>
            <w:tcW w:w="2640" w:type="dxa"/>
            <w:tcBorders>
              <w:top w:val="single" w:color="000000" w:sz="12" w:space="0"/>
              <w:tl2br w:val="nil"/>
              <w:tr2bl w:val="nil"/>
            </w:tcBorders>
            <w:shd w:val="clear" w:color="auto" w:fill="auto"/>
            <w:noWrap/>
            <w:tcMar>
              <w:top w:w="15" w:type="dxa"/>
              <w:left w:w="15" w:type="dxa"/>
              <w:right w:w="15" w:type="dxa"/>
            </w:tcMar>
            <w:vAlign w:val="center"/>
          </w:tcPr>
          <w:p w14:paraId="75BE3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op w:val="single" w:color="000000" w:sz="12" w:space="0"/>
              <w:tl2br w:val="nil"/>
              <w:tr2bl w:val="nil"/>
            </w:tcBorders>
            <w:shd w:val="clear" w:color="auto" w:fill="auto"/>
            <w:noWrap/>
            <w:tcMar>
              <w:top w:w="15" w:type="dxa"/>
              <w:left w:w="15" w:type="dxa"/>
              <w:right w:w="15" w:type="dxa"/>
            </w:tcMar>
            <w:vAlign w:val="center"/>
          </w:tcPr>
          <w:p w14:paraId="55CF8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第二类用地筛选值</w:t>
            </w:r>
            <w:r>
              <w:rPr>
                <w:rFonts w:hint="eastAsia" w:cs="Times New Roman"/>
                <w:i w:val="0"/>
                <w:color w:val="auto"/>
                <w:sz w:val="21"/>
                <w:szCs w:val="21"/>
                <w:highlight w:val="none"/>
                <w:u w:val="none"/>
                <w:vertAlign w:val="superscript"/>
                <w:lang w:val="en-US" w:eastAsia="zh-CN"/>
              </w:rPr>
              <w:t>②</w:t>
            </w:r>
          </w:p>
        </w:tc>
      </w:tr>
      <w:tr w14:paraId="7B4339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C5E5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155" w:type="dxa"/>
            <w:tcBorders>
              <w:tl2br w:val="nil"/>
              <w:tr2bl w:val="nil"/>
            </w:tcBorders>
            <w:shd w:val="clear" w:color="auto" w:fill="auto"/>
            <w:noWrap/>
            <w:tcMar>
              <w:top w:w="15" w:type="dxa"/>
              <w:left w:w="15" w:type="dxa"/>
              <w:right w:w="15" w:type="dxa"/>
            </w:tcMar>
            <w:vAlign w:val="center"/>
          </w:tcPr>
          <w:p w14:paraId="4DD671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1080" w:type="dxa"/>
            <w:vMerge w:val="continue"/>
            <w:tcBorders>
              <w:tl2br w:val="nil"/>
              <w:tr2bl w:val="nil"/>
            </w:tcBorders>
            <w:shd w:val="clear" w:color="auto" w:fill="auto"/>
            <w:noWrap/>
            <w:tcMar>
              <w:top w:w="15" w:type="dxa"/>
              <w:left w:w="15" w:type="dxa"/>
              <w:right w:w="15" w:type="dxa"/>
            </w:tcMar>
            <w:vAlign w:val="center"/>
          </w:tcPr>
          <w:p w14:paraId="474BB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7F3633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农用地：其它</w:t>
            </w:r>
            <w:r>
              <w:rPr>
                <w:rFonts w:hint="eastAsia" w:cs="Times New Roman"/>
                <w:i w:val="0"/>
                <w:color w:val="auto"/>
                <w:sz w:val="21"/>
                <w:szCs w:val="21"/>
                <w:highlight w:val="none"/>
                <w:u w:val="none"/>
                <w:vertAlign w:val="superscript"/>
                <w:lang w:val="en-US" w:eastAsia="zh-CN"/>
              </w:rPr>
              <w:t>③</w:t>
            </w:r>
          </w:p>
        </w:tc>
        <w:tc>
          <w:tcPr>
            <w:tcW w:w="4103" w:type="dxa"/>
            <w:tcBorders>
              <w:tl2br w:val="nil"/>
              <w:tr2bl w:val="nil"/>
            </w:tcBorders>
            <w:shd w:val="clear" w:color="auto" w:fill="auto"/>
            <w:noWrap/>
            <w:tcMar>
              <w:top w:w="15" w:type="dxa"/>
              <w:left w:w="15" w:type="dxa"/>
              <w:right w:w="15" w:type="dxa"/>
            </w:tcMar>
            <w:vAlign w:val="center"/>
          </w:tcPr>
          <w:p w14:paraId="0BF7D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GB15618</w:t>
            </w:r>
            <w:r>
              <w:rPr>
                <w:rFonts w:hint="default" w:ascii="Times New Roman" w:hAnsi="Times New Roman" w:cs="Times New Roman"/>
                <w:i w:val="0"/>
                <w:color w:val="auto"/>
                <w:sz w:val="21"/>
                <w:szCs w:val="21"/>
                <w:highlight w:val="none"/>
                <w:u w:val="none"/>
                <w:lang w:eastAsia="zh-CN"/>
              </w:rPr>
              <w:t>其它</w:t>
            </w:r>
            <w:r>
              <w:rPr>
                <w:rFonts w:hint="default" w:ascii="Times New Roman" w:hAnsi="Times New Roman" w:cs="Times New Roman"/>
                <w:i w:val="0"/>
                <w:color w:val="auto"/>
                <w:sz w:val="21"/>
                <w:szCs w:val="21"/>
                <w:highlight w:val="none"/>
                <w:u w:val="none"/>
                <w:lang w:val="en-US" w:eastAsia="zh-CN"/>
              </w:rPr>
              <w:t>、第一类用地筛选值</w:t>
            </w:r>
          </w:p>
        </w:tc>
      </w:tr>
      <w:tr w14:paraId="777935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E3DC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155" w:type="dxa"/>
            <w:tcBorders>
              <w:tl2br w:val="nil"/>
              <w:tr2bl w:val="nil"/>
            </w:tcBorders>
            <w:shd w:val="clear" w:color="auto" w:fill="auto"/>
            <w:noWrap/>
            <w:tcMar>
              <w:top w:w="15" w:type="dxa"/>
              <w:left w:w="15" w:type="dxa"/>
              <w:right w:w="15" w:type="dxa"/>
            </w:tcMar>
            <w:vAlign w:val="center"/>
          </w:tcPr>
          <w:p w14:paraId="4804B5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1080" w:type="dxa"/>
            <w:vMerge w:val="continue"/>
            <w:tcBorders>
              <w:tl2br w:val="nil"/>
              <w:tr2bl w:val="nil"/>
            </w:tcBorders>
            <w:shd w:val="clear" w:color="auto" w:fill="auto"/>
            <w:noWrap/>
            <w:tcMar>
              <w:top w:w="15" w:type="dxa"/>
              <w:left w:w="15" w:type="dxa"/>
              <w:right w:w="15" w:type="dxa"/>
            </w:tcMar>
            <w:vAlign w:val="center"/>
          </w:tcPr>
          <w:p w14:paraId="3D5ED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370EE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5610B1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77FB22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34378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155" w:type="dxa"/>
            <w:tcBorders>
              <w:tl2br w:val="nil"/>
              <w:tr2bl w:val="nil"/>
            </w:tcBorders>
            <w:shd w:val="clear" w:color="auto" w:fill="auto"/>
            <w:noWrap/>
            <w:tcMar>
              <w:top w:w="15" w:type="dxa"/>
              <w:left w:w="15" w:type="dxa"/>
              <w:right w:w="15" w:type="dxa"/>
            </w:tcMar>
            <w:vAlign w:val="center"/>
          </w:tcPr>
          <w:p w14:paraId="4B0F0C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1080" w:type="dxa"/>
            <w:vMerge w:val="continue"/>
            <w:tcBorders>
              <w:tl2br w:val="nil"/>
              <w:tr2bl w:val="nil"/>
            </w:tcBorders>
            <w:shd w:val="clear" w:color="auto" w:fill="auto"/>
            <w:noWrap/>
            <w:tcMar>
              <w:top w:w="15" w:type="dxa"/>
              <w:left w:w="15" w:type="dxa"/>
              <w:right w:w="15" w:type="dxa"/>
            </w:tcMar>
            <w:vAlign w:val="center"/>
          </w:tcPr>
          <w:p w14:paraId="4D79B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0902CD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291B18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462802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17E55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155" w:type="dxa"/>
            <w:tcBorders>
              <w:tl2br w:val="nil"/>
              <w:tr2bl w:val="nil"/>
            </w:tcBorders>
            <w:shd w:val="clear" w:color="auto" w:fill="auto"/>
            <w:noWrap/>
            <w:tcMar>
              <w:top w:w="15" w:type="dxa"/>
              <w:left w:w="15" w:type="dxa"/>
              <w:right w:w="15" w:type="dxa"/>
            </w:tcMar>
            <w:vAlign w:val="center"/>
          </w:tcPr>
          <w:p w14:paraId="1C6BCE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1080" w:type="dxa"/>
            <w:vMerge w:val="continue"/>
            <w:tcBorders>
              <w:tl2br w:val="nil"/>
              <w:tr2bl w:val="nil"/>
            </w:tcBorders>
            <w:shd w:val="clear" w:color="auto" w:fill="auto"/>
            <w:noWrap/>
            <w:tcMar>
              <w:top w:w="15" w:type="dxa"/>
              <w:left w:w="15" w:type="dxa"/>
              <w:right w:w="15" w:type="dxa"/>
            </w:tcMar>
            <w:vAlign w:val="center"/>
          </w:tcPr>
          <w:p w14:paraId="318E5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2A105E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00C7B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50B05F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4" w:type="dxa"/>
            <w:tcBorders>
              <w:tl2br w:val="nil"/>
              <w:tr2bl w:val="nil"/>
            </w:tcBorders>
            <w:shd w:val="clear" w:color="auto" w:fill="auto"/>
            <w:noWrap/>
            <w:tcMar>
              <w:top w:w="15" w:type="dxa"/>
              <w:left w:w="15" w:type="dxa"/>
              <w:right w:w="15" w:type="dxa"/>
            </w:tcMar>
            <w:vAlign w:val="center"/>
          </w:tcPr>
          <w:p w14:paraId="30DA6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155" w:type="dxa"/>
            <w:tcBorders>
              <w:tl2br w:val="nil"/>
              <w:tr2bl w:val="nil"/>
            </w:tcBorders>
            <w:shd w:val="clear" w:color="auto" w:fill="auto"/>
            <w:noWrap/>
            <w:tcMar>
              <w:top w:w="15" w:type="dxa"/>
              <w:left w:w="15" w:type="dxa"/>
              <w:right w:w="15" w:type="dxa"/>
            </w:tcMar>
            <w:vAlign w:val="center"/>
          </w:tcPr>
          <w:p w14:paraId="08F83E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1080" w:type="dxa"/>
            <w:vMerge w:val="continue"/>
            <w:tcBorders>
              <w:tl2br w:val="nil"/>
              <w:tr2bl w:val="nil"/>
            </w:tcBorders>
            <w:shd w:val="clear" w:color="auto" w:fill="auto"/>
            <w:noWrap/>
            <w:tcMar>
              <w:top w:w="15" w:type="dxa"/>
              <w:left w:w="15" w:type="dxa"/>
              <w:right w:w="15" w:type="dxa"/>
            </w:tcMar>
            <w:vAlign w:val="center"/>
          </w:tcPr>
          <w:p w14:paraId="762576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11756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防护绿地</w:t>
            </w:r>
          </w:p>
        </w:tc>
        <w:tc>
          <w:tcPr>
            <w:tcW w:w="4103" w:type="dxa"/>
            <w:tcBorders>
              <w:tl2br w:val="nil"/>
              <w:tr2bl w:val="nil"/>
            </w:tcBorders>
            <w:shd w:val="clear" w:color="auto" w:fill="auto"/>
            <w:noWrap/>
            <w:tcMar>
              <w:top w:w="15" w:type="dxa"/>
              <w:left w:w="15" w:type="dxa"/>
              <w:right w:w="15" w:type="dxa"/>
            </w:tcMar>
            <w:vAlign w:val="center"/>
          </w:tcPr>
          <w:p w14:paraId="6D0FB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06FF1C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6A8BAA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155" w:type="dxa"/>
            <w:tcBorders>
              <w:tl2br w:val="nil"/>
              <w:tr2bl w:val="nil"/>
            </w:tcBorders>
            <w:shd w:val="clear" w:color="auto" w:fill="auto"/>
            <w:noWrap/>
            <w:tcMar>
              <w:top w:w="15" w:type="dxa"/>
              <w:left w:w="15" w:type="dxa"/>
              <w:right w:w="15" w:type="dxa"/>
            </w:tcMar>
            <w:vAlign w:val="center"/>
          </w:tcPr>
          <w:p w14:paraId="0938E5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1080" w:type="dxa"/>
            <w:vMerge w:val="continue"/>
            <w:tcBorders>
              <w:tl2br w:val="nil"/>
              <w:tr2bl w:val="nil"/>
            </w:tcBorders>
            <w:shd w:val="clear" w:color="auto" w:fill="auto"/>
            <w:noWrap/>
            <w:tcMar>
              <w:top w:w="15" w:type="dxa"/>
              <w:left w:w="15" w:type="dxa"/>
              <w:right w:w="15" w:type="dxa"/>
            </w:tcMar>
            <w:vAlign w:val="center"/>
          </w:tcPr>
          <w:p w14:paraId="29DA80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13F23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防护绿地</w:t>
            </w:r>
          </w:p>
        </w:tc>
        <w:tc>
          <w:tcPr>
            <w:tcW w:w="4103" w:type="dxa"/>
            <w:tcBorders>
              <w:tl2br w:val="nil"/>
              <w:tr2bl w:val="nil"/>
            </w:tcBorders>
            <w:shd w:val="clear" w:color="auto" w:fill="auto"/>
            <w:noWrap/>
            <w:tcMar>
              <w:top w:w="15" w:type="dxa"/>
              <w:left w:w="15" w:type="dxa"/>
              <w:right w:w="15" w:type="dxa"/>
            </w:tcMar>
            <w:vAlign w:val="center"/>
          </w:tcPr>
          <w:p w14:paraId="62738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3FBFC6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71246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155" w:type="dxa"/>
            <w:tcBorders>
              <w:tl2br w:val="nil"/>
              <w:tr2bl w:val="nil"/>
            </w:tcBorders>
            <w:shd w:val="clear" w:color="auto" w:fill="auto"/>
            <w:noWrap/>
            <w:tcMar>
              <w:top w:w="15" w:type="dxa"/>
              <w:left w:w="15" w:type="dxa"/>
              <w:right w:w="15" w:type="dxa"/>
            </w:tcMar>
            <w:vAlign w:val="center"/>
          </w:tcPr>
          <w:p w14:paraId="09D3D7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1080" w:type="dxa"/>
            <w:vMerge w:val="restart"/>
            <w:tcBorders>
              <w:tl2br w:val="nil"/>
              <w:tr2bl w:val="nil"/>
            </w:tcBorders>
            <w:shd w:val="clear" w:color="auto" w:fill="auto"/>
            <w:noWrap/>
            <w:tcMar>
              <w:top w:w="15" w:type="dxa"/>
              <w:left w:w="15" w:type="dxa"/>
              <w:right w:w="15" w:type="dxa"/>
            </w:tcMar>
            <w:vAlign w:val="center"/>
          </w:tcPr>
          <w:p w14:paraId="09D933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企业聚集区周边</w:t>
            </w:r>
          </w:p>
        </w:tc>
        <w:tc>
          <w:tcPr>
            <w:tcW w:w="2640" w:type="dxa"/>
            <w:tcBorders>
              <w:tl2br w:val="nil"/>
              <w:tr2bl w:val="nil"/>
            </w:tcBorders>
            <w:shd w:val="clear" w:color="auto" w:fill="auto"/>
            <w:noWrap/>
            <w:tcMar>
              <w:top w:w="15" w:type="dxa"/>
              <w:left w:w="15" w:type="dxa"/>
              <w:right w:w="15" w:type="dxa"/>
            </w:tcMar>
            <w:vAlign w:val="center"/>
          </w:tcPr>
          <w:p w14:paraId="2AC36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7D200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6E1558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6F7F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155" w:type="dxa"/>
            <w:tcBorders>
              <w:tl2br w:val="nil"/>
              <w:tr2bl w:val="nil"/>
            </w:tcBorders>
            <w:shd w:val="clear" w:color="auto" w:fill="auto"/>
            <w:noWrap/>
            <w:tcMar>
              <w:top w:w="15" w:type="dxa"/>
              <w:left w:w="15" w:type="dxa"/>
              <w:right w:w="15" w:type="dxa"/>
            </w:tcMar>
            <w:vAlign w:val="center"/>
          </w:tcPr>
          <w:p w14:paraId="4F1C02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1080" w:type="dxa"/>
            <w:vMerge w:val="continue"/>
            <w:tcBorders>
              <w:tl2br w:val="nil"/>
              <w:tr2bl w:val="nil"/>
            </w:tcBorders>
            <w:shd w:val="clear" w:color="auto" w:fill="auto"/>
            <w:noWrap/>
            <w:tcMar>
              <w:top w:w="15" w:type="dxa"/>
              <w:left w:w="15" w:type="dxa"/>
              <w:right w:w="15" w:type="dxa"/>
            </w:tcMar>
            <w:vAlign w:val="center"/>
          </w:tcPr>
          <w:p w14:paraId="272DFF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46032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居住用地</w:t>
            </w:r>
          </w:p>
        </w:tc>
        <w:tc>
          <w:tcPr>
            <w:tcW w:w="4103" w:type="dxa"/>
            <w:tcBorders>
              <w:tl2br w:val="nil"/>
              <w:tr2bl w:val="nil"/>
            </w:tcBorders>
            <w:shd w:val="clear" w:color="auto" w:fill="auto"/>
            <w:noWrap/>
            <w:tcMar>
              <w:top w:w="15" w:type="dxa"/>
              <w:left w:w="15" w:type="dxa"/>
              <w:right w:w="15" w:type="dxa"/>
            </w:tcMar>
            <w:vAlign w:val="center"/>
          </w:tcPr>
          <w:p w14:paraId="7310F5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val="en-US" w:eastAsia="zh-CN"/>
              </w:rPr>
              <w:t>第一类用地筛选值</w:t>
            </w:r>
          </w:p>
        </w:tc>
      </w:tr>
      <w:tr w14:paraId="4B639E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2C35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155" w:type="dxa"/>
            <w:tcBorders>
              <w:tl2br w:val="nil"/>
              <w:tr2bl w:val="nil"/>
            </w:tcBorders>
            <w:shd w:val="clear" w:color="auto" w:fill="auto"/>
            <w:noWrap/>
            <w:tcMar>
              <w:top w:w="15" w:type="dxa"/>
              <w:left w:w="15" w:type="dxa"/>
              <w:right w:w="15" w:type="dxa"/>
            </w:tcMar>
            <w:vAlign w:val="center"/>
          </w:tcPr>
          <w:p w14:paraId="0730D9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1080" w:type="dxa"/>
            <w:vMerge w:val="continue"/>
            <w:tcBorders>
              <w:tl2br w:val="nil"/>
              <w:tr2bl w:val="nil"/>
            </w:tcBorders>
            <w:shd w:val="clear" w:color="auto" w:fill="auto"/>
            <w:noWrap/>
            <w:tcMar>
              <w:top w:w="15" w:type="dxa"/>
              <w:left w:w="15" w:type="dxa"/>
              <w:right w:w="15" w:type="dxa"/>
            </w:tcMar>
            <w:vAlign w:val="center"/>
          </w:tcPr>
          <w:p w14:paraId="566398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1A69FC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3E7AD6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val="en-US" w:eastAsia="zh-CN"/>
              </w:rPr>
              <w:t>第二类用地筛选值</w:t>
            </w:r>
          </w:p>
        </w:tc>
      </w:tr>
      <w:tr w14:paraId="02CFBB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95737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155" w:type="dxa"/>
            <w:tcBorders>
              <w:tl2br w:val="nil"/>
              <w:tr2bl w:val="nil"/>
            </w:tcBorders>
            <w:shd w:val="clear" w:color="auto" w:fill="auto"/>
            <w:noWrap/>
            <w:tcMar>
              <w:top w:w="15" w:type="dxa"/>
              <w:left w:w="15" w:type="dxa"/>
              <w:right w:w="15" w:type="dxa"/>
            </w:tcMar>
            <w:vAlign w:val="center"/>
          </w:tcPr>
          <w:p w14:paraId="21801D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1080" w:type="dxa"/>
            <w:vMerge w:val="continue"/>
            <w:tcBorders>
              <w:tl2br w:val="nil"/>
              <w:tr2bl w:val="nil"/>
            </w:tcBorders>
            <w:shd w:val="clear" w:color="auto" w:fill="auto"/>
            <w:noWrap/>
            <w:tcMar>
              <w:top w:w="15" w:type="dxa"/>
              <w:left w:w="15" w:type="dxa"/>
              <w:right w:w="15" w:type="dxa"/>
            </w:tcMar>
            <w:vAlign w:val="center"/>
          </w:tcPr>
          <w:p w14:paraId="10DD0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6BB8B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6921C3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0A00D5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1E7D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155" w:type="dxa"/>
            <w:tcBorders>
              <w:tl2br w:val="nil"/>
              <w:tr2bl w:val="nil"/>
            </w:tcBorders>
            <w:shd w:val="clear" w:color="auto" w:fill="auto"/>
            <w:noWrap/>
            <w:tcMar>
              <w:top w:w="15" w:type="dxa"/>
              <w:left w:w="15" w:type="dxa"/>
              <w:right w:w="15" w:type="dxa"/>
            </w:tcMar>
            <w:vAlign w:val="center"/>
          </w:tcPr>
          <w:p w14:paraId="5441E9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1080" w:type="dxa"/>
            <w:vMerge w:val="continue"/>
            <w:tcBorders>
              <w:tl2br w:val="nil"/>
              <w:tr2bl w:val="nil"/>
            </w:tcBorders>
            <w:shd w:val="clear" w:color="auto" w:fill="auto"/>
            <w:noWrap/>
            <w:tcMar>
              <w:top w:w="15" w:type="dxa"/>
              <w:left w:w="15" w:type="dxa"/>
              <w:right w:w="15" w:type="dxa"/>
            </w:tcMar>
            <w:vAlign w:val="center"/>
          </w:tcPr>
          <w:p w14:paraId="053B6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2125DE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7B0E8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322053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1A395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155" w:type="dxa"/>
            <w:tcBorders>
              <w:tl2br w:val="nil"/>
              <w:tr2bl w:val="nil"/>
            </w:tcBorders>
            <w:shd w:val="clear" w:color="auto" w:fill="auto"/>
            <w:noWrap/>
            <w:tcMar>
              <w:top w:w="15" w:type="dxa"/>
              <w:left w:w="15" w:type="dxa"/>
              <w:right w:w="15" w:type="dxa"/>
            </w:tcMar>
            <w:vAlign w:val="center"/>
          </w:tcPr>
          <w:p w14:paraId="73D978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1080" w:type="dxa"/>
            <w:vMerge w:val="continue"/>
            <w:tcBorders>
              <w:tl2br w:val="nil"/>
              <w:tr2bl w:val="nil"/>
            </w:tcBorders>
            <w:shd w:val="clear" w:color="auto" w:fill="auto"/>
            <w:noWrap/>
            <w:tcMar>
              <w:top w:w="15" w:type="dxa"/>
              <w:left w:w="15" w:type="dxa"/>
              <w:right w:w="15" w:type="dxa"/>
            </w:tcMar>
            <w:vAlign w:val="center"/>
          </w:tcPr>
          <w:p w14:paraId="66619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5D3C29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物流仓储用地</w:t>
            </w:r>
          </w:p>
        </w:tc>
        <w:tc>
          <w:tcPr>
            <w:tcW w:w="4103" w:type="dxa"/>
            <w:tcBorders>
              <w:tl2br w:val="nil"/>
              <w:tr2bl w:val="nil"/>
            </w:tcBorders>
            <w:shd w:val="clear" w:color="auto" w:fill="auto"/>
            <w:noWrap/>
            <w:tcMar>
              <w:top w:w="15" w:type="dxa"/>
              <w:left w:w="15" w:type="dxa"/>
              <w:right w:w="15" w:type="dxa"/>
            </w:tcMar>
            <w:vAlign w:val="center"/>
          </w:tcPr>
          <w:p w14:paraId="112204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6A5461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77DBE6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155" w:type="dxa"/>
            <w:tcBorders>
              <w:tl2br w:val="nil"/>
              <w:tr2bl w:val="nil"/>
            </w:tcBorders>
            <w:shd w:val="clear" w:color="auto" w:fill="auto"/>
            <w:noWrap/>
            <w:tcMar>
              <w:top w:w="15" w:type="dxa"/>
              <w:left w:w="15" w:type="dxa"/>
              <w:right w:w="15" w:type="dxa"/>
            </w:tcMar>
            <w:vAlign w:val="center"/>
          </w:tcPr>
          <w:p w14:paraId="5186AE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1080" w:type="dxa"/>
            <w:vMerge w:val="continue"/>
            <w:tcBorders>
              <w:tl2br w:val="nil"/>
              <w:tr2bl w:val="nil"/>
            </w:tcBorders>
            <w:shd w:val="clear" w:color="auto" w:fill="auto"/>
            <w:noWrap/>
            <w:tcMar>
              <w:top w:w="15" w:type="dxa"/>
              <w:left w:w="15" w:type="dxa"/>
              <w:right w:w="15" w:type="dxa"/>
            </w:tcMar>
            <w:vAlign w:val="center"/>
          </w:tcPr>
          <w:p w14:paraId="2DD527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483C0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47095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523247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25272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155" w:type="dxa"/>
            <w:tcBorders>
              <w:tl2br w:val="nil"/>
              <w:tr2bl w:val="nil"/>
            </w:tcBorders>
            <w:shd w:val="clear" w:color="auto" w:fill="auto"/>
            <w:noWrap/>
            <w:tcMar>
              <w:top w:w="15" w:type="dxa"/>
              <w:left w:w="15" w:type="dxa"/>
              <w:right w:w="15" w:type="dxa"/>
            </w:tcMar>
            <w:vAlign w:val="center"/>
          </w:tcPr>
          <w:p w14:paraId="4E42EE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1080" w:type="dxa"/>
            <w:vMerge w:val="continue"/>
            <w:tcBorders>
              <w:tl2br w:val="nil"/>
              <w:tr2bl w:val="nil"/>
            </w:tcBorders>
            <w:shd w:val="clear" w:color="auto" w:fill="auto"/>
            <w:noWrap/>
            <w:tcMar>
              <w:top w:w="15" w:type="dxa"/>
              <w:left w:w="15" w:type="dxa"/>
              <w:right w:w="15" w:type="dxa"/>
            </w:tcMar>
            <w:vAlign w:val="center"/>
          </w:tcPr>
          <w:p w14:paraId="21CCE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0D581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63C6F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r w14:paraId="591593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13E9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1155" w:type="dxa"/>
            <w:tcBorders>
              <w:tl2br w:val="nil"/>
              <w:tr2bl w:val="nil"/>
            </w:tcBorders>
            <w:shd w:val="clear" w:color="auto" w:fill="auto"/>
            <w:noWrap/>
            <w:tcMar>
              <w:top w:w="15" w:type="dxa"/>
              <w:left w:w="15" w:type="dxa"/>
              <w:right w:w="15" w:type="dxa"/>
            </w:tcMar>
            <w:vAlign w:val="center"/>
          </w:tcPr>
          <w:p w14:paraId="110DEA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1080" w:type="dxa"/>
            <w:vMerge w:val="continue"/>
            <w:tcBorders>
              <w:tl2br w:val="nil"/>
              <w:tr2bl w:val="nil"/>
            </w:tcBorders>
            <w:shd w:val="clear" w:color="auto" w:fill="auto"/>
            <w:noWrap/>
            <w:tcMar>
              <w:top w:w="15" w:type="dxa"/>
              <w:left w:w="15" w:type="dxa"/>
              <w:right w:w="15" w:type="dxa"/>
            </w:tcMar>
            <w:vAlign w:val="center"/>
          </w:tcPr>
          <w:p w14:paraId="525C2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22B9E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77AC4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i w:val="0"/>
                <w:color w:val="auto"/>
                <w:sz w:val="21"/>
                <w:szCs w:val="21"/>
                <w:highlight w:val="none"/>
                <w:u w:val="none"/>
                <w:lang w:val="en-US" w:eastAsia="zh-CN"/>
              </w:rPr>
              <w:t>第二类用地筛选值</w:t>
            </w:r>
          </w:p>
        </w:tc>
      </w:tr>
    </w:tbl>
    <w:p w14:paraId="12B2AA13">
      <w:pPr>
        <w:pStyle w:val="2"/>
        <w:spacing w:after="0" w:line="240" w:lineRule="auto"/>
        <w:rPr>
          <w:rFonts w:hint="default" w:ascii="Times New Roman" w:hAnsi="Times New Roman" w:cs="Times New Roman"/>
          <w:b/>
          <w:bCs/>
          <w:color w:val="000000"/>
          <w:kern w:val="0"/>
          <w:sz w:val="18"/>
          <w:szCs w:val="18"/>
          <w:highlight w:val="none"/>
          <w:lang w:val="en-US" w:eastAsia="zh-CN"/>
        </w:rPr>
      </w:pPr>
      <w:r>
        <w:rPr>
          <w:rFonts w:hint="default" w:ascii="Times New Roman" w:hAnsi="Times New Roman" w:cs="Times New Roman"/>
          <w:b/>
          <w:bCs/>
          <w:color w:val="000000"/>
          <w:kern w:val="0"/>
          <w:sz w:val="18"/>
          <w:szCs w:val="18"/>
          <w:highlight w:val="none"/>
        </w:rPr>
        <w:t>注：</w:t>
      </w:r>
      <w:r>
        <w:rPr>
          <w:rFonts w:hint="default" w:ascii="Times New Roman" w:hAnsi="Times New Roman" w:cs="Times New Roman"/>
          <w:b/>
          <w:bCs/>
          <w:color w:val="000000"/>
          <w:kern w:val="0"/>
          <w:sz w:val="18"/>
          <w:szCs w:val="18"/>
          <w:highlight w:val="none"/>
          <w:lang w:val="en-US" w:eastAsia="zh-CN"/>
        </w:rPr>
        <w:t>①表列园区周边土壤点位用地类型为现状用地类型，已建成企业聚集区周边点位用地类型为规划用地类型；</w:t>
      </w:r>
    </w:p>
    <w:p w14:paraId="0926D262">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color w:val="000000"/>
          <w:kern w:val="0"/>
          <w:sz w:val="18"/>
          <w:szCs w:val="18"/>
          <w:highlight w:val="none"/>
          <w:lang w:val="en-US" w:eastAsia="zh-CN"/>
        </w:rPr>
      </w:pPr>
      <w:r>
        <w:rPr>
          <w:rFonts w:ascii="宋体" w:hAnsi="宋体" w:eastAsia="宋体" w:cs="宋体"/>
          <w:b/>
          <w:bCs/>
          <w:sz w:val="18"/>
          <w:szCs w:val="18"/>
        </w:rPr>
        <w:t>②根据上文中评价标准选择原则，第一类/第二类用地筛选值按GB36600优先于深圳标准进行选择；</w:t>
      </w:r>
    </w:p>
    <w:p w14:paraId="0C8389D2">
      <w:pPr>
        <w:pStyle w:val="2"/>
        <w:spacing w:after="0" w:line="240" w:lineRule="auto"/>
        <w:ind w:firstLine="361" w:firstLineChars="200"/>
        <w:rPr>
          <w:rFonts w:hint="default" w:ascii="Times New Roman" w:hAnsi="Times New Roman" w:eastAsia="宋体" w:cs="Times New Roman"/>
          <w:b/>
          <w:bCs/>
          <w:color w:val="000000"/>
          <w:kern w:val="0"/>
          <w:sz w:val="18"/>
          <w:szCs w:val="18"/>
          <w:highlight w:val="none"/>
          <w:lang w:eastAsia="zh-CN"/>
        </w:rPr>
      </w:pPr>
      <w:r>
        <w:rPr>
          <w:rFonts w:hint="eastAsia" w:cs="Times New Roman"/>
          <w:b/>
          <w:bCs/>
          <w:color w:val="000000"/>
          <w:kern w:val="0"/>
          <w:sz w:val="18"/>
          <w:szCs w:val="18"/>
          <w:highlight w:val="none"/>
          <w:lang w:val="en-US" w:eastAsia="zh-CN"/>
        </w:rPr>
        <w:t>③</w:t>
      </w:r>
      <w:r>
        <w:rPr>
          <w:rFonts w:hint="default" w:ascii="Times New Roman" w:hAnsi="Times New Roman" w:cs="Times New Roman"/>
          <w:b/>
          <w:bCs/>
          <w:color w:val="000000"/>
          <w:kern w:val="0"/>
          <w:sz w:val="18"/>
          <w:szCs w:val="18"/>
          <w:highlight w:val="none"/>
        </w:rPr>
        <w:t>其它指GB15618农用地中除果园、水田外的用地</w:t>
      </w:r>
      <w:r>
        <w:rPr>
          <w:rFonts w:hint="default" w:ascii="Times New Roman" w:hAnsi="Times New Roman" w:cs="Times New Roman"/>
          <w:b/>
          <w:bCs/>
          <w:color w:val="000000"/>
          <w:kern w:val="0"/>
          <w:sz w:val="18"/>
          <w:szCs w:val="18"/>
          <w:highlight w:val="none"/>
          <w:lang w:eastAsia="zh-CN"/>
        </w:rPr>
        <w:t>。</w:t>
      </w:r>
    </w:p>
    <w:p w14:paraId="34391642">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具体标准值如下：</w:t>
      </w:r>
    </w:p>
    <w:p w14:paraId="13CBC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color w:val="auto"/>
          <w:sz w:val="24"/>
          <w:highlight w:val="none"/>
        </w:rPr>
      </w:pPr>
      <w:r>
        <w:rPr>
          <w:rFonts w:hint="default" w:ascii="Times New Roman" w:hAnsi="Times New Roman" w:eastAsia="黑体" w:cs="Times New Roman"/>
          <w:b/>
          <w:bCs/>
          <w:color w:val="auto"/>
          <w:sz w:val="24"/>
          <w:highlight w:val="none"/>
        </w:rPr>
        <w:t>表5-1-</w:t>
      </w:r>
      <w:r>
        <w:rPr>
          <w:rFonts w:hint="default" w:ascii="Times New Roman" w:hAnsi="Times New Roman" w:eastAsia="黑体" w:cs="Times New Roman"/>
          <w:b/>
          <w:bCs/>
          <w:color w:val="auto"/>
          <w:sz w:val="24"/>
          <w:highlight w:val="none"/>
          <w:lang w:val="en-US" w:eastAsia="zh-CN"/>
        </w:rPr>
        <w:t xml:space="preserve">2 </w:t>
      </w:r>
      <w:r>
        <w:rPr>
          <w:rFonts w:hint="default" w:ascii="Times New Roman" w:hAnsi="Times New Roman" w:eastAsia="黑体" w:cs="Times New Roman"/>
          <w:b/>
          <w:bCs/>
          <w:color w:val="auto"/>
          <w:sz w:val="24"/>
          <w:highlight w:val="none"/>
        </w:rPr>
        <w:t>建设用地土壤污染风险筛选值（单位：mg/kg）</w:t>
      </w:r>
    </w:p>
    <w:tbl>
      <w:tblPr>
        <w:tblStyle w:val="21"/>
        <w:tblW w:w="9668" w:type="dxa"/>
        <w:jc w:val="center"/>
        <w:shd w:val="clear" w:color="auto" w:fill="auto"/>
        <w:tblLayout w:type="fixed"/>
        <w:tblCellMar>
          <w:top w:w="0" w:type="dxa"/>
          <w:left w:w="0" w:type="dxa"/>
          <w:bottom w:w="0" w:type="dxa"/>
          <w:right w:w="0" w:type="dxa"/>
        </w:tblCellMar>
      </w:tblPr>
      <w:tblGrid>
        <w:gridCol w:w="1110"/>
        <w:gridCol w:w="2381"/>
        <w:gridCol w:w="1538"/>
        <w:gridCol w:w="2319"/>
        <w:gridCol w:w="2320"/>
      </w:tblGrid>
      <w:tr w14:paraId="6D3767E9">
        <w:tblPrEx>
          <w:tblCellMar>
            <w:top w:w="0" w:type="dxa"/>
            <w:left w:w="0" w:type="dxa"/>
            <w:bottom w:w="0" w:type="dxa"/>
            <w:right w:w="0" w:type="dxa"/>
          </w:tblCellMar>
        </w:tblPrEx>
        <w:trPr>
          <w:trHeight w:val="23" w:hRule="atLeast"/>
          <w:tblHeader/>
          <w:jc w:val="center"/>
        </w:trPr>
        <w:tc>
          <w:tcPr>
            <w:tcW w:w="1110" w:type="dxa"/>
            <w:tcBorders>
              <w:top w:val="single" w:color="000000" w:sz="12" w:space="0"/>
              <w:left w:val="nil"/>
              <w:bottom w:val="single" w:color="000000" w:sz="12" w:space="0"/>
              <w:right w:val="single" w:color="000000" w:sz="4" w:space="0"/>
            </w:tcBorders>
            <w:shd w:val="clear" w:color="auto" w:fill="auto"/>
            <w:noWrap/>
            <w:tcMar>
              <w:top w:w="15" w:type="dxa"/>
              <w:left w:w="15" w:type="dxa"/>
              <w:right w:w="15" w:type="dxa"/>
            </w:tcMar>
            <w:vAlign w:val="center"/>
          </w:tcPr>
          <w:p w14:paraId="12030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2381"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5FC44B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污染物项目</w:t>
            </w:r>
          </w:p>
        </w:tc>
        <w:tc>
          <w:tcPr>
            <w:tcW w:w="1538"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68BB2C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CAS号</w:t>
            </w:r>
          </w:p>
        </w:tc>
        <w:tc>
          <w:tcPr>
            <w:tcW w:w="2319"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7E708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第一类用地筛选值</w:t>
            </w:r>
          </w:p>
        </w:tc>
        <w:tc>
          <w:tcPr>
            <w:tcW w:w="2320" w:type="dxa"/>
            <w:tcBorders>
              <w:top w:val="single" w:color="000000" w:sz="12" w:space="0"/>
              <w:left w:val="single" w:color="000000" w:sz="4" w:space="0"/>
              <w:bottom w:val="single" w:color="000000" w:sz="12" w:space="0"/>
              <w:right w:val="nil"/>
            </w:tcBorders>
            <w:shd w:val="clear" w:color="auto" w:fill="auto"/>
            <w:noWrap/>
            <w:tcMar>
              <w:top w:w="15" w:type="dxa"/>
              <w:left w:w="15" w:type="dxa"/>
              <w:right w:w="15" w:type="dxa"/>
            </w:tcMar>
            <w:vAlign w:val="center"/>
          </w:tcPr>
          <w:p w14:paraId="2B13E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第二类用地筛选值</w:t>
            </w:r>
          </w:p>
        </w:tc>
      </w:tr>
      <w:tr w14:paraId="76C3A2FD">
        <w:tblPrEx>
          <w:tblCellMar>
            <w:top w:w="0" w:type="dxa"/>
            <w:left w:w="0" w:type="dxa"/>
            <w:bottom w:w="0" w:type="dxa"/>
            <w:right w:w="0" w:type="dxa"/>
          </w:tblCellMar>
        </w:tblPrEx>
        <w:trPr>
          <w:cantSplit/>
          <w:trHeight w:val="311" w:hRule="atLeast"/>
          <w:jc w:val="center"/>
        </w:trPr>
        <w:tc>
          <w:tcPr>
            <w:tcW w:w="9668" w:type="dxa"/>
            <w:gridSpan w:val="5"/>
            <w:tcBorders>
              <w:top w:val="single" w:color="000000" w:sz="12" w:space="0"/>
              <w:left w:val="nil"/>
              <w:bottom w:val="single" w:color="000000" w:sz="4" w:space="0"/>
              <w:right w:val="nil"/>
            </w:tcBorders>
            <w:shd w:val="clear" w:color="auto" w:fill="auto"/>
            <w:noWrap/>
            <w:tcMar>
              <w:top w:w="15" w:type="dxa"/>
              <w:left w:w="15" w:type="dxa"/>
              <w:right w:w="15" w:type="dxa"/>
            </w:tcMar>
            <w:vAlign w:val="center"/>
          </w:tcPr>
          <w:p w14:paraId="5005A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重金属和无机物</w:t>
            </w:r>
          </w:p>
        </w:tc>
      </w:tr>
      <w:tr w14:paraId="494EF52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ADD6F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9B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总氟化物</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E40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rPr>
              <w:t>16984-48-8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2E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D27BF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10000</w:t>
            </w:r>
          </w:p>
        </w:tc>
      </w:tr>
      <w:tr w14:paraId="7ED1E0F8">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EF988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2381"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0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538"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D71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7439-92-1</w:t>
            </w:r>
          </w:p>
        </w:tc>
        <w:tc>
          <w:tcPr>
            <w:tcW w:w="231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88D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400</w:t>
            </w:r>
          </w:p>
        </w:tc>
        <w:tc>
          <w:tcPr>
            <w:tcW w:w="2320" w:type="dxa"/>
            <w:tcBorders>
              <w:top w:val="single" w:color="auto"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A27B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800</w:t>
            </w:r>
          </w:p>
        </w:tc>
      </w:tr>
      <w:tr w14:paraId="4BDA575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2B95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C7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87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7439-97-6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7C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91AA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38</w:t>
            </w:r>
          </w:p>
        </w:tc>
      </w:tr>
      <w:tr w14:paraId="17DA87D2">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C2B1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D2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89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7440-48-4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F6D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A8968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r>
      <w:tr w14:paraId="2399A7C2">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F564D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00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EF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7440-43-9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C3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424B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65</w:t>
            </w:r>
          </w:p>
        </w:tc>
      </w:tr>
      <w:tr w14:paraId="088F64B2">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13AA2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91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4A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7440-50-8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45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2000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BB7C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18000</w:t>
            </w:r>
          </w:p>
        </w:tc>
      </w:tr>
      <w:tr w14:paraId="47B79D29">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A0D67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927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2E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7440-02-0</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26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7431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900</w:t>
            </w:r>
          </w:p>
        </w:tc>
      </w:tr>
      <w:tr w14:paraId="0AB5B88A">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BD12E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DD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E8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7440-47-3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36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1210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595C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2420</w:t>
            </w:r>
          </w:p>
        </w:tc>
      </w:tr>
      <w:tr w14:paraId="6002214B">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93B93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01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铬（六价）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73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18540-29-9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E1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3.0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4AEA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5.7</w:t>
            </w:r>
          </w:p>
        </w:tc>
      </w:tr>
      <w:tr w14:paraId="2B854D1A">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D4793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44C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F9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7440-38-2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01E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6425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60</w:t>
            </w:r>
          </w:p>
        </w:tc>
      </w:tr>
      <w:tr w14:paraId="750A139B">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74C0A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BC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钼</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8B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7439-98-7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95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232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E69F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1940</w:t>
            </w:r>
          </w:p>
        </w:tc>
      </w:tr>
      <w:tr w14:paraId="2A22118A">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E951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29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锑</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B20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7440-36-0</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2E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7E3D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180</w:t>
            </w:r>
          </w:p>
        </w:tc>
      </w:tr>
      <w:tr w14:paraId="352EFB72">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EDDB0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有机物</w:t>
            </w:r>
            <w:r>
              <w:rPr>
                <w:rFonts w:hint="default" w:ascii="Times New Roman" w:hAnsi="Times New Roman" w:eastAsia="宋体" w:cs="Times New Roman"/>
                <w:i w:val="0"/>
                <w:color w:val="auto"/>
                <w:kern w:val="0"/>
                <w:sz w:val="21"/>
                <w:szCs w:val="21"/>
                <w:highlight w:val="none"/>
                <w:u w:val="none"/>
                <w:lang w:val="en-US" w:eastAsia="zh-CN" w:bidi="ar"/>
              </w:rPr>
              <w:t xml:space="preserve"> - </w:t>
            </w:r>
            <w:r>
              <w:rPr>
                <w:rFonts w:hint="default" w:ascii="Times New Roman" w:hAnsi="Times New Roman" w:cs="Times New Roman"/>
                <w:i w:val="0"/>
                <w:color w:val="auto"/>
                <w:kern w:val="0"/>
                <w:sz w:val="21"/>
                <w:szCs w:val="21"/>
                <w:highlight w:val="none"/>
                <w:u w:val="none"/>
                <w:lang w:val="en-US" w:eastAsia="zh-CN" w:bidi="ar"/>
              </w:rPr>
              <w:t>石油烃</w:t>
            </w:r>
          </w:p>
        </w:tc>
      </w:tr>
      <w:tr w14:paraId="6DB75110">
        <w:tblPrEx>
          <w:shd w:val="clear" w:color="auto" w:fill="auto"/>
          <w:tblCellMar>
            <w:top w:w="0" w:type="dxa"/>
            <w:left w:w="0" w:type="dxa"/>
            <w:bottom w:w="0" w:type="dxa"/>
            <w:right w:w="0" w:type="dxa"/>
          </w:tblCellMar>
        </w:tblPrEx>
        <w:trPr>
          <w:cantSplit/>
          <w:trHeight w:val="90"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8F16F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58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石油烃（C</w:t>
            </w:r>
            <w:r>
              <w:rPr>
                <w:rFonts w:hint="default" w:ascii="Times New Roman" w:hAnsi="Times New Roman" w:cs="Times New Roman"/>
                <w:i w:val="0"/>
                <w:color w:val="auto"/>
                <w:kern w:val="0"/>
                <w:sz w:val="21"/>
                <w:szCs w:val="21"/>
                <w:highlight w:val="none"/>
                <w:u w:val="none"/>
                <w:vertAlign w:val="subscript"/>
                <w:lang w:val="en-US" w:eastAsia="zh-CN" w:bidi="ar"/>
              </w:rPr>
              <w:t>10</w:t>
            </w:r>
            <w:r>
              <w:rPr>
                <w:rFonts w:hint="default" w:ascii="Times New Roman" w:hAnsi="Times New Roman" w:cs="Times New Roman"/>
                <w:i w:val="0"/>
                <w:color w:val="auto"/>
                <w:kern w:val="0"/>
                <w:sz w:val="21"/>
                <w:szCs w:val="21"/>
                <w:highlight w:val="none"/>
                <w:u w:val="none"/>
                <w:lang w:val="en-US" w:eastAsia="zh-CN" w:bidi="ar"/>
              </w:rPr>
              <w:t>-C</w:t>
            </w:r>
            <w:r>
              <w:rPr>
                <w:rFonts w:hint="default" w:ascii="Times New Roman" w:hAnsi="Times New Roman" w:cs="Times New Roman"/>
                <w:i w:val="0"/>
                <w:color w:val="auto"/>
                <w:kern w:val="0"/>
                <w:sz w:val="21"/>
                <w:szCs w:val="21"/>
                <w:highlight w:val="none"/>
                <w:u w:val="none"/>
                <w:vertAlign w:val="subscript"/>
                <w:lang w:val="en-US" w:eastAsia="zh-CN" w:bidi="ar"/>
              </w:rPr>
              <w:t>40</w:t>
            </w:r>
            <w:r>
              <w:rPr>
                <w:rFonts w:hint="default" w:ascii="Times New Roman" w:hAnsi="Times New Roman" w:cs="Times New Roman"/>
                <w:i w:val="0"/>
                <w:color w:val="auto"/>
                <w:kern w:val="0"/>
                <w:sz w:val="21"/>
                <w:szCs w:val="21"/>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75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8A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826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C2D2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4500</w:t>
            </w:r>
          </w:p>
        </w:tc>
      </w:tr>
      <w:tr w14:paraId="643C9794">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6267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单环芳烃类(MAH)</w:t>
            </w:r>
          </w:p>
        </w:tc>
      </w:tr>
      <w:tr w14:paraId="122EFB1F">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65966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FB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83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71-43-2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35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4A67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r>
      <w:tr w14:paraId="690F2D1C">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AD540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18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253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108-88-3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41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5926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1200</w:t>
            </w:r>
          </w:p>
        </w:tc>
      </w:tr>
      <w:tr w14:paraId="5DEFC56D">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05B62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A8C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乙苯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B6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100-41-4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A21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E0637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421BB458">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BEACF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AD0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间-二甲苯和对-二甲苯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16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108-38-3 106-42-3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71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7AA54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570</w:t>
            </w:r>
          </w:p>
        </w:tc>
      </w:tr>
      <w:tr w14:paraId="7E7F9F9F">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B6734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59D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邻-二甲苯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9A8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95-47-6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DF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FCDD8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640</w:t>
            </w:r>
          </w:p>
        </w:tc>
      </w:tr>
      <w:tr w14:paraId="063E17FA">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8A09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19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70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CE2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100-42-5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4E0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83023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1290</w:t>
            </w:r>
          </w:p>
        </w:tc>
      </w:tr>
      <w:tr w14:paraId="6D2010BB">
        <w:tblPrEx>
          <w:shd w:val="clear" w:color="auto" w:fill="auto"/>
          <w:tblCellMar>
            <w:top w:w="0" w:type="dxa"/>
            <w:left w:w="0" w:type="dxa"/>
            <w:bottom w:w="0" w:type="dxa"/>
            <w:right w:w="0" w:type="dxa"/>
          </w:tblCellMar>
        </w:tblPrEx>
        <w:trPr>
          <w:cantSplit/>
          <w:trHeight w:val="90"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275A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卤代脂肪烃</w:t>
            </w:r>
          </w:p>
        </w:tc>
      </w:tr>
      <w:tr w14:paraId="4EF1796E">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12" w:space="0"/>
              <w:right w:val="single" w:color="000000" w:sz="4" w:space="0"/>
            </w:tcBorders>
            <w:shd w:val="clear" w:color="auto" w:fill="auto"/>
            <w:noWrap/>
            <w:tcMar>
              <w:top w:w="15" w:type="dxa"/>
              <w:left w:w="15" w:type="dxa"/>
              <w:right w:w="15" w:type="dxa"/>
            </w:tcMar>
            <w:vAlign w:val="center"/>
          </w:tcPr>
          <w:p w14:paraId="0830B1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81"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370378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氯甲烷</w:t>
            </w:r>
          </w:p>
        </w:tc>
        <w:tc>
          <w:tcPr>
            <w:tcW w:w="1538"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5E571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74-87-3</w:t>
            </w:r>
          </w:p>
        </w:tc>
        <w:tc>
          <w:tcPr>
            <w:tcW w:w="2319"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0831E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320" w:type="dxa"/>
            <w:tcBorders>
              <w:top w:val="single" w:color="000000" w:sz="4" w:space="0"/>
              <w:left w:val="single" w:color="000000" w:sz="4" w:space="0"/>
              <w:bottom w:val="single" w:color="000000" w:sz="12" w:space="0"/>
              <w:right w:val="nil"/>
            </w:tcBorders>
            <w:shd w:val="clear" w:color="auto" w:fill="auto"/>
            <w:noWrap/>
            <w:tcMar>
              <w:top w:w="15" w:type="dxa"/>
              <w:left w:w="15" w:type="dxa"/>
              <w:right w:w="15" w:type="dxa"/>
            </w:tcMar>
            <w:vAlign w:val="center"/>
          </w:tcPr>
          <w:p w14:paraId="0C367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37</w:t>
            </w:r>
          </w:p>
        </w:tc>
      </w:tr>
      <w:tr w14:paraId="075BB39F">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12" w:space="0"/>
              <w:left w:val="nil"/>
              <w:bottom w:val="single" w:color="000000" w:sz="4" w:space="0"/>
              <w:right w:val="single" w:color="000000" w:sz="4" w:space="0"/>
            </w:tcBorders>
            <w:shd w:val="clear" w:color="auto" w:fill="auto"/>
            <w:noWrap/>
            <w:tcMar>
              <w:top w:w="15" w:type="dxa"/>
              <w:left w:w="15" w:type="dxa"/>
              <w:right w:w="15" w:type="dxa"/>
            </w:tcMar>
            <w:vAlign w:val="center"/>
          </w:tcPr>
          <w:p w14:paraId="3358F9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2381"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FD3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氯乙烯</w:t>
            </w:r>
          </w:p>
        </w:tc>
        <w:tc>
          <w:tcPr>
            <w:tcW w:w="1538"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FB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1975</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1</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2319"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D6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w:t>
            </w:r>
          </w:p>
        </w:tc>
        <w:tc>
          <w:tcPr>
            <w:tcW w:w="2320" w:type="dxa"/>
            <w:tcBorders>
              <w:top w:val="single" w:color="000000" w:sz="12" w:space="0"/>
              <w:left w:val="single" w:color="000000" w:sz="4" w:space="0"/>
              <w:bottom w:val="single" w:color="000000" w:sz="4" w:space="0"/>
              <w:right w:val="nil"/>
            </w:tcBorders>
            <w:shd w:val="clear" w:color="auto" w:fill="auto"/>
            <w:noWrap/>
            <w:tcMar>
              <w:top w:w="15" w:type="dxa"/>
              <w:left w:w="15" w:type="dxa"/>
              <w:right w:w="15" w:type="dxa"/>
            </w:tcMar>
            <w:vAlign w:val="center"/>
          </w:tcPr>
          <w:p w14:paraId="5883C0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0.43</w:t>
            </w:r>
          </w:p>
        </w:tc>
      </w:tr>
      <w:tr w14:paraId="6C78A92E">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E3C6A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B47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6E7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75-35-4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38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1FE5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w:t>
            </w:r>
          </w:p>
        </w:tc>
      </w:tr>
      <w:tr w14:paraId="5CF46C73">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A1FD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288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二氯甲烷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C7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1975</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9</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0B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71E7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616</w:t>
            </w:r>
          </w:p>
        </w:tc>
      </w:tr>
      <w:tr w14:paraId="20CA88F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32916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6F1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反式-1,2-二氯乙烯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A47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156-60-5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46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1696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54</w:t>
            </w:r>
          </w:p>
        </w:tc>
      </w:tr>
      <w:tr w14:paraId="0BF85741">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7B619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59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1,1-二氯乙烷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9C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75-34-3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5D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1326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r>
      <w:tr w14:paraId="6B29102F">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1C073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A2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顺式-1,2-二氯乙烯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158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156-59-2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EE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620B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596</w:t>
            </w:r>
          </w:p>
        </w:tc>
      </w:tr>
      <w:tr w14:paraId="37708129">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0C1C9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9E6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1,1,1-三氯乙烷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6AD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71-55-6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EB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D9F3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840</w:t>
            </w:r>
          </w:p>
        </w:tc>
      </w:tr>
      <w:tr w14:paraId="27B52EEF">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AA4BD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7C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四氯化碳</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8C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56-23-5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6B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EDCD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478DC12F">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9F5D5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DB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B9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107-06-2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4A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EABA6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r>
      <w:tr w14:paraId="2F0B42AF">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3A4DF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6CA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三氯乙烯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E81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1979</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1</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475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0.7</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C336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6244861F">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F61AD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A4A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4F3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78-87-5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129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38A4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r>
      <w:tr w14:paraId="17E5F4D6">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A1C99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CB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1,1,2-三氯乙烷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AE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79-00-5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A3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26A6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1EEFF5A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DE852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D9F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688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127-18-4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CE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8113D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w:t>
            </w:r>
          </w:p>
        </w:tc>
      </w:tr>
      <w:tr w14:paraId="73E3936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B834A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D12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1,1,1,2-四氯乙烷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BA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630-20-6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0B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B77E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r>
      <w:tr w14:paraId="4240E96C">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51A69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68A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1,1,2,2-四氯乙烷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62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630-20-6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6D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933FE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6.8</w:t>
            </w:r>
          </w:p>
        </w:tc>
      </w:tr>
      <w:tr w14:paraId="028E4324">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59AC1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72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1,2,3-三氯丙烷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65E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96-18-4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6E3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9F43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w:t>
            </w:r>
          </w:p>
        </w:tc>
      </w:tr>
      <w:tr w14:paraId="4F94AF10">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ABF67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A9FC4">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1,3,5-三甲基苯</w:t>
            </w:r>
            <w:r>
              <w:rPr>
                <w:rFonts w:hint="eastAsia"/>
                <w:sz w:val="21"/>
                <w:szCs w:val="21"/>
                <w:vertAlign w:val="superscript"/>
                <w:lang w:val="en-US" w:eastAsia="zh-CN"/>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CD5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108-67-8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CAE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80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CF168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251</w:t>
            </w:r>
          </w:p>
        </w:tc>
      </w:tr>
      <w:tr w14:paraId="783E0AE6">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5607F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38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B4437">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1,2,4-三甲基苯</w:t>
            </w:r>
            <w:r>
              <w:rPr>
                <w:rFonts w:hint="eastAsia"/>
                <w:sz w:val="21"/>
                <w:szCs w:val="21"/>
                <w:vertAlign w:val="superscript"/>
                <w:lang w:val="en-US" w:eastAsia="zh-CN"/>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206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95-63-6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79D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CC59A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302</w:t>
            </w:r>
          </w:p>
        </w:tc>
      </w:tr>
      <w:tr w14:paraId="791BD1F5">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041D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卤代芳香烃</w:t>
            </w:r>
          </w:p>
        </w:tc>
      </w:tr>
      <w:tr w14:paraId="752EEA2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E1FE4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39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FB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17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108-90-7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DD9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68</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DB24B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270</w:t>
            </w:r>
          </w:p>
        </w:tc>
      </w:tr>
      <w:tr w14:paraId="7AFC32AE">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BFC1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40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1C3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1,4-二氯苯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F64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106-46-7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BC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3FC9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r>
      <w:tr w14:paraId="72734370">
        <w:tblPrEx>
          <w:shd w:val="clear" w:color="auto" w:fill="auto"/>
          <w:tblCellMar>
            <w:top w:w="0" w:type="dxa"/>
            <w:left w:w="0" w:type="dxa"/>
            <w:bottom w:w="0" w:type="dxa"/>
            <w:right w:w="0" w:type="dxa"/>
          </w:tblCellMar>
        </w:tblPrEx>
        <w:trPr>
          <w:cantSplit/>
          <w:trHeight w:val="90"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C227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41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8C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7E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95-50-1</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83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63AC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560</w:t>
            </w:r>
          </w:p>
        </w:tc>
      </w:tr>
      <w:tr w14:paraId="1EB5B22F">
        <w:tblPrEx>
          <w:tblCellMar>
            <w:top w:w="0" w:type="dxa"/>
            <w:left w:w="0" w:type="dxa"/>
            <w:bottom w:w="0" w:type="dxa"/>
            <w:right w:w="0" w:type="dxa"/>
          </w:tblCellMar>
        </w:tblPrEx>
        <w:trPr>
          <w:cantSplit/>
          <w:trHeight w:val="90"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093B8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 xml:space="preserve">挥发性有机物 - </w:t>
            </w:r>
            <w:r>
              <w:rPr>
                <w:rFonts w:hint="default" w:ascii="Times New Roman" w:hAnsi="Times New Roman" w:cs="Times New Roman"/>
                <w:i w:val="0"/>
                <w:color w:val="auto"/>
                <w:kern w:val="0"/>
                <w:sz w:val="21"/>
                <w:szCs w:val="21"/>
                <w:highlight w:val="none"/>
                <w:u w:val="none"/>
                <w:lang w:val="en-US" w:eastAsia="zh-CN" w:bidi="ar"/>
              </w:rPr>
              <w:t>含硫化合物</w:t>
            </w:r>
          </w:p>
        </w:tc>
      </w:tr>
      <w:tr w14:paraId="2ABE7C7F">
        <w:tblPrEx>
          <w:shd w:val="clear" w:color="auto" w:fill="auto"/>
          <w:tblCellMar>
            <w:top w:w="0" w:type="dxa"/>
            <w:left w:w="0" w:type="dxa"/>
            <w:bottom w:w="0" w:type="dxa"/>
            <w:right w:w="0" w:type="dxa"/>
          </w:tblCellMar>
        </w:tblPrEx>
        <w:trPr>
          <w:cantSplit/>
          <w:trHeight w:val="90"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E79B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881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二硫化碳</w:t>
            </w:r>
            <w:r>
              <w:rPr>
                <w:rFonts w:hint="eastAsia"/>
                <w:sz w:val="21"/>
                <w:szCs w:val="21"/>
                <w:vertAlign w:val="superscript"/>
                <w:lang w:val="en-US" w:eastAsia="zh-CN"/>
              </w:rPr>
              <w:t>②</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DAA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75-15-0</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13C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F8C2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228</w:t>
            </w:r>
          </w:p>
        </w:tc>
      </w:tr>
      <w:tr w14:paraId="2F256170">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32C6A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三卤甲烷 (THM)</w:t>
            </w:r>
          </w:p>
        </w:tc>
      </w:tr>
      <w:tr w14:paraId="5D5E7A00">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F67D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43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33C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氯仿</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F0F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67-66-3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B11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5C7F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w:t>
            </w:r>
          </w:p>
        </w:tc>
      </w:tr>
      <w:tr w14:paraId="6D3DF147">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1976DB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苯酚类</w:t>
            </w:r>
          </w:p>
        </w:tc>
      </w:tr>
      <w:tr w14:paraId="2DCB9725">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FC61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850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苯酚</w:t>
            </w:r>
            <w:r>
              <w:rPr>
                <w:rFonts w:hint="default" w:ascii="Times New Roman" w:hAnsi="Times New Roman" w:cs="Times New Roman"/>
                <w:i w:val="0"/>
                <w:color w:val="auto"/>
                <w:kern w:val="0"/>
                <w:sz w:val="21"/>
                <w:szCs w:val="21"/>
                <w:highlight w:val="none"/>
                <w:u w:val="none"/>
                <w:vertAlign w:val="superscript"/>
                <w:lang w:val="en-US" w:eastAsia="zh-CN" w:bidi="ar"/>
              </w:rPr>
              <w:t>②</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B57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108-95-2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A6F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4160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57BF6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24200</w:t>
            </w:r>
          </w:p>
        </w:tc>
      </w:tr>
      <w:tr w14:paraId="79B71512">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DA31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9E5D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2-氯酚</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3F32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95-57-8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E4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250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4B06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2256</w:t>
            </w:r>
          </w:p>
        </w:tc>
      </w:tr>
      <w:tr w14:paraId="7944E9BA">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2D45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147E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2-甲基苯酚</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5D1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95-48-7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F7D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1580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5EC24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9990</w:t>
            </w:r>
          </w:p>
        </w:tc>
      </w:tr>
      <w:tr w14:paraId="6EAF7127">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2E9C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096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4-甲基苯酚</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CEB8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106-44-5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59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173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D640E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1160</w:t>
            </w:r>
          </w:p>
        </w:tc>
      </w:tr>
      <w:tr w14:paraId="73182F4B">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0BEA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多环芳烃类(PAHs)</w:t>
            </w:r>
          </w:p>
        </w:tc>
      </w:tr>
      <w:tr w14:paraId="1AD15870">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B7F0C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48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9B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F6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91-20-3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D2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D7B2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r>
      <w:tr w14:paraId="0A197205">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A71D0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49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23C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苯并(a)蒽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A88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56-55-3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33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D5F6E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52E45645">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2775B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D7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䓛</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55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218-01-9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5D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480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F9A68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1293</w:t>
            </w:r>
          </w:p>
        </w:tc>
      </w:tr>
      <w:tr w14:paraId="1F75065E">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2FA37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BB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苯并(b)荧蒽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A1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205-99-2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FF3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A41DA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19B1553C">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AC66C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EF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苯并(k)荧蒽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81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207-08-9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3D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44A58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151</w:t>
            </w:r>
          </w:p>
        </w:tc>
      </w:tr>
      <w:tr w14:paraId="3B523086">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60DEE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129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苯并(a)芘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A6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50-32-8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09C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59087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742EED58">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12" w:space="0"/>
              <w:right w:val="single" w:color="000000" w:sz="4" w:space="0"/>
            </w:tcBorders>
            <w:shd w:val="clear" w:color="auto" w:fill="auto"/>
            <w:noWrap/>
            <w:tcMar>
              <w:top w:w="15" w:type="dxa"/>
              <w:left w:w="15" w:type="dxa"/>
              <w:right w:w="15" w:type="dxa"/>
            </w:tcMar>
            <w:vAlign w:val="center"/>
          </w:tcPr>
          <w:p w14:paraId="3250C2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54</w:t>
            </w:r>
          </w:p>
        </w:tc>
        <w:tc>
          <w:tcPr>
            <w:tcW w:w="2381"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5A7377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茚并(1,2,3-cd)芘</w:t>
            </w:r>
          </w:p>
        </w:tc>
        <w:tc>
          <w:tcPr>
            <w:tcW w:w="1538"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51E585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193-39-5</w:t>
            </w:r>
          </w:p>
        </w:tc>
        <w:tc>
          <w:tcPr>
            <w:tcW w:w="2319" w:type="dxa"/>
            <w:tcBorders>
              <w:top w:val="single" w:color="000000" w:sz="4"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62F16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12" w:space="0"/>
              <w:right w:val="nil"/>
            </w:tcBorders>
            <w:shd w:val="clear" w:color="auto" w:fill="auto"/>
            <w:noWrap/>
            <w:tcMar>
              <w:top w:w="15" w:type="dxa"/>
              <w:left w:w="15" w:type="dxa"/>
              <w:right w:w="15" w:type="dxa"/>
            </w:tcMar>
            <w:vAlign w:val="center"/>
          </w:tcPr>
          <w:p w14:paraId="502BC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4D94A6B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12" w:space="0"/>
              <w:left w:val="nil"/>
              <w:bottom w:val="single" w:color="000000" w:sz="4" w:space="0"/>
              <w:right w:val="single" w:color="000000" w:sz="4" w:space="0"/>
            </w:tcBorders>
            <w:shd w:val="clear" w:color="auto" w:fill="auto"/>
            <w:noWrap/>
            <w:tcMar>
              <w:top w:w="15" w:type="dxa"/>
              <w:left w:w="15" w:type="dxa"/>
              <w:right w:w="15" w:type="dxa"/>
            </w:tcMar>
            <w:vAlign w:val="center"/>
          </w:tcPr>
          <w:p w14:paraId="647E0A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81"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859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二苯并(a,h)蒽</w:t>
            </w:r>
          </w:p>
        </w:tc>
        <w:tc>
          <w:tcPr>
            <w:tcW w:w="1538"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B2B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53-70-3</w:t>
            </w:r>
          </w:p>
        </w:tc>
        <w:tc>
          <w:tcPr>
            <w:tcW w:w="2319" w:type="dxa"/>
            <w:tcBorders>
              <w:top w:val="single" w:color="000000" w:sz="12"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3EB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0.55</w:t>
            </w:r>
          </w:p>
        </w:tc>
        <w:tc>
          <w:tcPr>
            <w:tcW w:w="2320" w:type="dxa"/>
            <w:tcBorders>
              <w:top w:val="single" w:color="000000" w:sz="12" w:space="0"/>
              <w:left w:val="single" w:color="000000" w:sz="4" w:space="0"/>
              <w:bottom w:val="single" w:color="000000" w:sz="4" w:space="0"/>
              <w:right w:val="nil"/>
            </w:tcBorders>
            <w:shd w:val="clear" w:color="auto" w:fill="auto"/>
            <w:noWrap/>
            <w:tcMar>
              <w:top w:w="15" w:type="dxa"/>
              <w:left w:w="15" w:type="dxa"/>
              <w:right w:w="15" w:type="dxa"/>
            </w:tcMar>
            <w:vAlign w:val="center"/>
          </w:tcPr>
          <w:p w14:paraId="49546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08D4D7DF">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EB9A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硝基芳烃和酮类</w:t>
            </w:r>
          </w:p>
        </w:tc>
      </w:tr>
      <w:tr w14:paraId="067237E3">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D673A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A4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硝基苯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DFC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98-95-3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9F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D9E59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76</w:t>
            </w:r>
          </w:p>
        </w:tc>
      </w:tr>
      <w:tr w14:paraId="09EEB036">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2B93E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苯胺和联苯胺类</w:t>
            </w:r>
          </w:p>
        </w:tc>
      </w:tr>
      <w:tr w14:paraId="5EE34E2D">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F571F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97F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苯胺</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73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62-53-3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B9A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2935A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260</w:t>
            </w:r>
          </w:p>
        </w:tc>
      </w:tr>
      <w:tr w14:paraId="41F69C91">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12069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有机物</w:t>
            </w:r>
            <w:r>
              <w:rPr>
                <w:rFonts w:hint="default" w:ascii="Times New Roman" w:hAnsi="Times New Roman" w:eastAsia="宋体" w:cs="Times New Roman"/>
                <w:i w:val="0"/>
                <w:color w:val="auto"/>
                <w:kern w:val="0"/>
                <w:sz w:val="21"/>
                <w:szCs w:val="21"/>
                <w:highlight w:val="none"/>
                <w:u w:val="none"/>
                <w:lang w:val="en-US" w:eastAsia="zh-CN" w:bidi="ar"/>
              </w:rPr>
              <w:t xml:space="preserve"> - </w:t>
            </w:r>
            <w:r>
              <w:rPr>
                <w:rFonts w:hint="default" w:ascii="Times New Roman" w:hAnsi="Times New Roman" w:cs="Times New Roman"/>
                <w:i w:val="0"/>
                <w:color w:val="auto"/>
                <w:kern w:val="0"/>
                <w:sz w:val="21"/>
                <w:szCs w:val="21"/>
                <w:highlight w:val="none"/>
                <w:u w:val="none"/>
                <w:lang w:val="en-US" w:eastAsia="zh-CN" w:bidi="ar"/>
              </w:rPr>
              <w:t>多氯联苯和二</w:t>
            </w:r>
            <w:r>
              <w:rPr>
                <w:rFonts w:hint="default" w:ascii="Times New Roman" w:hAnsi="Times New Roman" w:eastAsia="宋体" w:cs="Times New Roman"/>
                <w:i w:val="0"/>
                <w:color w:val="auto"/>
                <w:kern w:val="0"/>
                <w:sz w:val="21"/>
                <w:szCs w:val="21"/>
                <w:highlight w:val="none"/>
                <w:u w:val="none"/>
                <w:lang w:val="en-US" w:eastAsia="zh-CN" w:bidi="ar"/>
              </w:rPr>
              <w:t>噁</w:t>
            </w:r>
            <w:r>
              <w:rPr>
                <w:rFonts w:hint="default" w:ascii="Times New Roman" w:hAnsi="Times New Roman" w:cs="Times New Roman"/>
                <w:i w:val="0"/>
                <w:color w:val="auto"/>
                <w:kern w:val="0"/>
                <w:sz w:val="21"/>
                <w:szCs w:val="21"/>
                <w:highlight w:val="none"/>
                <w:u w:val="none"/>
                <w:lang w:val="en-US" w:eastAsia="zh-CN" w:bidi="ar"/>
              </w:rPr>
              <w:t>英类</w:t>
            </w:r>
          </w:p>
        </w:tc>
      </w:tr>
      <w:tr w14:paraId="348CA45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29FE5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D4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多氯联苯类</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总量</w:t>
            </w:r>
            <w:r>
              <w:rPr>
                <w:rFonts w:hint="default" w:ascii="Times New Roman" w:hAnsi="Times New Roman" w:cs="Times New Roman"/>
                <w:i w:val="0"/>
                <w:color w:val="auto"/>
                <w:kern w:val="0"/>
                <w:sz w:val="21"/>
                <w:szCs w:val="21"/>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1C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BA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AD88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0.38</w:t>
            </w:r>
          </w:p>
        </w:tc>
      </w:tr>
      <w:tr w14:paraId="726D3B95">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auto" w:sz="12" w:space="0"/>
              <w:right w:val="single" w:color="000000" w:sz="4" w:space="0"/>
            </w:tcBorders>
            <w:shd w:val="clear" w:color="auto" w:fill="auto"/>
            <w:noWrap/>
            <w:tcMar>
              <w:top w:w="15" w:type="dxa"/>
              <w:left w:w="15" w:type="dxa"/>
              <w:right w:w="15" w:type="dxa"/>
            </w:tcMar>
            <w:vAlign w:val="center"/>
          </w:tcPr>
          <w:p w14:paraId="29084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59</w:t>
            </w:r>
          </w:p>
        </w:tc>
        <w:tc>
          <w:tcPr>
            <w:tcW w:w="2381" w:type="dxa"/>
            <w:tcBorders>
              <w:top w:val="single" w:color="000000" w:sz="4" w:space="0"/>
              <w:left w:val="single" w:color="000000" w:sz="4" w:space="0"/>
              <w:bottom w:val="single" w:color="auto" w:sz="12" w:space="0"/>
              <w:right w:val="single" w:color="000000" w:sz="4" w:space="0"/>
            </w:tcBorders>
            <w:shd w:val="clear" w:color="auto" w:fill="auto"/>
            <w:noWrap/>
            <w:tcMar>
              <w:top w:w="15" w:type="dxa"/>
              <w:left w:w="15" w:type="dxa"/>
              <w:right w:w="15" w:type="dxa"/>
            </w:tcMar>
            <w:vAlign w:val="center"/>
          </w:tcPr>
          <w:p w14:paraId="7CA2D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二噁英</w:t>
            </w:r>
          </w:p>
        </w:tc>
        <w:tc>
          <w:tcPr>
            <w:tcW w:w="1538" w:type="dxa"/>
            <w:tcBorders>
              <w:top w:val="single" w:color="000000" w:sz="4" w:space="0"/>
              <w:left w:val="single" w:color="000000" w:sz="4" w:space="0"/>
              <w:bottom w:val="single" w:color="auto" w:sz="12" w:space="0"/>
              <w:right w:val="single" w:color="000000" w:sz="4" w:space="0"/>
            </w:tcBorders>
            <w:shd w:val="clear" w:color="auto" w:fill="auto"/>
            <w:noWrap/>
            <w:tcMar>
              <w:top w:w="15" w:type="dxa"/>
              <w:left w:w="15" w:type="dxa"/>
              <w:right w:w="15" w:type="dxa"/>
            </w:tcMar>
            <w:vAlign w:val="center"/>
          </w:tcPr>
          <w:p w14:paraId="4D7D5C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2319" w:type="dxa"/>
            <w:tcBorders>
              <w:top w:val="single" w:color="000000" w:sz="4" w:space="0"/>
              <w:left w:val="single" w:color="000000" w:sz="4" w:space="0"/>
              <w:bottom w:val="single" w:color="auto" w:sz="12" w:space="0"/>
              <w:right w:val="single" w:color="000000" w:sz="4" w:space="0"/>
            </w:tcBorders>
            <w:shd w:val="clear" w:color="auto" w:fill="auto"/>
            <w:noWrap/>
            <w:tcMar>
              <w:top w:w="15" w:type="dxa"/>
              <w:left w:w="15" w:type="dxa"/>
              <w:right w:w="15" w:type="dxa"/>
            </w:tcMar>
            <w:vAlign w:val="center"/>
          </w:tcPr>
          <w:p w14:paraId="3E34B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0.00001</w:t>
            </w:r>
          </w:p>
        </w:tc>
        <w:tc>
          <w:tcPr>
            <w:tcW w:w="2320" w:type="dxa"/>
            <w:tcBorders>
              <w:top w:val="single" w:color="000000" w:sz="4" w:space="0"/>
              <w:left w:val="single" w:color="000000" w:sz="4" w:space="0"/>
              <w:bottom w:val="single" w:color="auto" w:sz="12" w:space="0"/>
              <w:right w:val="nil"/>
            </w:tcBorders>
            <w:shd w:val="clear" w:color="auto" w:fill="auto"/>
            <w:noWrap/>
            <w:tcMar>
              <w:top w:w="15" w:type="dxa"/>
              <w:left w:w="15" w:type="dxa"/>
              <w:right w:w="15" w:type="dxa"/>
            </w:tcMar>
            <w:vAlign w:val="center"/>
          </w:tcPr>
          <w:p w14:paraId="651FA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0.00004</w:t>
            </w:r>
          </w:p>
        </w:tc>
      </w:tr>
    </w:tbl>
    <w:p w14:paraId="2E767915">
      <w:pPr>
        <w:pStyle w:val="2"/>
        <w:spacing w:after="0" w:line="240" w:lineRule="auto"/>
        <w:rPr>
          <w:rFonts w:hint="default" w:ascii="Times New Roman" w:hAnsi="Times New Roman" w:cs="Times New Roman"/>
          <w:b/>
          <w:bCs/>
          <w:kern w:val="0"/>
          <w:sz w:val="18"/>
          <w:szCs w:val="18"/>
          <w:highlight w:val="none"/>
          <w:lang w:eastAsia="zh-CN" w:bidi="ar"/>
        </w:rPr>
      </w:pPr>
      <w:r>
        <w:rPr>
          <w:rFonts w:hint="default" w:ascii="Times New Roman" w:hAnsi="Times New Roman" w:cs="Times New Roman"/>
          <w:b/>
          <w:bCs/>
          <w:sz w:val="18"/>
          <w:szCs w:val="18"/>
          <w:highlight w:val="none"/>
        </w:rPr>
        <w:t>注：①</w:t>
      </w:r>
      <w:r>
        <w:rPr>
          <w:rFonts w:hint="default" w:ascii="Times New Roman" w:hAnsi="Times New Roman" w:cs="Times New Roman"/>
          <w:b/>
          <w:bCs/>
          <w:kern w:val="0"/>
          <w:sz w:val="18"/>
          <w:szCs w:val="18"/>
          <w:highlight w:val="none"/>
          <w:lang w:bidi="ar"/>
        </w:rPr>
        <w:t>总氟化物、铬、</w:t>
      </w:r>
      <w:r>
        <w:rPr>
          <w:rFonts w:hint="default" w:ascii="Times New Roman" w:hAnsi="Times New Roman" w:cs="Times New Roman"/>
          <w:b/>
          <w:bCs/>
          <w:kern w:val="0"/>
          <w:sz w:val="18"/>
          <w:szCs w:val="18"/>
          <w:highlight w:val="none"/>
          <w:lang w:val="en-US" w:eastAsia="zh-CN" w:bidi="ar"/>
        </w:rPr>
        <w:t>钼、</w:t>
      </w:r>
      <w:r>
        <w:rPr>
          <w:rFonts w:hint="default" w:ascii="Times New Roman" w:hAnsi="Times New Roman" w:cs="Times New Roman"/>
          <w:b/>
          <w:bCs/>
          <w:kern w:val="0"/>
          <w:sz w:val="18"/>
          <w:szCs w:val="18"/>
          <w:highlight w:val="none"/>
          <w:lang w:bidi="ar"/>
        </w:rPr>
        <w:t>2-</w:t>
      </w:r>
      <w:r>
        <w:rPr>
          <w:rFonts w:hint="default" w:ascii="Times New Roman" w:hAnsi="Times New Roman" w:cs="Times New Roman"/>
          <w:b/>
          <w:bCs/>
          <w:kern w:val="0"/>
          <w:sz w:val="18"/>
          <w:szCs w:val="18"/>
          <w:highlight w:val="none"/>
          <w:lang w:eastAsia="zh-CN" w:bidi="ar"/>
        </w:rPr>
        <w:t>甲基苯酚</w:t>
      </w:r>
      <w:r>
        <w:rPr>
          <w:rFonts w:hint="default" w:ascii="Times New Roman" w:hAnsi="Times New Roman" w:cs="Times New Roman"/>
          <w:b/>
          <w:bCs/>
          <w:kern w:val="0"/>
          <w:sz w:val="18"/>
          <w:szCs w:val="18"/>
          <w:highlight w:val="none"/>
          <w:lang w:bidi="ar"/>
        </w:rPr>
        <w:t>、4-</w:t>
      </w:r>
      <w:r>
        <w:rPr>
          <w:rFonts w:hint="default" w:ascii="Times New Roman" w:hAnsi="Times New Roman" w:cs="Times New Roman"/>
          <w:b/>
          <w:bCs/>
          <w:kern w:val="0"/>
          <w:sz w:val="18"/>
          <w:szCs w:val="18"/>
          <w:highlight w:val="none"/>
          <w:lang w:eastAsia="zh-CN" w:bidi="ar"/>
        </w:rPr>
        <w:t>甲基苯酚、1,2,4-三甲基苯、1,3,5-三甲基苯污染物项目参考深圳标准进行评价；</w:t>
      </w:r>
    </w:p>
    <w:p w14:paraId="06CE6459">
      <w:pPr>
        <w:pStyle w:val="2"/>
        <w:spacing w:after="0" w:line="240" w:lineRule="auto"/>
        <w:ind w:firstLine="361" w:firstLineChars="200"/>
        <w:rPr>
          <w:rFonts w:hint="default" w:ascii="Times New Roman" w:hAnsi="Times New Roman" w:cs="Times New Roman"/>
          <w:b/>
          <w:bCs/>
          <w:kern w:val="0"/>
          <w:sz w:val="18"/>
          <w:szCs w:val="18"/>
          <w:highlight w:val="none"/>
          <w:lang w:bidi="ar"/>
        </w:rPr>
      </w:pPr>
      <w:r>
        <w:rPr>
          <w:rFonts w:hint="default" w:ascii="Times New Roman" w:hAnsi="Times New Roman" w:cs="Times New Roman"/>
          <w:b/>
          <w:bCs/>
          <w:kern w:val="0"/>
          <w:sz w:val="18"/>
          <w:szCs w:val="18"/>
          <w:highlight w:val="none"/>
          <w:lang w:bidi="ar"/>
        </w:rPr>
        <w:t>②二硫化碳污染物项目参考河北标准进行评价；</w:t>
      </w:r>
    </w:p>
    <w:p w14:paraId="7CF31FA1">
      <w:pPr>
        <w:pStyle w:val="2"/>
        <w:spacing w:after="0" w:line="240" w:lineRule="auto"/>
        <w:ind w:firstLine="361" w:firstLineChars="200"/>
        <w:rPr>
          <w:rFonts w:hint="default" w:ascii="Times New Roman" w:hAnsi="Times New Roman" w:cs="Times New Roman"/>
          <w:b/>
          <w:bCs/>
          <w:sz w:val="18"/>
          <w:szCs w:val="18"/>
          <w:highlight w:val="none"/>
        </w:rPr>
      </w:pPr>
      <w:r>
        <w:rPr>
          <w:rFonts w:hint="default" w:ascii="Times New Roman" w:hAnsi="Times New Roman" w:cs="Times New Roman"/>
          <w:b/>
          <w:bCs/>
          <w:sz w:val="18"/>
          <w:szCs w:val="18"/>
          <w:highlight w:val="none"/>
        </w:rPr>
        <w:t>③苯酚评价标准值根据《建设用地土壤污染风险评估技术导则（HJ 25.3—2019）》按照敏感用地和非敏感用地分别计算得到。</w:t>
      </w:r>
    </w:p>
    <w:p w14:paraId="1A0FFC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color w:val="auto"/>
          <w:sz w:val="24"/>
          <w:szCs w:val="24"/>
          <w:highlight w:val="none"/>
        </w:rPr>
      </w:pPr>
      <w:r>
        <w:rPr>
          <w:rFonts w:hint="default" w:ascii="Times New Roman" w:hAnsi="Times New Roman" w:eastAsia="黑体" w:cs="Times New Roman"/>
          <w:b/>
          <w:bCs/>
          <w:color w:val="auto"/>
          <w:sz w:val="24"/>
          <w:szCs w:val="24"/>
          <w:highlight w:val="none"/>
        </w:rPr>
        <w:t>表5-1-</w:t>
      </w:r>
      <w:r>
        <w:rPr>
          <w:rFonts w:hint="default" w:ascii="Times New Roman" w:hAnsi="Times New Roman" w:eastAsia="黑体" w:cs="Times New Roman"/>
          <w:b/>
          <w:bCs/>
          <w:color w:val="auto"/>
          <w:sz w:val="24"/>
          <w:szCs w:val="24"/>
          <w:highlight w:val="none"/>
          <w:lang w:val="en-US" w:eastAsia="zh-CN"/>
        </w:rPr>
        <w:t xml:space="preserve">3 </w:t>
      </w:r>
      <w:r>
        <w:rPr>
          <w:rFonts w:hint="default" w:ascii="Times New Roman" w:hAnsi="Times New Roman" w:eastAsia="黑体" w:cs="Times New Roman"/>
          <w:b/>
          <w:bCs/>
          <w:color w:val="auto"/>
          <w:sz w:val="24"/>
          <w:szCs w:val="24"/>
          <w:highlight w:val="none"/>
          <w:lang w:eastAsia="zh-CN"/>
        </w:rPr>
        <w:t>农</w:t>
      </w:r>
      <w:r>
        <w:rPr>
          <w:rFonts w:hint="default" w:ascii="Times New Roman" w:hAnsi="Times New Roman" w:eastAsia="黑体" w:cs="Times New Roman"/>
          <w:b/>
          <w:bCs/>
          <w:color w:val="auto"/>
          <w:sz w:val="24"/>
          <w:szCs w:val="24"/>
          <w:highlight w:val="none"/>
        </w:rPr>
        <w:t>用地土壤污染风险筛选值 （单位：mg/kg）</w:t>
      </w:r>
    </w:p>
    <w:tbl>
      <w:tblPr>
        <w:tblStyle w:val="21"/>
        <w:tblW w:w="966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611"/>
        <w:gridCol w:w="1611"/>
        <w:gridCol w:w="1611"/>
        <w:gridCol w:w="1611"/>
        <w:gridCol w:w="1612"/>
        <w:gridCol w:w="1612"/>
      </w:tblGrid>
      <w:tr w14:paraId="63B530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vMerge w:val="restart"/>
            <w:shd w:val="clear" w:color="auto" w:fill="auto"/>
            <w:noWrap/>
            <w:tcMar>
              <w:top w:w="15" w:type="dxa"/>
              <w:left w:w="15" w:type="dxa"/>
              <w:right w:w="15" w:type="dxa"/>
            </w:tcMar>
            <w:vAlign w:val="center"/>
          </w:tcPr>
          <w:p w14:paraId="79A3E7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611" w:type="dxa"/>
            <w:vMerge w:val="restart"/>
            <w:shd w:val="clear" w:color="auto" w:fill="auto"/>
            <w:noWrap/>
            <w:tcMar>
              <w:top w:w="15" w:type="dxa"/>
              <w:left w:w="15" w:type="dxa"/>
              <w:right w:w="15" w:type="dxa"/>
            </w:tcMar>
            <w:vAlign w:val="center"/>
          </w:tcPr>
          <w:p w14:paraId="7C192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污染物项目</w:t>
            </w:r>
          </w:p>
        </w:tc>
        <w:tc>
          <w:tcPr>
            <w:tcW w:w="6446" w:type="dxa"/>
            <w:gridSpan w:val="4"/>
            <w:shd w:val="clear" w:color="auto" w:fill="auto"/>
            <w:noWrap/>
            <w:tcMar>
              <w:top w:w="15" w:type="dxa"/>
              <w:left w:w="15" w:type="dxa"/>
              <w:right w:w="15" w:type="dxa"/>
            </w:tcMar>
            <w:vAlign w:val="center"/>
          </w:tcPr>
          <w:p w14:paraId="46B73A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风险筛选值</w:t>
            </w:r>
          </w:p>
        </w:tc>
      </w:tr>
      <w:tr w14:paraId="096E5D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vMerge w:val="continue"/>
            <w:tcBorders>
              <w:bottom w:val="single" w:color="auto" w:sz="12" w:space="0"/>
            </w:tcBorders>
            <w:shd w:val="clear" w:color="auto" w:fill="auto"/>
            <w:noWrap/>
            <w:tcMar>
              <w:top w:w="15" w:type="dxa"/>
              <w:left w:w="15" w:type="dxa"/>
              <w:right w:w="15" w:type="dxa"/>
            </w:tcMar>
            <w:vAlign w:val="center"/>
          </w:tcPr>
          <w:p w14:paraId="1042CA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611" w:type="dxa"/>
            <w:vMerge w:val="continue"/>
            <w:tcBorders>
              <w:bottom w:val="single" w:color="auto" w:sz="12" w:space="0"/>
            </w:tcBorders>
            <w:shd w:val="clear" w:color="auto" w:fill="auto"/>
            <w:noWrap/>
            <w:tcMar>
              <w:top w:w="15" w:type="dxa"/>
              <w:left w:w="15" w:type="dxa"/>
              <w:right w:w="15" w:type="dxa"/>
            </w:tcMar>
            <w:vAlign w:val="center"/>
          </w:tcPr>
          <w:p w14:paraId="1B43EF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i w:val="0"/>
                <w:color w:val="auto"/>
                <w:sz w:val="21"/>
                <w:szCs w:val="21"/>
                <w:highlight w:val="none"/>
                <w:u w:val="none"/>
              </w:rPr>
            </w:pPr>
          </w:p>
        </w:tc>
        <w:tc>
          <w:tcPr>
            <w:tcW w:w="1611" w:type="dxa"/>
            <w:tcBorders>
              <w:bottom w:val="single" w:color="auto" w:sz="12" w:space="0"/>
            </w:tcBorders>
            <w:shd w:val="clear" w:color="auto" w:fill="auto"/>
            <w:tcMar>
              <w:top w:w="15" w:type="dxa"/>
              <w:left w:w="15" w:type="dxa"/>
              <w:right w:w="15" w:type="dxa"/>
            </w:tcMar>
            <w:vAlign w:val="top"/>
          </w:tcPr>
          <w:p w14:paraId="7FA4B2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pH≤5.5</w:t>
            </w:r>
          </w:p>
        </w:tc>
        <w:tc>
          <w:tcPr>
            <w:tcW w:w="1611" w:type="dxa"/>
            <w:tcBorders>
              <w:bottom w:val="single" w:color="auto" w:sz="12" w:space="0"/>
            </w:tcBorders>
            <w:shd w:val="clear" w:color="auto" w:fill="auto"/>
            <w:tcMar>
              <w:top w:w="15" w:type="dxa"/>
              <w:left w:w="15" w:type="dxa"/>
              <w:right w:w="15" w:type="dxa"/>
            </w:tcMar>
            <w:vAlign w:val="top"/>
          </w:tcPr>
          <w:p w14:paraId="041E5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5.5＜pH≤6.5</w:t>
            </w:r>
          </w:p>
        </w:tc>
        <w:tc>
          <w:tcPr>
            <w:tcW w:w="1612" w:type="dxa"/>
            <w:tcBorders>
              <w:bottom w:val="single" w:color="auto" w:sz="12" w:space="0"/>
            </w:tcBorders>
            <w:shd w:val="clear" w:color="auto" w:fill="auto"/>
            <w:tcMar>
              <w:top w:w="15" w:type="dxa"/>
              <w:left w:w="15" w:type="dxa"/>
              <w:right w:w="15" w:type="dxa"/>
            </w:tcMar>
            <w:vAlign w:val="top"/>
          </w:tcPr>
          <w:p w14:paraId="5A089D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6.5＜pH≤7.5</w:t>
            </w:r>
          </w:p>
        </w:tc>
        <w:tc>
          <w:tcPr>
            <w:tcW w:w="1612" w:type="dxa"/>
            <w:tcBorders>
              <w:bottom w:val="single" w:color="auto" w:sz="12" w:space="0"/>
            </w:tcBorders>
            <w:shd w:val="clear" w:color="auto" w:fill="auto"/>
            <w:tcMar>
              <w:top w:w="15" w:type="dxa"/>
              <w:left w:w="15" w:type="dxa"/>
              <w:right w:w="15" w:type="dxa"/>
            </w:tcMar>
            <w:vAlign w:val="top"/>
          </w:tcPr>
          <w:p w14:paraId="6190F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pH＞7.5</w:t>
            </w:r>
          </w:p>
        </w:tc>
      </w:tr>
      <w:tr w14:paraId="5CC939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2639F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68A35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65E895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7CC58B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1612" w:type="dxa"/>
            <w:tcBorders>
              <w:top w:val="single" w:color="auto" w:sz="12" w:space="0"/>
              <w:tl2br w:val="nil"/>
              <w:tr2bl w:val="nil"/>
            </w:tcBorders>
            <w:shd w:val="clear" w:color="auto" w:fill="auto"/>
            <w:noWrap/>
            <w:tcMar>
              <w:top w:w="15" w:type="dxa"/>
              <w:left w:w="15" w:type="dxa"/>
              <w:right w:w="15" w:type="dxa"/>
            </w:tcMar>
            <w:vAlign w:val="center"/>
          </w:tcPr>
          <w:p w14:paraId="6F3BD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1612" w:type="dxa"/>
            <w:tcBorders>
              <w:top w:val="single" w:color="auto" w:sz="12" w:space="0"/>
              <w:tl2br w:val="nil"/>
              <w:tr2bl w:val="nil"/>
            </w:tcBorders>
            <w:shd w:val="clear" w:color="auto" w:fill="auto"/>
            <w:noWrap/>
            <w:tcMar>
              <w:top w:w="15" w:type="dxa"/>
              <w:left w:w="15" w:type="dxa"/>
              <w:right w:w="15" w:type="dxa"/>
            </w:tcMar>
            <w:vAlign w:val="center"/>
          </w:tcPr>
          <w:p w14:paraId="13A7F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w:t>
            </w:r>
          </w:p>
        </w:tc>
      </w:tr>
      <w:tr w14:paraId="6A1AE9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1FF320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611" w:type="dxa"/>
            <w:tcBorders>
              <w:tl2br w:val="nil"/>
              <w:tr2bl w:val="nil"/>
            </w:tcBorders>
            <w:shd w:val="clear" w:color="auto" w:fill="auto"/>
            <w:noWrap/>
            <w:tcMar>
              <w:top w:w="15" w:type="dxa"/>
              <w:left w:w="15" w:type="dxa"/>
              <w:right w:w="15" w:type="dxa"/>
            </w:tcMar>
            <w:vAlign w:val="center"/>
          </w:tcPr>
          <w:p w14:paraId="27E3E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611" w:type="dxa"/>
            <w:tcBorders>
              <w:tl2br w:val="nil"/>
              <w:tr2bl w:val="nil"/>
            </w:tcBorders>
            <w:shd w:val="clear" w:color="auto" w:fill="auto"/>
            <w:noWrap/>
            <w:tcMar>
              <w:top w:w="15" w:type="dxa"/>
              <w:left w:w="15" w:type="dxa"/>
              <w:right w:w="15" w:type="dxa"/>
            </w:tcMar>
            <w:vAlign w:val="center"/>
          </w:tcPr>
          <w:p w14:paraId="11299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611" w:type="dxa"/>
            <w:tcBorders>
              <w:tl2br w:val="nil"/>
              <w:tr2bl w:val="nil"/>
            </w:tcBorders>
            <w:shd w:val="clear" w:color="auto" w:fill="auto"/>
            <w:noWrap/>
            <w:tcMar>
              <w:top w:w="15" w:type="dxa"/>
              <w:left w:w="15" w:type="dxa"/>
              <w:right w:w="15" w:type="dxa"/>
            </w:tcMar>
            <w:vAlign w:val="center"/>
          </w:tcPr>
          <w:p w14:paraId="08695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1612" w:type="dxa"/>
            <w:tcBorders>
              <w:tl2br w:val="nil"/>
              <w:tr2bl w:val="nil"/>
            </w:tcBorders>
            <w:shd w:val="clear" w:color="auto" w:fill="auto"/>
            <w:noWrap/>
            <w:tcMar>
              <w:top w:w="15" w:type="dxa"/>
              <w:left w:w="15" w:type="dxa"/>
              <w:right w:w="15" w:type="dxa"/>
            </w:tcMar>
            <w:vAlign w:val="center"/>
          </w:tcPr>
          <w:p w14:paraId="0D614A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1612" w:type="dxa"/>
            <w:tcBorders>
              <w:tl2br w:val="nil"/>
              <w:tr2bl w:val="nil"/>
            </w:tcBorders>
            <w:shd w:val="clear" w:color="auto" w:fill="auto"/>
            <w:noWrap/>
            <w:tcMar>
              <w:top w:w="15" w:type="dxa"/>
              <w:left w:w="15" w:type="dxa"/>
              <w:right w:w="15" w:type="dxa"/>
            </w:tcMar>
            <w:vAlign w:val="center"/>
          </w:tcPr>
          <w:p w14:paraId="3D62E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r>
      <w:tr w14:paraId="3D7B7E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402A5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611" w:type="dxa"/>
            <w:tcBorders>
              <w:tl2br w:val="nil"/>
              <w:tr2bl w:val="nil"/>
            </w:tcBorders>
            <w:shd w:val="clear" w:color="auto" w:fill="auto"/>
            <w:noWrap/>
            <w:tcMar>
              <w:top w:w="15" w:type="dxa"/>
              <w:left w:w="15" w:type="dxa"/>
              <w:right w:w="15" w:type="dxa"/>
            </w:tcMar>
            <w:vAlign w:val="center"/>
          </w:tcPr>
          <w:p w14:paraId="26ED0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611" w:type="dxa"/>
            <w:tcBorders>
              <w:tl2br w:val="nil"/>
              <w:tr2bl w:val="nil"/>
            </w:tcBorders>
            <w:shd w:val="clear" w:color="auto" w:fill="auto"/>
            <w:noWrap/>
            <w:tcMar>
              <w:top w:w="15" w:type="dxa"/>
              <w:left w:w="15" w:type="dxa"/>
              <w:right w:w="15" w:type="dxa"/>
            </w:tcMar>
            <w:vAlign w:val="center"/>
          </w:tcPr>
          <w:p w14:paraId="530C2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40</w:t>
            </w:r>
          </w:p>
        </w:tc>
        <w:tc>
          <w:tcPr>
            <w:tcW w:w="1611" w:type="dxa"/>
            <w:tcBorders>
              <w:tl2br w:val="nil"/>
              <w:tr2bl w:val="nil"/>
            </w:tcBorders>
            <w:shd w:val="clear" w:color="auto" w:fill="auto"/>
            <w:noWrap/>
            <w:tcMar>
              <w:top w:w="15" w:type="dxa"/>
              <w:left w:w="15" w:type="dxa"/>
              <w:right w:w="15" w:type="dxa"/>
            </w:tcMar>
            <w:vAlign w:val="center"/>
          </w:tcPr>
          <w:p w14:paraId="1C2F4C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40</w:t>
            </w:r>
          </w:p>
        </w:tc>
        <w:tc>
          <w:tcPr>
            <w:tcW w:w="1612" w:type="dxa"/>
            <w:tcBorders>
              <w:tl2br w:val="nil"/>
              <w:tr2bl w:val="nil"/>
            </w:tcBorders>
            <w:shd w:val="clear" w:color="auto" w:fill="auto"/>
            <w:noWrap/>
            <w:tcMar>
              <w:top w:w="15" w:type="dxa"/>
              <w:left w:w="15" w:type="dxa"/>
              <w:right w:w="15" w:type="dxa"/>
            </w:tcMar>
            <w:vAlign w:val="center"/>
          </w:tcPr>
          <w:p w14:paraId="5C3D6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612" w:type="dxa"/>
            <w:tcBorders>
              <w:tl2br w:val="nil"/>
              <w:tr2bl w:val="nil"/>
            </w:tcBorders>
            <w:shd w:val="clear" w:color="auto" w:fill="auto"/>
            <w:noWrap/>
            <w:tcMar>
              <w:top w:w="15" w:type="dxa"/>
              <w:left w:w="15" w:type="dxa"/>
              <w:right w:w="15" w:type="dxa"/>
            </w:tcMar>
            <w:vAlign w:val="center"/>
          </w:tcPr>
          <w:p w14:paraId="1BA44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r>
      <w:tr w14:paraId="100296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03E76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611" w:type="dxa"/>
            <w:tcBorders>
              <w:tl2br w:val="nil"/>
              <w:tr2bl w:val="nil"/>
            </w:tcBorders>
            <w:shd w:val="clear" w:color="auto" w:fill="auto"/>
            <w:noWrap/>
            <w:tcMar>
              <w:top w:w="15" w:type="dxa"/>
              <w:left w:w="15" w:type="dxa"/>
              <w:right w:w="15" w:type="dxa"/>
            </w:tcMar>
            <w:vAlign w:val="center"/>
          </w:tcPr>
          <w:p w14:paraId="3F2BA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611" w:type="dxa"/>
            <w:tcBorders>
              <w:tl2br w:val="nil"/>
              <w:tr2bl w:val="nil"/>
            </w:tcBorders>
            <w:shd w:val="clear" w:color="auto" w:fill="auto"/>
            <w:noWrap/>
            <w:tcMar>
              <w:top w:w="15" w:type="dxa"/>
              <w:left w:w="15" w:type="dxa"/>
              <w:right w:w="15" w:type="dxa"/>
            </w:tcMar>
            <w:vAlign w:val="center"/>
          </w:tcPr>
          <w:p w14:paraId="66755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c>
          <w:tcPr>
            <w:tcW w:w="1611" w:type="dxa"/>
            <w:tcBorders>
              <w:tl2br w:val="nil"/>
              <w:tr2bl w:val="nil"/>
            </w:tcBorders>
            <w:shd w:val="clear" w:color="auto" w:fill="auto"/>
            <w:noWrap/>
            <w:tcMar>
              <w:top w:w="15" w:type="dxa"/>
              <w:left w:w="15" w:type="dxa"/>
              <w:right w:w="15" w:type="dxa"/>
            </w:tcMar>
            <w:vAlign w:val="center"/>
          </w:tcPr>
          <w:p w14:paraId="53DD8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w:t>
            </w:r>
          </w:p>
        </w:tc>
        <w:tc>
          <w:tcPr>
            <w:tcW w:w="1612" w:type="dxa"/>
            <w:tcBorders>
              <w:tl2br w:val="nil"/>
              <w:tr2bl w:val="nil"/>
            </w:tcBorders>
            <w:shd w:val="clear" w:color="auto" w:fill="auto"/>
            <w:noWrap/>
            <w:tcMar>
              <w:top w:w="15" w:type="dxa"/>
              <w:left w:w="15" w:type="dxa"/>
              <w:right w:w="15" w:type="dxa"/>
            </w:tcMar>
            <w:vAlign w:val="center"/>
          </w:tcPr>
          <w:p w14:paraId="055088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w:t>
            </w:r>
          </w:p>
        </w:tc>
        <w:tc>
          <w:tcPr>
            <w:tcW w:w="1612" w:type="dxa"/>
            <w:tcBorders>
              <w:tl2br w:val="nil"/>
              <w:tr2bl w:val="nil"/>
            </w:tcBorders>
            <w:shd w:val="clear" w:color="auto" w:fill="auto"/>
            <w:noWrap/>
            <w:tcMar>
              <w:top w:w="15" w:type="dxa"/>
              <w:left w:w="15" w:type="dxa"/>
              <w:right w:w="15" w:type="dxa"/>
            </w:tcMar>
            <w:vAlign w:val="center"/>
          </w:tcPr>
          <w:p w14:paraId="22F37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170</w:t>
            </w:r>
          </w:p>
        </w:tc>
      </w:tr>
      <w:tr w14:paraId="5B5DA7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1FC94C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611" w:type="dxa"/>
            <w:tcBorders>
              <w:tl2br w:val="nil"/>
              <w:tr2bl w:val="nil"/>
            </w:tcBorders>
            <w:shd w:val="clear" w:color="auto" w:fill="auto"/>
            <w:noWrap/>
            <w:tcMar>
              <w:top w:w="15" w:type="dxa"/>
              <w:left w:w="15" w:type="dxa"/>
              <w:right w:w="15" w:type="dxa"/>
            </w:tcMar>
            <w:vAlign w:val="center"/>
          </w:tcPr>
          <w:p w14:paraId="1F1984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1611" w:type="dxa"/>
            <w:tcBorders>
              <w:tl2br w:val="nil"/>
              <w:tr2bl w:val="nil"/>
            </w:tcBorders>
            <w:shd w:val="clear" w:color="auto" w:fill="auto"/>
            <w:noWrap/>
            <w:tcMar>
              <w:top w:w="15" w:type="dxa"/>
              <w:left w:w="15" w:type="dxa"/>
              <w:right w:w="15" w:type="dxa"/>
            </w:tcMar>
            <w:vAlign w:val="center"/>
          </w:tcPr>
          <w:p w14:paraId="6AA19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150</w:t>
            </w:r>
          </w:p>
        </w:tc>
        <w:tc>
          <w:tcPr>
            <w:tcW w:w="1611" w:type="dxa"/>
            <w:tcBorders>
              <w:tl2br w:val="nil"/>
              <w:tr2bl w:val="nil"/>
            </w:tcBorders>
            <w:shd w:val="clear" w:color="auto" w:fill="auto"/>
            <w:noWrap/>
            <w:tcMar>
              <w:top w:w="15" w:type="dxa"/>
              <w:left w:w="15" w:type="dxa"/>
              <w:right w:w="15" w:type="dxa"/>
            </w:tcMar>
            <w:vAlign w:val="center"/>
          </w:tcPr>
          <w:p w14:paraId="3DBD2D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150</w:t>
            </w:r>
          </w:p>
        </w:tc>
        <w:tc>
          <w:tcPr>
            <w:tcW w:w="1612" w:type="dxa"/>
            <w:tcBorders>
              <w:tl2br w:val="nil"/>
              <w:tr2bl w:val="nil"/>
            </w:tcBorders>
            <w:shd w:val="clear" w:color="auto" w:fill="auto"/>
            <w:noWrap/>
            <w:tcMar>
              <w:top w:w="15" w:type="dxa"/>
              <w:left w:w="15" w:type="dxa"/>
              <w:right w:w="15" w:type="dxa"/>
            </w:tcMar>
            <w:vAlign w:val="center"/>
          </w:tcPr>
          <w:p w14:paraId="0379D2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200</w:t>
            </w:r>
          </w:p>
        </w:tc>
        <w:tc>
          <w:tcPr>
            <w:tcW w:w="1612" w:type="dxa"/>
            <w:tcBorders>
              <w:tl2br w:val="nil"/>
              <w:tr2bl w:val="nil"/>
            </w:tcBorders>
            <w:shd w:val="clear" w:color="auto" w:fill="auto"/>
            <w:noWrap/>
            <w:tcMar>
              <w:top w:w="15" w:type="dxa"/>
              <w:left w:w="15" w:type="dxa"/>
              <w:right w:w="15" w:type="dxa"/>
            </w:tcMar>
            <w:vAlign w:val="center"/>
          </w:tcPr>
          <w:p w14:paraId="7C349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250</w:t>
            </w:r>
          </w:p>
        </w:tc>
      </w:tr>
      <w:tr w14:paraId="3886F3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328E4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611" w:type="dxa"/>
            <w:tcBorders>
              <w:tl2br w:val="nil"/>
              <w:tr2bl w:val="nil"/>
            </w:tcBorders>
            <w:shd w:val="clear" w:color="auto" w:fill="auto"/>
            <w:noWrap/>
            <w:tcMar>
              <w:top w:w="15" w:type="dxa"/>
              <w:left w:w="15" w:type="dxa"/>
              <w:right w:w="15" w:type="dxa"/>
            </w:tcMar>
            <w:vAlign w:val="center"/>
          </w:tcPr>
          <w:p w14:paraId="4DF4C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611" w:type="dxa"/>
            <w:tcBorders>
              <w:tl2br w:val="nil"/>
              <w:tr2bl w:val="nil"/>
            </w:tcBorders>
            <w:shd w:val="clear" w:color="auto" w:fill="auto"/>
            <w:noWrap/>
            <w:tcMar>
              <w:top w:w="15" w:type="dxa"/>
              <w:left w:w="15" w:type="dxa"/>
              <w:right w:w="15" w:type="dxa"/>
            </w:tcMar>
            <w:vAlign w:val="center"/>
          </w:tcPr>
          <w:p w14:paraId="47AB4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w:t>
            </w:r>
          </w:p>
        </w:tc>
        <w:tc>
          <w:tcPr>
            <w:tcW w:w="1611" w:type="dxa"/>
            <w:tcBorders>
              <w:tl2br w:val="nil"/>
              <w:tr2bl w:val="nil"/>
            </w:tcBorders>
            <w:shd w:val="clear" w:color="auto" w:fill="auto"/>
            <w:noWrap/>
            <w:tcMar>
              <w:top w:w="15" w:type="dxa"/>
              <w:left w:w="15" w:type="dxa"/>
              <w:right w:w="15" w:type="dxa"/>
            </w:tcMar>
            <w:vAlign w:val="center"/>
          </w:tcPr>
          <w:p w14:paraId="3A9BE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w:t>
            </w:r>
          </w:p>
        </w:tc>
        <w:tc>
          <w:tcPr>
            <w:tcW w:w="1612" w:type="dxa"/>
            <w:tcBorders>
              <w:tl2br w:val="nil"/>
              <w:tr2bl w:val="nil"/>
            </w:tcBorders>
            <w:shd w:val="clear" w:color="auto" w:fill="auto"/>
            <w:noWrap/>
            <w:tcMar>
              <w:top w:w="15" w:type="dxa"/>
              <w:left w:w="15" w:type="dxa"/>
              <w:right w:w="15" w:type="dxa"/>
            </w:tcMar>
            <w:vAlign w:val="center"/>
          </w:tcPr>
          <w:p w14:paraId="58306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c>
          <w:tcPr>
            <w:tcW w:w="1612" w:type="dxa"/>
            <w:tcBorders>
              <w:tl2br w:val="nil"/>
              <w:tr2bl w:val="nil"/>
            </w:tcBorders>
            <w:shd w:val="clear" w:color="auto" w:fill="auto"/>
            <w:noWrap/>
            <w:tcMar>
              <w:top w:w="15" w:type="dxa"/>
              <w:left w:w="15" w:type="dxa"/>
              <w:right w:w="15" w:type="dxa"/>
            </w:tcMar>
            <w:vAlign w:val="center"/>
          </w:tcPr>
          <w:p w14:paraId="7B05E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r>
      <w:tr w14:paraId="74D5C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330444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611" w:type="dxa"/>
            <w:tcBorders>
              <w:tl2br w:val="nil"/>
              <w:tr2bl w:val="nil"/>
            </w:tcBorders>
            <w:shd w:val="clear" w:color="auto" w:fill="auto"/>
            <w:noWrap/>
            <w:tcMar>
              <w:top w:w="15" w:type="dxa"/>
              <w:left w:w="15" w:type="dxa"/>
              <w:right w:w="15" w:type="dxa"/>
            </w:tcMar>
            <w:vAlign w:val="center"/>
          </w:tcPr>
          <w:p w14:paraId="68B8B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611" w:type="dxa"/>
            <w:tcBorders>
              <w:tl2br w:val="nil"/>
              <w:tr2bl w:val="nil"/>
            </w:tcBorders>
            <w:shd w:val="clear" w:color="auto" w:fill="auto"/>
            <w:noWrap/>
            <w:tcMar>
              <w:top w:w="15" w:type="dxa"/>
              <w:left w:w="15" w:type="dxa"/>
              <w:right w:w="15" w:type="dxa"/>
            </w:tcMar>
            <w:vAlign w:val="center"/>
          </w:tcPr>
          <w:p w14:paraId="7293CE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60</w:t>
            </w:r>
          </w:p>
        </w:tc>
        <w:tc>
          <w:tcPr>
            <w:tcW w:w="1611" w:type="dxa"/>
            <w:tcBorders>
              <w:tl2br w:val="nil"/>
              <w:tr2bl w:val="nil"/>
            </w:tcBorders>
            <w:shd w:val="clear" w:color="auto" w:fill="auto"/>
            <w:noWrap/>
            <w:tcMar>
              <w:top w:w="15" w:type="dxa"/>
              <w:left w:w="15" w:type="dxa"/>
              <w:right w:w="15" w:type="dxa"/>
            </w:tcMar>
            <w:vAlign w:val="center"/>
          </w:tcPr>
          <w:p w14:paraId="27E4E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c>
          <w:tcPr>
            <w:tcW w:w="1612" w:type="dxa"/>
            <w:tcBorders>
              <w:tl2br w:val="nil"/>
              <w:tr2bl w:val="nil"/>
            </w:tcBorders>
            <w:shd w:val="clear" w:color="auto" w:fill="auto"/>
            <w:noWrap/>
            <w:tcMar>
              <w:top w:w="15" w:type="dxa"/>
              <w:left w:w="15" w:type="dxa"/>
              <w:right w:w="15" w:type="dxa"/>
            </w:tcMar>
            <w:vAlign w:val="center"/>
          </w:tcPr>
          <w:p w14:paraId="08886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c>
          <w:tcPr>
            <w:tcW w:w="1612" w:type="dxa"/>
            <w:tcBorders>
              <w:tl2br w:val="nil"/>
              <w:tr2bl w:val="nil"/>
            </w:tcBorders>
            <w:shd w:val="clear" w:color="auto" w:fill="auto"/>
            <w:noWrap/>
            <w:tcMar>
              <w:top w:w="15" w:type="dxa"/>
              <w:left w:w="15" w:type="dxa"/>
              <w:right w:w="15" w:type="dxa"/>
            </w:tcMar>
            <w:vAlign w:val="center"/>
          </w:tcPr>
          <w:p w14:paraId="416A1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190</w:t>
            </w:r>
          </w:p>
        </w:tc>
      </w:tr>
      <w:tr w14:paraId="54DDD7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67D48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611" w:type="dxa"/>
            <w:tcBorders>
              <w:tl2br w:val="nil"/>
              <w:tr2bl w:val="nil"/>
            </w:tcBorders>
            <w:shd w:val="clear" w:color="auto" w:fill="auto"/>
            <w:noWrap/>
            <w:tcMar>
              <w:top w:w="15" w:type="dxa"/>
              <w:left w:w="15" w:type="dxa"/>
              <w:right w:w="15" w:type="dxa"/>
            </w:tcMar>
            <w:vAlign w:val="center"/>
          </w:tcPr>
          <w:p w14:paraId="07C61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1611" w:type="dxa"/>
            <w:tcBorders>
              <w:tl2br w:val="nil"/>
              <w:tr2bl w:val="nil"/>
            </w:tcBorders>
            <w:shd w:val="clear" w:color="auto" w:fill="auto"/>
            <w:noWrap/>
            <w:tcMar>
              <w:top w:w="15" w:type="dxa"/>
              <w:left w:w="15" w:type="dxa"/>
              <w:right w:w="15" w:type="dxa"/>
            </w:tcMar>
            <w:vAlign w:val="center"/>
          </w:tcPr>
          <w:p w14:paraId="4E6EEB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20</w:t>
            </w:r>
            <w:r>
              <w:rPr>
                <w:rFonts w:hint="default" w:ascii="Times New Roman" w:hAnsi="Times New Roman" w:cs="Times New Roman"/>
                <w:i w:val="0"/>
                <w:color w:val="auto"/>
                <w:kern w:val="0"/>
                <w:sz w:val="21"/>
                <w:szCs w:val="21"/>
                <w:highlight w:val="none"/>
                <w:u w:val="none"/>
                <w:lang w:val="en-US" w:eastAsia="zh-CN" w:bidi="ar"/>
              </w:rPr>
              <w:t>0</w:t>
            </w:r>
          </w:p>
        </w:tc>
        <w:tc>
          <w:tcPr>
            <w:tcW w:w="1611" w:type="dxa"/>
            <w:tcBorders>
              <w:tl2br w:val="nil"/>
              <w:tr2bl w:val="nil"/>
            </w:tcBorders>
            <w:shd w:val="clear" w:color="auto" w:fill="auto"/>
            <w:noWrap/>
            <w:tcMar>
              <w:top w:w="15" w:type="dxa"/>
              <w:left w:w="15" w:type="dxa"/>
              <w:right w:w="15" w:type="dxa"/>
            </w:tcMar>
            <w:vAlign w:val="center"/>
          </w:tcPr>
          <w:p w14:paraId="2A4DC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200</w:t>
            </w:r>
          </w:p>
        </w:tc>
        <w:tc>
          <w:tcPr>
            <w:tcW w:w="1612" w:type="dxa"/>
            <w:tcBorders>
              <w:tl2br w:val="nil"/>
              <w:tr2bl w:val="nil"/>
            </w:tcBorders>
            <w:shd w:val="clear" w:color="auto" w:fill="auto"/>
            <w:noWrap/>
            <w:tcMar>
              <w:top w:w="15" w:type="dxa"/>
              <w:left w:w="15" w:type="dxa"/>
              <w:right w:w="15" w:type="dxa"/>
            </w:tcMar>
            <w:vAlign w:val="center"/>
          </w:tcPr>
          <w:p w14:paraId="73BD5C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250</w:t>
            </w:r>
          </w:p>
        </w:tc>
        <w:tc>
          <w:tcPr>
            <w:tcW w:w="1612" w:type="dxa"/>
            <w:tcBorders>
              <w:tl2br w:val="nil"/>
              <w:tr2bl w:val="nil"/>
            </w:tcBorders>
            <w:shd w:val="clear" w:color="auto" w:fill="auto"/>
            <w:noWrap/>
            <w:tcMar>
              <w:top w:w="15" w:type="dxa"/>
              <w:left w:w="15" w:type="dxa"/>
              <w:right w:w="15" w:type="dxa"/>
            </w:tcMar>
            <w:vAlign w:val="center"/>
          </w:tcPr>
          <w:p w14:paraId="42B52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300</w:t>
            </w:r>
          </w:p>
        </w:tc>
      </w:tr>
    </w:tbl>
    <w:p w14:paraId="79DD3B50">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注：根据表5-1-1，本报告仅涉及GB15618中其它类别风险筛选值。</w:t>
      </w:r>
    </w:p>
    <w:p w14:paraId="18D895F3">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土壤背景值</w:t>
      </w:r>
    </w:p>
    <w:p w14:paraId="11A7C3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lang w:eastAsia="zh-CN"/>
        </w:rPr>
        <w:t>由于缺少园区所在区域内土壤环境质量相关数据，本报告参考中国环境监测总站编制的《中国土壤元素背景值》中湖北省土壤中重金属背景值及《土壤环境质量建设用地土壤污染风险管控标准（试行）（GB36600-2018）》（以下简称</w:t>
      </w:r>
      <w:r>
        <w:rPr>
          <w:rFonts w:hint="default" w:ascii="Times New Roman" w:hAnsi="Times New Roman" w:cs="Times New Roman" w:eastAsiaTheme="minorEastAsia"/>
          <w:color w:val="auto"/>
          <w:sz w:val="24"/>
          <w:szCs w:val="24"/>
          <w:highlight w:val="none"/>
          <w:shd w:val="clear" w:color="auto" w:fill="auto"/>
          <w:lang w:val="en-US" w:eastAsia="zh-CN"/>
        </w:rPr>
        <w:t>GB36600</w:t>
      </w:r>
      <w:r>
        <w:rPr>
          <w:rFonts w:hint="default" w:ascii="Times New Roman" w:hAnsi="Times New Roman" w:cs="Times New Roman" w:eastAsiaTheme="minorEastAsia"/>
          <w:color w:val="auto"/>
          <w:sz w:val="24"/>
          <w:szCs w:val="24"/>
          <w:highlight w:val="none"/>
          <w:shd w:val="clear" w:color="auto" w:fill="auto"/>
          <w:lang w:eastAsia="zh-CN"/>
        </w:rPr>
        <w:t>）附录</w:t>
      </w:r>
      <w:r>
        <w:rPr>
          <w:rFonts w:hint="default" w:ascii="Times New Roman" w:hAnsi="Times New Roman" w:cs="Times New Roman" w:eastAsiaTheme="minorEastAsia"/>
          <w:color w:val="auto"/>
          <w:sz w:val="24"/>
          <w:szCs w:val="24"/>
          <w:highlight w:val="none"/>
          <w:shd w:val="clear" w:color="auto" w:fill="auto"/>
          <w:lang w:val="en-US" w:eastAsia="zh-CN"/>
        </w:rPr>
        <w:t>A</w:t>
      </w:r>
      <w:r>
        <w:rPr>
          <w:rFonts w:hint="default" w:ascii="Times New Roman" w:hAnsi="Times New Roman" w:cs="Times New Roman" w:eastAsiaTheme="minorEastAsia"/>
          <w:color w:val="auto"/>
          <w:sz w:val="24"/>
          <w:szCs w:val="24"/>
          <w:highlight w:val="none"/>
          <w:shd w:val="clear" w:color="auto" w:fill="auto"/>
          <w:lang w:eastAsia="zh-CN"/>
        </w:rPr>
        <w:t>作为区域土壤环境状况背景</w:t>
      </w:r>
      <w:r>
        <w:rPr>
          <w:rFonts w:hint="default" w:ascii="Times New Roman" w:hAnsi="Times New Roman" w:cs="Times New Roman" w:eastAsiaTheme="minorEastAsia"/>
          <w:color w:val="auto"/>
          <w:sz w:val="24"/>
          <w:szCs w:val="24"/>
          <w:highlight w:val="none"/>
          <w:shd w:val="clear" w:color="auto" w:fill="auto"/>
        </w:rPr>
        <w:t>。</w:t>
      </w:r>
    </w:p>
    <w:p w14:paraId="22AC9B93">
      <w:pPr>
        <w:pStyle w:val="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黑体" w:cs="Times New Roman"/>
          <w:b/>
          <w:color w:val="auto"/>
          <w:sz w:val="24"/>
          <w:highlight w:val="none"/>
          <w:lang w:val="en-US" w:eastAsia="zh-CN"/>
        </w:rPr>
      </w:pPr>
      <w:r>
        <w:rPr>
          <w:rFonts w:hint="default" w:ascii="Times New Roman" w:hAnsi="Times New Roman" w:eastAsia="黑体" w:cs="Times New Roman"/>
          <w:b/>
          <w:color w:val="auto"/>
          <w:sz w:val="24"/>
          <w:highlight w:val="none"/>
          <w:lang w:val="en-US" w:eastAsia="zh-CN"/>
        </w:rPr>
        <w:t>表5-1-4 土壤背景值一览表</w:t>
      </w:r>
    </w:p>
    <w:tbl>
      <w:tblPr>
        <w:tblStyle w:val="22"/>
        <w:tblW w:w="9854" w:type="dxa"/>
        <w:tblInd w:w="0" w:type="dxa"/>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3534"/>
        <w:gridCol w:w="2132"/>
        <w:gridCol w:w="2796"/>
      </w:tblGrid>
      <w:tr w14:paraId="113A2526">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392" w:type="dxa"/>
            <w:tcBorders>
              <w:top w:val="single" w:color="auto" w:sz="12" w:space="0"/>
              <w:bottom w:val="single" w:color="auto" w:sz="12" w:space="0"/>
            </w:tcBorders>
            <w:vAlign w:val="center"/>
          </w:tcPr>
          <w:p w14:paraId="33E76FF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序号</w:t>
            </w:r>
          </w:p>
        </w:tc>
        <w:tc>
          <w:tcPr>
            <w:tcW w:w="3534" w:type="dxa"/>
            <w:tcBorders>
              <w:top w:val="single" w:color="auto" w:sz="12" w:space="0"/>
              <w:bottom w:val="single" w:color="auto" w:sz="12" w:space="0"/>
            </w:tcBorders>
            <w:vAlign w:val="center"/>
          </w:tcPr>
          <w:p w14:paraId="06AA3C4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重金属</w:t>
            </w:r>
          </w:p>
        </w:tc>
        <w:tc>
          <w:tcPr>
            <w:tcW w:w="2132" w:type="dxa"/>
            <w:tcBorders>
              <w:top w:val="single" w:color="auto" w:sz="12" w:space="0"/>
              <w:bottom w:val="single" w:color="auto" w:sz="12" w:space="0"/>
            </w:tcBorders>
            <w:vAlign w:val="center"/>
          </w:tcPr>
          <w:p w14:paraId="61923BC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背景值（mg/kg）</w:t>
            </w:r>
          </w:p>
        </w:tc>
        <w:tc>
          <w:tcPr>
            <w:tcW w:w="2796" w:type="dxa"/>
            <w:tcBorders>
              <w:top w:val="single" w:color="auto" w:sz="12" w:space="0"/>
              <w:bottom w:val="single" w:color="auto" w:sz="12" w:space="0"/>
            </w:tcBorders>
            <w:vAlign w:val="center"/>
          </w:tcPr>
          <w:p w14:paraId="237E46E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背景值来源</w:t>
            </w:r>
          </w:p>
        </w:tc>
      </w:tr>
      <w:tr w14:paraId="3984CB77">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2" w:type="dxa"/>
            <w:tcBorders>
              <w:top w:val="single" w:color="auto" w:sz="12" w:space="0"/>
            </w:tcBorders>
            <w:vAlign w:val="center"/>
          </w:tcPr>
          <w:p w14:paraId="38B9E03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w:t>
            </w:r>
          </w:p>
        </w:tc>
        <w:tc>
          <w:tcPr>
            <w:tcW w:w="3534" w:type="dxa"/>
            <w:tcBorders>
              <w:top w:val="single" w:color="auto" w:sz="12" w:space="0"/>
            </w:tcBorders>
            <w:vAlign w:val="center"/>
          </w:tcPr>
          <w:p w14:paraId="7C9EAE0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锌</w:t>
            </w:r>
          </w:p>
        </w:tc>
        <w:tc>
          <w:tcPr>
            <w:tcW w:w="2132" w:type="dxa"/>
            <w:tcBorders>
              <w:top w:val="single" w:color="auto" w:sz="12" w:space="0"/>
            </w:tcBorders>
            <w:vAlign w:val="center"/>
          </w:tcPr>
          <w:p w14:paraId="6AA762D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144</w:t>
            </w:r>
          </w:p>
        </w:tc>
        <w:tc>
          <w:tcPr>
            <w:tcW w:w="2796" w:type="dxa"/>
            <w:vMerge w:val="restart"/>
            <w:tcBorders>
              <w:top w:val="single" w:color="auto" w:sz="12" w:space="0"/>
            </w:tcBorders>
            <w:vAlign w:val="center"/>
          </w:tcPr>
          <w:p w14:paraId="63E9811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《中国土壤元素背景值》（国家环境保护局 主持, 中国环境监测总站 主编. 中国土壤元素背景值[J]. 1990.）0-20cm土壤95%置信上限值</w:t>
            </w:r>
          </w:p>
        </w:tc>
      </w:tr>
      <w:tr w14:paraId="57E25824">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032EEBB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2</w:t>
            </w:r>
          </w:p>
        </w:tc>
        <w:tc>
          <w:tcPr>
            <w:tcW w:w="3534" w:type="dxa"/>
            <w:vAlign w:val="center"/>
          </w:tcPr>
          <w:p w14:paraId="2DE4E1B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镍</w:t>
            </w:r>
          </w:p>
        </w:tc>
        <w:tc>
          <w:tcPr>
            <w:tcW w:w="2132" w:type="dxa"/>
            <w:vAlign w:val="center"/>
          </w:tcPr>
          <w:p w14:paraId="41A9472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54.2</w:t>
            </w:r>
          </w:p>
        </w:tc>
        <w:tc>
          <w:tcPr>
            <w:tcW w:w="2796" w:type="dxa"/>
            <w:vMerge w:val="continue"/>
            <w:vAlign w:val="center"/>
          </w:tcPr>
          <w:p w14:paraId="0230866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6031314F">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40E44B0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3</w:t>
            </w:r>
          </w:p>
        </w:tc>
        <w:tc>
          <w:tcPr>
            <w:tcW w:w="3534" w:type="dxa"/>
            <w:vAlign w:val="center"/>
          </w:tcPr>
          <w:p w14:paraId="049E3DA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铬</w:t>
            </w:r>
          </w:p>
        </w:tc>
        <w:tc>
          <w:tcPr>
            <w:tcW w:w="2132" w:type="dxa"/>
            <w:vAlign w:val="center"/>
          </w:tcPr>
          <w:p w14:paraId="1EDD89C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146.8</w:t>
            </w:r>
          </w:p>
        </w:tc>
        <w:tc>
          <w:tcPr>
            <w:tcW w:w="2796" w:type="dxa"/>
            <w:vMerge w:val="continue"/>
            <w:vAlign w:val="center"/>
          </w:tcPr>
          <w:p w14:paraId="1BFC25E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553A835E">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0291547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w:t>
            </w:r>
          </w:p>
        </w:tc>
        <w:tc>
          <w:tcPr>
            <w:tcW w:w="3534" w:type="dxa"/>
            <w:vAlign w:val="center"/>
          </w:tcPr>
          <w:p w14:paraId="0715337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铜</w:t>
            </w:r>
          </w:p>
        </w:tc>
        <w:tc>
          <w:tcPr>
            <w:tcW w:w="2132" w:type="dxa"/>
            <w:vAlign w:val="center"/>
          </w:tcPr>
          <w:p w14:paraId="4A771FB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56.4</w:t>
            </w:r>
          </w:p>
        </w:tc>
        <w:tc>
          <w:tcPr>
            <w:tcW w:w="2796" w:type="dxa"/>
            <w:vMerge w:val="continue"/>
            <w:vAlign w:val="center"/>
          </w:tcPr>
          <w:p w14:paraId="6F4E938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2ECFABA4">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452804F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5</w:t>
            </w:r>
          </w:p>
        </w:tc>
        <w:tc>
          <w:tcPr>
            <w:tcW w:w="3534" w:type="dxa"/>
            <w:vAlign w:val="center"/>
          </w:tcPr>
          <w:p w14:paraId="487D76F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镉</w:t>
            </w:r>
          </w:p>
        </w:tc>
        <w:tc>
          <w:tcPr>
            <w:tcW w:w="2132" w:type="dxa"/>
            <w:vAlign w:val="center"/>
          </w:tcPr>
          <w:p w14:paraId="588445C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0.5643</w:t>
            </w:r>
          </w:p>
        </w:tc>
        <w:tc>
          <w:tcPr>
            <w:tcW w:w="2796" w:type="dxa"/>
            <w:vMerge w:val="continue"/>
            <w:vAlign w:val="center"/>
          </w:tcPr>
          <w:p w14:paraId="6C926CF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1251DC81">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2" w:type="dxa"/>
            <w:vAlign w:val="center"/>
          </w:tcPr>
          <w:p w14:paraId="672205F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6</w:t>
            </w:r>
          </w:p>
        </w:tc>
        <w:tc>
          <w:tcPr>
            <w:tcW w:w="3534" w:type="dxa"/>
            <w:vAlign w:val="center"/>
          </w:tcPr>
          <w:p w14:paraId="56AFDD3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汞</w:t>
            </w:r>
          </w:p>
        </w:tc>
        <w:tc>
          <w:tcPr>
            <w:tcW w:w="2132" w:type="dxa"/>
            <w:vAlign w:val="center"/>
          </w:tcPr>
          <w:p w14:paraId="424F18B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0.193</w:t>
            </w:r>
          </w:p>
        </w:tc>
        <w:tc>
          <w:tcPr>
            <w:tcW w:w="2796" w:type="dxa"/>
            <w:vMerge w:val="continue"/>
            <w:vAlign w:val="center"/>
          </w:tcPr>
          <w:p w14:paraId="35445A9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215DDF47">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401F1D9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7</w:t>
            </w:r>
          </w:p>
        </w:tc>
        <w:tc>
          <w:tcPr>
            <w:tcW w:w="3534" w:type="dxa"/>
            <w:vAlign w:val="center"/>
          </w:tcPr>
          <w:p w14:paraId="3795CE2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铅</w:t>
            </w:r>
          </w:p>
        </w:tc>
        <w:tc>
          <w:tcPr>
            <w:tcW w:w="2132" w:type="dxa"/>
            <w:vAlign w:val="center"/>
          </w:tcPr>
          <w:p w14:paraId="22BF534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42.3</w:t>
            </w:r>
          </w:p>
        </w:tc>
        <w:tc>
          <w:tcPr>
            <w:tcW w:w="2796" w:type="dxa"/>
            <w:vMerge w:val="continue"/>
            <w:vAlign w:val="center"/>
          </w:tcPr>
          <w:p w14:paraId="47774CF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1D0D7401">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30FB32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8</w:t>
            </w:r>
          </w:p>
        </w:tc>
        <w:tc>
          <w:tcPr>
            <w:tcW w:w="3534" w:type="dxa"/>
            <w:vAlign w:val="center"/>
          </w:tcPr>
          <w:p w14:paraId="20D0923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钼</w:t>
            </w:r>
          </w:p>
        </w:tc>
        <w:tc>
          <w:tcPr>
            <w:tcW w:w="2132" w:type="dxa"/>
            <w:vAlign w:val="center"/>
          </w:tcPr>
          <w:p w14:paraId="221139F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8.9</w:t>
            </w:r>
          </w:p>
        </w:tc>
        <w:tc>
          <w:tcPr>
            <w:tcW w:w="2796" w:type="dxa"/>
            <w:vMerge w:val="continue"/>
            <w:vAlign w:val="center"/>
          </w:tcPr>
          <w:p w14:paraId="2E08683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1C4F44F2">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4E7FCFC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9</w:t>
            </w:r>
          </w:p>
        </w:tc>
        <w:tc>
          <w:tcPr>
            <w:tcW w:w="3534" w:type="dxa"/>
            <w:vAlign w:val="center"/>
          </w:tcPr>
          <w:p w14:paraId="2A76328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锑</w:t>
            </w:r>
          </w:p>
        </w:tc>
        <w:tc>
          <w:tcPr>
            <w:tcW w:w="2132" w:type="dxa"/>
            <w:vAlign w:val="center"/>
          </w:tcPr>
          <w:p w14:paraId="6A0311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2.23</w:t>
            </w:r>
          </w:p>
        </w:tc>
        <w:tc>
          <w:tcPr>
            <w:tcW w:w="2796" w:type="dxa"/>
            <w:vMerge w:val="continue"/>
            <w:vAlign w:val="center"/>
          </w:tcPr>
          <w:p w14:paraId="3A2E0A4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r w14:paraId="38C50D6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34692B9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10</w:t>
            </w:r>
          </w:p>
        </w:tc>
        <w:tc>
          <w:tcPr>
            <w:tcW w:w="3534" w:type="dxa"/>
            <w:vAlign w:val="center"/>
          </w:tcPr>
          <w:p w14:paraId="16611DB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砷</w:t>
            </w:r>
            <w:r>
              <w:rPr>
                <w:rFonts w:hint="default" w:ascii="Times New Roman" w:hAnsi="Times New Roman" w:cs="Times New Roman" w:eastAsiaTheme="minorEastAsia"/>
                <w:b w:val="0"/>
                <w:bCs/>
                <w:color w:val="auto"/>
                <w:sz w:val="21"/>
                <w:szCs w:val="21"/>
                <w:highlight w:val="none"/>
                <w:vertAlign w:val="superscript"/>
                <w:lang w:val="en-US" w:eastAsia="zh-CN"/>
              </w:rPr>
              <w:t>①</w:t>
            </w:r>
          </w:p>
        </w:tc>
        <w:tc>
          <w:tcPr>
            <w:tcW w:w="2132" w:type="dxa"/>
            <w:vAlign w:val="center"/>
          </w:tcPr>
          <w:p w14:paraId="4688148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40</w:t>
            </w:r>
          </w:p>
        </w:tc>
        <w:tc>
          <w:tcPr>
            <w:tcW w:w="2796" w:type="dxa"/>
            <w:vMerge w:val="restart"/>
            <w:vAlign w:val="center"/>
          </w:tcPr>
          <w:p w14:paraId="37FB7A7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GB36600附录A</w:t>
            </w:r>
          </w:p>
        </w:tc>
      </w:tr>
      <w:tr w14:paraId="70EE2A72">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05254FB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11</w:t>
            </w:r>
          </w:p>
        </w:tc>
        <w:tc>
          <w:tcPr>
            <w:tcW w:w="3534" w:type="dxa"/>
            <w:vAlign w:val="center"/>
          </w:tcPr>
          <w:p w14:paraId="7AC4701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钴</w:t>
            </w:r>
            <w:r>
              <w:rPr>
                <w:rFonts w:hint="default" w:ascii="Times New Roman" w:hAnsi="Times New Roman" w:cs="Times New Roman" w:eastAsiaTheme="minorEastAsia"/>
                <w:b w:val="0"/>
                <w:bCs/>
                <w:color w:val="auto"/>
                <w:sz w:val="21"/>
                <w:szCs w:val="21"/>
                <w:highlight w:val="none"/>
                <w:vertAlign w:val="superscript"/>
                <w:lang w:val="en-US" w:eastAsia="zh-CN"/>
              </w:rPr>
              <w:t>②</w:t>
            </w:r>
          </w:p>
        </w:tc>
        <w:tc>
          <w:tcPr>
            <w:tcW w:w="2132" w:type="dxa"/>
            <w:vAlign w:val="center"/>
          </w:tcPr>
          <w:p w14:paraId="10353F1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40</w:t>
            </w:r>
          </w:p>
        </w:tc>
        <w:tc>
          <w:tcPr>
            <w:tcW w:w="2796" w:type="dxa"/>
            <w:vMerge w:val="continue"/>
            <w:vAlign w:val="center"/>
          </w:tcPr>
          <w:p w14:paraId="4484665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r>
    </w:tbl>
    <w:p w14:paraId="3D75D57B">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eastAsia="zh-CN"/>
        </w:rPr>
        <w:t>注：①②根据“土壤信息服务平台”（http://www.soilinfo.cn/map/index.aspx），三江港经济区主要土壤类型为水稻土、黄棕壤、红壤，因此参考</w:t>
      </w:r>
      <w:r>
        <w:rPr>
          <w:rFonts w:hint="default" w:ascii="Times New Roman" w:hAnsi="Times New Roman" w:cs="Times New Roman" w:eastAsiaTheme="minorEastAsia"/>
          <w:b/>
          <w:bCs/>
          <w:color w:val="auto"/>
          <w:sz w:val="18"/>
          <w:szCs w:val="18"/>
          <w:highlight w:val="none"/>
          <w:vertAlign w:val="baseline"/>
          <w:lang w:val="en-US" w:eastAsia="zh-CN"/>
        </w:rPr>
        <w:t>GB36600附录A确定砷、钴背景值均为40mg/kg。</w:t>
      </w:r>
    </w:p>
    <w:p w14:paraId="4D851CD5">
      <w:pPr>
        <w:pStyle w:val="5"/>
        <w:tabs>
          <w:tab w:val="left" w:pos="425"/>
        </w:tabs>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地下水评价标准</w:t>
      </w:r>
    </w:p>
    <w:p w14:paraId="41FC6E85">
      <w:pPr>
        <w:spacing w:line="360" w:lineRule="auto"/>
        <w:ind w:firstLine="480" w:firstLineChars="200"/>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highlight w:val="none"/>
        </w:rPr>
        <w:t>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地下水</w:t>
      </w:r>
      <w:r>
        <w:rPr>
          <w:rFonts w:hint="default" w:ascii="Times New Roman" w:hAnsi="Times New Roman" w:cs="Times New Roman"/>
          <w:color w:val="auto"/>
          <w:sz w:val="24"/>
          <w:highlight w:val="none"/>
          <w:lang w:eastAsia="zh-CN"/>
        </w:rPr>
        <w:t>类型</w:t>
      </w:r>
      <w:r>
        <w:rPr>
          <w:rFonts w:hint="default" w:ascii="Times New Roman" w:hAnsi="Times New Roman" w:cs="Times New Roman"/>
          <w:color w:val="auto"/>
          <w:sz w:val="24"/>
          <w:highlight w:val="none"/>
        </w:rPr>
        <w:t>主要为</w:t>
      </w:r>
      <w:r>
        <w:rPr>
          <w:rFonts w:hint="default" w:ascii="Times New Roman" w:hAnsi="Times New Roman" w:cs="Times New Roman"/>
          <w:color w:val="auto"/>
          <w:sz w:val="24"/>
          <w:highlight w:val="none"/>
          <w:lang w:eastAsia="zh-CN"/>
        </w:rPr>
        <w:t>潜水</w:t>
      </w:r>
      <w:r>
        <w:rPr>
          <w:rFonts w:hint="default" w:ascii="Times New Roman" w:hAnsi="Times New Roman" w:cs="Times New Roman"/>
          <w:color w:val="auto"/>
          <w:sz w:val="24"/>
          <w:szCs w:val="20"/>
          <w:highlight w:val="none"/>
        </w:rPr>
        <w:t>，</w:t>
      </w:r>
      <w:r>
        <w:rPr>
          <w:rFonts w:hint="default" w:ascii="Times New Roman" w:hAnsi="Times New Roman" w:cs="Times New Roman"/>
          <w:color w:val="auto"/>
          <w:sz w:val="24"/>
          <w:highlight w:val="none"/>
        </w:rPr>
        <w:t>测试项目包括无机项目、金属类、有机类等</w:t>
      </w:r>
      <w:r>
        <w:rPr>
          <w:rFonts w:hint="default" w:ascii="Times New Roman" w:hAnsi="Times New Roman" w:cs="Times New Roman"/>
          <w:color w:val="auto"/>
          <w:sz w:val="24"/>
          <w:highlight w:val="none"/>
          <w:lang w:val="en-US" w:eastAsia="zh-CN"/>
        </w:rPr>
        <w:t>共32</w:t>
      </w:r>
      <w:r>
        <w:rPr>
          <w:rFonts w:hint="default" w:ascii="Times New Roman" w:hAnsi="Times New Roman" w:cs="Times New Roman"/>
          <w:color w:val="auto"/>
          <w:sz w:val="24"/>
          <w:highlight w:val="none"/>
        </w:rPr>
        <w:t>项，各指标</w:t>
      </w:r>
      <w:r>
        <w:rPr>
          <w:rFonts w:hint="default" w:ascii="Times New Roman" w:hAnsi="Times New Roman" w:cs="Times New Roman"/>
          <w:color w:val="auto"/>
          <w:sz w:val="24"/>
          <w:szCs w:val="20"/>
          <w:highlight w:val="none"/>
        </w:rPr>
        <w:t>评价标准选取原则如下：</w:t>
      </w:r>
    </w:p>
    <w:p w14:paraId="573462CA">
      <w:pPr>
        <w:spacing w:line="360" w:lineRule="auto"/>
        <w:ind w:firstLine="360" w:firstLineChars="150"/>
        <w:rPr>
          <w:rFonts w:hint="default" w:ascii="Times New Roman" w:hAnsi="Times New Roman" w:cs="Times New Roman"/>
          <w:color w:val="auto"/>
          <w:sz w:val="24"/>
          <w:highlight w:val="none"/>
        </w:rPr>
      </w:pPr>
      <w:r>
        <w:rPr>
          <w:rFonts w:hint="default" w:ascii="Times New Roman" w:hAnsi="Times New Roman" w:cs="Times New Roman"/>
          <w:color w:val="auto"/>
          <w:sz w:val="24"/>
          <w:szCs w:val="20"/>
          <w:highlight w:val="none"/>
        </w:rPr>
        <w:t>（1）</w:t>
      </w:r>
      <w:r>
        <w:rPr>
          <w:rFonts w:hint="default" w:ascii="Times New Roman" w:hAnsi="Times New Roman" w:eastAsia="宋体" w:cs="Times New Roman"/>
          <w:sz w:val="24"/>
          <w:szCs w:val="24"/>
        </w:rPr>
        <w:t>本次调查钻探的地下水类型为潜水，位于企业周边，且根据《湖北省地下水污染防治规划实施方案（2011-2020年）》，</w:t>
      </w:r>
      <w:r>
        <w:rPr>
          <w:rFonts w:hint="eastAsia" w:cs="Times New Roman"/>
          <w:sz w:val="24"/>
          <w:szCs w:val="24"/>
          <w:lang w:eastAsia="zh-CN"/>
        </w:rPr>
        <w:t>“</w:t>
      </w:r>
      <w:r>
        <w:rPr>
          <w:rFonts w:hint="default" w:ascii="Times New Roman" w:hAnsi="Times New Roman" w:eastAsia="宋体" w:cs="Times New Roman"/>
          <w:sz w:val="24"/>
          <w:szCs w:val="24"/>
        </w:rPr>
        <w:t>全省地下水开发利用较高的分布于沿江城市及江汉平原，利用地下水的城市主要有孝感市、襄阳市，前者主要用于生活，后者用于工、农业、生活等方面</w:t>
      </w:r>
      <w:r>
        <w:rPr>
          <w:rFonts w:hint="eastAsia" w:cs="Times New Roman"/>
          <w:sz w:val="24"/>
          <w:szCs w:val="24"/>
          <w:lang w:eastAsia="zh-CN"/>
        </w:rPr>
        <w:t>”</w:t>
      </w:r>
      <w:r>
        <w:rPr>
          <w:rFonts w:hint="default" w:ascii="Times New Roman" w:hAnsi="Times New Roman" w:eastAsia="宋体" w:cs="Times New Roman"/>
          <w:sz w:val="24"/>
          <w:szCs w:val="24"/>
        </w:rPr>
        <w:t>，</w:t>
      </w:r>
      <w:r>
        <w:rPr>
          <w:rFonts w:hint="eastAsia" w:cs="Times New Roman"/>
          <w:sz w:val="24"/>
          <w:szCs w:val="24"/>
          <w:lang w:val="en-US" w:eastAsia="zh-CN"/>
        </w:rPr>
        <w:t>因此，</w:t>
      </w:r>
      <w:r>
        <w:rPr>
          <w:rFonts w:hint="eastAsia"/>
          <w:color w:val="000000" w:themeColor="text1"/>
          <w:szCs w:val="20"/>
          <w:highlight w:val="none"/>
          <w:lang w:val="en-US" w:eastAsia="zh-CN"/>
          <w14:textFill>
            <w14:solidFill>
              <w14:schemeClr w14:val="tx1"/>
            </w14:solidFill>
          </w14:textFill>
        </w:rPr>
        <w:t>本次钻探地下水点位所在区域</w:t>
      </w:r>
      <w:r>
        <w:rPr>
          <w:rFonts w:hint="eastAsia"/>
          <w:color w:val="000000" w:themeColor="text1"/>
          <w:szCs w:val="20"/>
          <w:highlight w:val="none"/>
          <w14:textFill>
            <w14:solidFill>
              <w14:schemeClr w14:val="tx1"/>
            </w14:solidFill>
          </w14:textFill>
        </w:rPr>
        <w:t>地下水不</w:t>
      </w:r>
      <w:r>
        <w:rPr>
          <w:rFonts w:hint="eastAsia"/>
          <w:color w:val="000000" w:themeColor="text1"/>
          <w:szCs w:val="20"/>
          <w:highlight w:val="none"/>
          <w:lang w:val="en-US" w:eastAsia="zh-CN"/>
          <w14:textFill>
            <w14:solidFill>
              <w14:schemeClr w14:val="tx1"/>
            </w14:solidFill>
          </w14:textFill>
        </w:rPr>
        <w:t>具备</w:t>
      </w:r>
      <w:r>
        <w:rPr>
          <w:rFonts w:hint="eastAsia"/>
          <w:color w:val="000000" w:themeColor="text1"/>
          <w:szCs w:val="20"/>
          <w:highlight w:val="none"/>
          <w14:textFill>
            <w14:solidFill>
              <w14:schemeClr w14:val="tx1"/>
            </w14:solidFill>
          </w14:textFill>
        </w:rPr>
        <w:t>开发利用</w:t>
      </w:r>
      <w:r>
        <w:rPr>
          <w:rFonts w:hint="eastAsia"/>
          <w:color w:val="000000" w:themeColor="text1"/>
          <w:szCs w:val="20"/>
          <w:highlight w:val="none"/>
          <w:lang w:val="en-US" w:eastAsia="zh-CN"/>
          <w14:textFill>
            <w14:solidFill>
              <w14:schemeClr w14:val="tx1"/>
            </w14:solidFill>
          </w14:textFill>
        </w:rPr>
        <w:t>功能</w:t>
      </w:r>
      <w:r>
        <w:rPr>
          <w:rFonts w:hint="default" w:ascii="Times New Roman" w:hAnsi="Times New Roman" w:eastAsia="宋体" w:cs="Times New Roman"/>
          <w:sz w:val="24"/>
          <w:szCs w:val="24"/>
        </w:rPr>
        <w:t>，且水井点位所在位置不具备集中式生活饮用水水源功能，评价时优先选用《地下水质量标准》（GB/T 14848-2017）（以下简称GB/T-14848）Ⅳ类标准限值进行评价</w:t>
      </w:r>
      <w:r>
        <w:rPr>
          <w:rFonts w:hint="default" w:ascii="Times New Roman" w:hAnsi="Times New Roman" w:cs="Times New Roman"/>
          <w:color w:val="auto"/>
          <w:sz w:val="24"/>
          <w:highlight w:val="none"/>
        </w:rPr>
        <w:t>；</w:t>
      </w:r>
    </w:p>
    <w:p w14:paraId="0E1B278B">
      <w:pPr>
        <w:spacing w:line="360" w:lineRule="auto"/>
        <w:ind w:firstLine="360" w:firstLineChars="15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（2）GB 14848中</w:t>
      </w:r>
      <w:r>
        <w:rPr>
          <w:rFonts w:hint="default" w:ascii="Times New Roman" w:hAnsi="Times New Roman" w:cs="Times New Roman"/>
          <w:color w:val="auto"/>
          <w:sz w:val="24"/>
          <w:highlight w:val="none"/>
          <w:lang w:eastAsia="zh-CN"/>
        </w:rPr>
        <w:t>没有</w:t>
      </w:r>
      <w:r>
        <w:rPr>
          <w:rFonts w:hint="default" w:ascii="Times New Roman" w:hAnsi="Times New Roman" w:cs="Times New Roman"/>
          <w:color w:val="auto"/>
          <w:sz w:val="24"/>
          <w:highlight w:val="none"/>
        </w:rPr>
        <w:t>规定的指标（如</w:t>
      </w:r>
      <w:r>
        <w:rPr>
          <w:rFonts w:hint="default" w:ascii="Times New Roman" w:hAnsi="Times New Roman" w:cs="Times New Roman"/>
          <w:color w:val="auto"/>
          <w:sz w:val="24"/>
          <w:highlight w:val="none"/>
          <w:lang w:eastAsia="zh-CN"/>
        </w:rPr>
        <w:t>石油类</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参考</w:t>
      </w:r>
      <w:r>
        <w:rPr>
          <w:rFonts w:hint="default" w:ascii="Times New Roman" w:hAnsi="Times New Roman" w:cs="Times New Roman"/>
          <w:color w:val="auto"/>
          <w:sz w:val="24"/>
          <w:highlight w:val="none"/>
        </w:rPr>
        <w:t>《地表水环境质量标准》</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GB3838-2002</w:t>
      </w:r>
      <w:r>
        <w:rPr>
          <w:rFonts w:hint="default" w:ascii="Times New Roman" w:hAnsi="Times New Roman" w:cs="Times New Roman"/>
          <w:color w:val="auto"/>
          <w:sz w:val="24"/>
          <w:highlight w:val="none"/>
          <w:lang w:eastAsia="zh-CN"/>
        </w:rPr>
        <w:t>）（以下简称</w:t>
      </w:r>
      <w:r>
        <w:rPr>
          <w:rFonts w:hint="default" w:ascii="Times New Roman" w:hAnsi="Times New Roman" w:cs="Times New Roman"/>
          <w:color w:val="auto"/>
          <w:sz w:val="24"/>
          <w:highlight w:val="none"/>
        </w:rPr>
        <w:t>GB3838</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w:t>
      </w:r>
      <w:r>
        <w:rPr>
          <w:rFonts w:hint="default" w:ascii="Times New Roman" w:hAnsi="Times New Roman" w:cs="Times New Roman"/>
          <w:color w:val="auto"/>
          <w:sz w:val="24"/>
          <w:highlight w:val="none"/>
          <w:lang w:val="en-US" w:eastAsia="zh-CN"/>
        </w:rPr>
        <w:t>标准</w:t>
      </w:r>
      <w:r>
        <w:rPr>
          <w:rFonts w:hint="default" w:ascii="Times New Roman" w:hAnsi="Times New Roman" w:cs="Times New Roman"/>
          <w:color w:val="auto"/>
          <w:sz w:val="24"/>
          <w:highlight w:val="none"/>
        </w:rPr>
        <w:t>限值进行评价</w:t>
      </w:r>
      <w:r>
        <w:rPr>
          <w:rFonts w:hint="eastAsia" w:cs="Times New Roman"/>
          <w:color w:val="auto"/>
          <w:sz w:val="24"/>
          <w:highlight w:val="none"/>
          <w:lang w:eastAsia="zh-CN"/>
        </w:rPr>
        <w:t>。</w:t>
      </w:r>
    </w:p>
    <w:p w14:paraId="5E5AEEA5">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
          <w:bCs/>
          <w:color w:val="auto"/>
          <w:sz w:val="24"/>
          <w:highlight w:val="none"/>
        </w:rPr>
        <w:t>表5-1-</w:t>
      </w:r>
      <w:r>
        <w:rPr>
          <w:rFonts w:hint="default" w:ascii="Times New Roman" w:hAnsi="Times New Roman" w:eastAsia="黑体" w:cs="Times New Roman"/>
          <w:b/>
          <w:bCs/>
          <w:color w:val="auto"/>
          <w:sz w:val="24"/>
          <w:highlight w:val="none"/>
          <w:lang w:val="en-US" w:eastAsia="zh-CN"/>
        </w:rPr>
        <w:t>5</w:t>
      </w:r>
      <w:r>
        <w:rPr>
          <w:rFonts w:hint="default" w:ascii="Times New Roman" w:hAnsi="Times New Roman" w:eastAsia="黑体" w:cs="Times New Roman"/>
          <w:b/>
          <w:bCs/>
          <w:color w:val="auto"/>
          <w:sz w:val="24"/>
          <w:highlight w:val="none"/>
        </w:rPr>
        <w:t xml:space="preserve">  </w:t>
      </w:r>
      <w:r>
        <w:rPr>
          <w:rFonts w:hint="default" w:ascii="Times New Roman" w:hAnsi="Times New Roman" w:eastAsia="黑体" w:cs="Times New Roman"/>
          <w:b/>
          <w:bCs/>
          <w:color w:val="auto"/>
          <w:sz w:val="24"/>
          <w:highlight w:val="none"/>
          <w:lang w:eastAsia="zh-CN"/>
        </w:rPr>
        <w:t>地下水质量指标及限值</w:t>
      </w:r>
      <w:r>
        <w:rPr>
          <w:rFonts w:hint="default" w:ascii="Times New Roman" w:hAnsi="Times New Roman" w:eastAsia="黑体" w:cs="Times New Roman"/>
          <w:b/>
          <w:bCs/>
          <w:color w:val="auto"/>
          <w:sz w:val="24"/>
          <w:highlight w:val="none"/>
        </w:rPr>
        <w:t xml:space="preserve">  （单位：mg/</w:t>
      </w:r>
      <w:r>
        <w:rPr>
          <w:rFonts w:hint="default" w:ascii="Times New Roman" w:hAnsi="Times New Roman" w:eastAsia="黑体" w:cs="Times New Roman"/>
          <w:b/>
          <w:bCs/>
          <w:color w:val="auto"/>
          <w:sz w:val="24"/>
          <w:highlight w:val="none"/>
          <w:lang w:val="en-US" w:eastAsia="zh-CN"/>
        </w:rPr>
        <w:t>L</w:t>
      </w:r>
      <w:r>
        <w:rPr>
          <w:rFonts w:hint="default" w:ascii="Times New Roman" w:hAnsi="Times New Roman" w:eastAsia="黑体" w:cs="Times New Roman"/>
          <w:b/>
          <w:bCs/>
          <w:color w:val="auto"/>
          <w:sz w:val="24"/>
          <w:highlight w:val="none"/>
        </w:rPr>
        <w:t>）</w:t>
      </w:r>
    </w:p>
    <w:tbl>
      <w:tblPr>
        <w:tblStyle w:val="21"/>
        <w:tblW w:w="961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254"/>
        <w:gridCol w:w="3104"/>
        <w:gridCol w:w="1104"/>
        <w:gridCol w:w="2052"/>
        <w:gridCol w:w="2097"/>
      </w:tblGrid>
      <w:tr w14:paraId="2A416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1254" w:type="dxa"/>
            <w:tcBorders>
              <w:bottom w:val="single" w:color="auto" w:sz="12" w:space="0"/>
            </w:tcBorders>
            <w:shd w:val="clear" w:color="auto" w:fill="auto"/>
            <w:noWrap/>
            <w:tcMar>
              <w:top w:w="15" w:type="dxa"/>
              <w:left w:w="15" w:type="dxa"/>
              <w:right w:w="15" w:type="dxa"/>
            </w:tcMar>
            <w:vAlign w:val="center"/>
          </w:tcPr>
          <w:p w14:paraId="7CC18C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序号</w:t>
            </w:r>
          </w:p>
        </w:tc>
        <w:tc>
          <w:tcPr>
            <w:tcW w:w="3104" w:type="dxa"/>
            <w:tcBorders>
              <w:bottom w:val="single" w:color="auto" w:sz="12" w:space="0"/>
            </w:tcBorders>
            <w:shd w:val="clear" w:color="auto" w:fill="auto"/>
            <w:tcMar>
              <w:top w:w="15" w:type="dxa"/>
              <w:left w:w="15" w:type="dxa"/>
              <w:right w:w="15" w:type="dxa"/>
            </w:tcMar>
            <w:vAlign w:val="center"/>
          </w:tcPr>
          <w:p w14:paraId="6B7961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cs="Times New Roman"/>
                <w:b/>
                <w:bCs/>
                <w:i w:val="0"/>
                <w:color w:val="auto"/>
                <w:kern w:val="0"/>
                <w:sz w:val="21"/>
                <w:szCs w:val="21"/>
                <w:highlight w:val="none"/>
                <w:u w:val="none"/>
                <w:lang w:val="en-US" w:eastAsia="zh-CN" w:bidi="ar"/>
              </w:rPr>
              <w:t>监测</w:t>
            </w:r>
            <w:r>
              <w:rPr>
                <w:rFonts w:hint="default" w:ascii="Times New Roman" w:hAnsi="Times New Roman" w:eastAsia="宋体" w:cs="Times New Roman"/>
                <w:b/>
                <w:bCs/>
                <w:i w:val="0"/>
                <w:color w:val="auto"/>
                <w:kern w:val="0"/>
                <w:sz w:val="21"/>
                <w:szCs w:val="21"/>
                <w:highlight w:val="none"/>
                <w:u w:val="none"/>
                <w:lang w:val="en-US" w:eastAsia="zh-CN" w:bidi="ar"/>
              </w:rPr>
              <w:t>指标</w:t>
            </w:r>
          </w:p>
        </w:tc>
        <w:tc>
          <w:tcPr>
            <w:tcW w:w="1104" w:type="dxa"/>
            <w:tcBorders>
              <w:bottom w:val="single" w:color="auto" w:sz="12" w:space="0"/>
            </w:tcBorders>
            <w:shd w:val="clear" w:color="auto" w:fill="auto"/>
            <w:tcMar>
              <w:top w:w="15" w:type="dxa"/>
              <w:left w:w="15" w:type="dxa"/>
              <w:right w:w="15" w:type="dxa"/>
            </w:tcMar>
            <w:vAlign w:val="center"/>
          </w:tcPr>
          <w:p w14:paraId="5E5BCA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cs="Times New Roman"/>
                <w:b/>
                <w:bCs/>
                <w:i w:val="0"/>
                <w:color w:val="auto"/>
                <w:kern w:val="0"/>
                <w:sz w:val="21"/>
                <w:szCs w:val="21"/>
                <w:highlight w:val="none"/>
                <w:u w:val="none"/>
                <w:lang w:val="en-US" w:eastAsia="zh-CN" w:bidi="ar"/>
              </w:rPr>
              <w:t>单位</w:t>
            </w:r>
          </w:p>
        </w:tc>
        <w:tc>
          <w:tcPr>
            <w:tcW w:w="2052" w:type="dxa"/>
            <w:tcBorders>
              <w:bottom w:val="single" w:color="auto" w:sz="12" w:space="0"/>
            </w:tcBorders>
            <w:shd w:val="clear" w:color="auto" w:fill="auto"/>
            <w:noWrap/>
            <w:tcMar>
              <w:top w:w="15" w:type="dxa"/>
              <w:left w:w="15" w:type="dxa"/>
              <w:right w:w="15" w:type="dxa"/>
            </w:tcMar>
            <w:vAlign w:val="center"/>
          </w:tcPr>
          <w:p w14:paraId="74A656D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cs="Times New Roman"/>
                <w:b/>
                <w:bCs/>
                <w:i w:val="0"/>
                <w:color w:val="auto"/>
                <w:sz w:val="21"/>
                <w:szCs w:val="21"/>
                <w:highlight w:val="none"/>
                <w:u w:val="none"/>
                <w:lang w:val="en-US" w:eastAsia="zh-CN"/>
              </w:rPr>
              <w:t>Ⅳ类标准值</w:t>
            </w:r>
          </w:p>
        </w:tc>
        <w:tc>
          <w:tcPr>
            <w:tcW w:w="2097" w:type="dxa"/>
            <w:tcBorders>
              <w:bottom w:val="single" w:color="auto" w:sz="12" w:space="0"/>
            </w:tcBorders>
            <w:shd w:val="clear" w:color="auto" w:fill="auto"/>
            <w:noWrap/>
            <w:tcMar>
              <w:top w:w="15" w:type="dxa"/>
              <w:left w:w="15" w:type="dxa"/>
              <w:right w:w="15" w:type="dxa"/>
            </w:tcMar>
            <w:vAlign w:val="center"/>
          </w:tcPr>
          <w:p w14:paraId="107A6B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标准来源</w:t>
            </w:r>
          </w:p>
        </w:tc>
      </w:tr>
      <w:tr w14:paraId="71087D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op w:val="single" w:color="auto" w:sz="12" w:space="0"/>
              <w:tl2br w:val="nil"/>
              <w:tr2bl w:val="nil"/>
            </w:tcBorders>
            <w:shd w:val="clear" w:color="auto" w:fill="auto"/>
            <w:noWrap/>
            <w:tcMar>
              <w:top w:w="15" w:type="dxa"/>
              <w:left w:w="15" w:type="dxa"/>
              <w:right w:w="15" w:type="dxa"/>
            </w:tcMar>
            <w:vAlign w:val="center"/>
          </w:tcPr>
          <w:p w14:paraId="1AD94A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3104" w:type="dxa"/>
            <w:tcBorders>
              <w:top w:val="single" w:color="auto" w:sz="12" w:space="0"/>
              <w:tl2br w:val="nil"/>
              <w:tr2bl w:val="nil"/>
            </w:tcBorders>
            <w:shd w:val="clear" w:color="auto" w:fill="auto"/>
            <w:tcMar>
              <w:top w:w="15" w:type="dxa"/>
              <w:left w:w="15" w:type="dxa"/>
              <w:right w:w="15" w:type="dxa"/>
            </w:tcMar>
            <w:vAlign w:val="center"/>
          </w:tcPr>
          <w:p w14:paraId="1DF0B12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pH 值</w:t>
            </w:r>
          </w:p>
        </w:tc>
        <w:tc>
          <w:tcPr>
            <w:tcW w:w="1104" w:type="dxa"/>
            <w:tcBorders>
              <w:top w:val="single" w:color="auto" w:sz="12" w:space="0"/>
              <w:tl2br w:val="nil"/>
              <w:tr2bl w:val="nil"/>
            </w:tcBorders>
            <w:shd w:val="clear" w:color="auto" w:fill="auto"/>
            <w:tcMar>
              <w:top w:w="15" w:type="dxa"/>
              <w:left w:w="15" w:type="dxa"/>
              <w:right w:w="15" w:type="dxa"/>
            </w:tcMar>
            <w:vAlign w:val="center"/>
          </w:tcPr>
          <w:p w14:paraId="65CCCCA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无量纲</w:t>
            </w:r>
          </w:p>
        </w:tc>
        <w:tc>
          <w:tcPr>
            <w:tcW w:w="2052" w:type="dxa"/>
            <w:tcBorders>
              <w:top w:val="single" w:color="auto" w:sz="12" w:space="0"/>
              <w:tl2br w:val="nil"/>
              <w:tr2bl w:val="nil"/>
            </w:tcBorders>
            <w:shd w:val="clear" w:color="auto" w:fill="auto"/>
            <w:tcMar>
              <w:top w:w="15" w:type="dxa"/>
              <w:left w:w="15" w:type="dxa"/>
              <w:right w:w="15" w:type="dxa"/>
            </w:tcMar>
            <w:vAlign w:val="center"/>
          </w:tcPr>
          <w:p w14:paraId="32FE24B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5.</w:t>
            </w:r>
            <w:r>
              <w:rPr>
                <w:rFonts w:hint="default" w:ascii="Times New Roman" w:hAnsi="Times New Roman" w:cs="Times New Roman"/>
                <w:i w:val="0"/>
                <w:color w:val="auto"/>
                <w:kern w:val="0"/>
                <w:sz w:val="21"/>
                <w:szCs w:val="21"/>
                <w:highlight w:val="none"/>
                <w:u w:val="none"/>
                <w:lang w:val="en-US" w:eastAsia="zh-CN" w:bidi="ar"/>
              </w:rPr>
              <w:t>5</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pH＜6.5</w:t>
            </w:r>
          </w:p>
          <w:p w14:paraId="2369BB1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或8.5＜pH</w:t>
            </w:r>
            <w:r>
              <w:rPr>
                <w:rFonts w:hint="default" w:ascii="Times New Roman" w:hAnsi="Times New Roman" w:eastAsia="宋体" w:cs="Times New Roman"/>
                <w:i w:val="0"/>
                <w:color w:val="auto"/>
                <w:kern w:val="0"/>
                <w:sz w:val="21"/>
                <w:szCs w:val="21"/>
                <w:highlight w:val="none"/>
                <w:u w:val="none"/>
                <w:lang w:val="en-US" w:eastAsia="zh-CN" w:bidi="ar"/>
              </w:rPr>
              <w:t>≤9.0</w:t>
            </w:r>
          </w:p>
        </w:tc>
        <w:tc>
          <w:tcPr>
            <w:tcW w:w="2097" w:type="dxa"/>
            <w:vMerge w:val="restart"/>
            <w:tcBorders>
              <w:top w:val="single" w:color="auto" w:sz="12" w:space="0"/>
              <w:tl2br w:val="nil"/>
              <w:tr2bl w:val="nil"/>
            </w:tcBorders>
            <w:shd w:val="clear" w:color="auto" w:fill="auto"/>
            <w:tcMar>
              <w:top w:w="15" w:type="dxa"/>
              <w:left w:w="15" w:type="dxa"/>
              <w:right w:w="15" w:type="dxa"/>
            </w:tcMar>
            <w:vAlign w:val="center"/>
          </w:tcPr>
          <w:p w14:paraId="3173241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GB/T 14848</w:t>
            </w:r>
          </w:p>
          <w:p w14:paraId="5597B06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Ⅳ类标准</w:t>
            </w:r>
          </w:p>
        </w:tc>
      </w:tr>
      <w:tr w14:paraId="09A528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FD22F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3104" w:type="dxa"/>
            <w:tcBorders>
              <w:tl2br w:val="nil"/>
              <w:tr2bl w:val="nil"/>
            </w:tcBorders>
            <w:shd w:val="clear" w:color="auto" w:fill="auto"/>
            <w:tcMar>
              <w:top w:w="15" w:type="dxa"/>
              <w:left w:w="15" w:type="dxa"/>
              <w:right w:w="15" w:type="dxa"/>
            </w:tcMar>
            <w:vAlign w:val="center"/>
          </w:tcPr>
          <w:p w14:paraId="11FF57A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1104" w:type="dxa"/>
            <w:tcBorders>
              <w:tl2br w:val="nil"/>
              <w:tr2bl w:val="nil"/>
            </w:tcBorders>
            <w:shd w:val="clear" w:color="auto" w:fill="auto"/>
            <w:tcMar>
              <w:top w:w="15" w:type="dxa"/>
              <w:left w:w="15" w:type="dxa"/>
              <w:right w:w="15" w:type="dxa"/>
            </w:tcMar>
            <w:vAlign w:val="center"/>
          </w:tcPr>
          <w:p w14:paraId="3A901D7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7D01BB8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650</w:t>
            </w:r>
          </w:p>
        </w:tc>
        <w:tc>
          <w:tcPr>
            <w:tcW w:w="2097" w:type="dxa"/>
            <w:vMerge w:val="continue"/>
            <w:tcBorders>
              <w:tl2br w:val="nil"/>
              <w:tr2bl w:val="nil"/>
            </w:tcBorders>
            <w:shd w:val="clear" w:color="auto" w:fill="auto"/>
            <w:noWrap/>
            <w:tcMar>
              <w:top w:w="15" w:type="dxa"/>
              <w:left w:w="15" w:type="dxa"/>
              <w:right w:w="15" w:type="dxa"/>
            </w:tcMar>
            <w:vAlign w:val="center"/>
          </w:tcPr>
          <w:p w14:paraId="364161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6B202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3ED18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3104" w:type="dxa"/>
            <w:tcBorders>
              <w:tl2br w:val="nil"/>
              <w:tr2bl w:val="nil"/>
            </w:tcBorders>
            <w:shd w:val="clear" w:color="auto" w:fill="auto"/>
            <w:tcMar>
              <w:top w:w="15" w:type="dxa"/>
              <w:left w:w="15" w:type="dxa"/>
              <w:right w:w="15" w:type="dxa"/>
            </w:tcMar>
            <w:vAlign w:val="center"/>
          </w:tcPr>
          <w:p w14:paraId="53975DC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1104" w:type="dxa"/>
            <w:tcBorders>
              <w:tl2br w:val="nil"/>
              <w:tr2bl w:val="nil"/>
            </w:tcBorders>
            <w:shd w:val="clear" w:color="auto" w:fill="auto"/>
            <w:tcMar>
              <w:top w:w="15" w:type="dxa"/>
              <w:left w:w="15" w:type="dxa"/>
              <w:right w:w="15" w:type="dxa"/>
            </w:tcMar>
            <w:vAlign w:val="center"/>
          </w:tcPr>
          <w:p w14:paraId="547958B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3171E87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2000</w:t>
            </w:r>
          </w:p>
        </w:tc>
        <w:tc>
          <w:tcPr>
            <w:tcW w:w="2097" w:type="dxa"/>
            <w:vMerge w:val="continue"/>
            <w:tcBorders>
              <w:tl2br w:val="nil"/>
              <w:tr2bl w:val="nil"/>
            </w:tcBorders>
            <w:shd w:val="clear" w:color="auto" w:fill="auto"/>
            <w:noWrap/>
            <w:tcMar>
              <w:top w:w="15" w:type="dxa"/>
              <w:left w:w="15" w:type="dxa"/>
              <w:right w:w="15" w:type="dxa"/>
            </w:tcMar>
            <w:vAlign w:val="center"/>
          </w:tcPr>
          <w:p w14:paraId="6D829EA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06CFA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3139A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3104" w:type="dxa"/>
            <w:tcBorders>
              <w:tl2br w:val="nil"/>
              <w:tr2bl w:val="nil"/>
            </w:tcBorders>
            <w:shd w:val="clear" w:color="auto" w:fill="auto"/>
            <w:tcMar>
              <w:top w:w="15" w:type="dxa"/>
              <w:left w:w="15" w:type="dxa"/>
              <w:right w:w="15" w:type="dxa"/>
            </w:tcMar>
            <w:vAlign w:val="center"/>
          </w:tcPr>
          <w:p w14:paraId="58B61DA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耗氧量（COD</w:t>
            </w:r>
            <w:r>
              <w:rPr>
                <w:rFonts w:hint="default" w:ascii="Times New Roman" w:hAnsi="Times New Roman" w:cs="Times New Roman"/>
                <w:i w:val="0"/>
                <w:color w:val="auto"/>
                <w:kern w:val="0"/>
                <w:sz w:val="21"/>
                <w:szCs w:val="21"/>
                <w:highlight w:val="none"/>
                <w:u w:val="none"/>
                <w:vertAlign w:val="subscript"/>
                <w:lang w:val="en-US" w:eastAsia="zh-CN" w:bidi="ar"/>
              </w:rPr>
              <w:t>Mn</w:t>
            </w:r>
            <w:r>
              <w:rPr>
                <w:rFonts w:hint="default" w:ascii="Times New Roman" w:hAnsi="Times New Roman" w:cs="Times New Roman"/>
                <w:i w:val="0"/>
                <w:color w:val="auto"/>
                <w:kern w:val="0"/>
                <w:sz w:val="21"/>
                <w:szCs w:val="21"/>
                <w:highlight w:val="none"/>
                <w:u w:val="none"/>
                <w:lang w:val="en-US" w:eastAsia="zh-CN" w:bidi="ar"/>
              </w:rPr>
              <w:t>法，以O</w:t>
            </w:r>
            <w:r>
              <w:rPr>
                <w:rFonts w:hint="default" w:ascii="Times New Roman" w:hAnsi="Times New Roman" w:cs="Times New Roman"/>
                <w:i w:val="0"/>
                <w:color w:val="auto"/>
                <w:kern w:val="0"/>
                <w:sz w:val="21"/>
                <w:szCs w:val="21"/>
                <w:highlight w:val="none"/>
                <w:u w:val="none"/>
                <w:vertAlign w:val="subscript"/>
                <w:lang w:val="en-US" w:eastAsia="zh-CN" w:bidi="ar"/>
              </w:rPr>
              <w:t>2</w:t>
            </w:r>
            <w:r>
              <w:rPr>
                <w:rFonts w:hint="default" w:ascii="Times New Roman" w:hAnsi="Times New Roman" w:cs="Times New Roman"/>
                <w:i w:val="0"/>
                <w:color w:val="auto"/>
                <w:kern w:val="0"/>
                <w:sz w:val="21"/>
                <w:szCs w:val="21"/>
                <w:highlight w:val="none"/>
                <w:u w:val="none"/>
                <w:lang w:val="en-US" w:eastAsia="zh-CN" w:bidi="ar"/>
              </w:rPr>
              <w:t>计）</w:t>
            </w:r>
          </w:p>
        </w:tc>
        <w:tc>
          <w:tcPr>
            <w:tcW w:w="1104" w:type="dxa"/>
            <w:tcBorders>
              <w:tl2br w:val="nil"/>
              <w:tr2bl w:val="nil"/>
            </w:tcBorders>
            <w:shd w:val="clear" w:color="auto" w:fill="auto"/>
            <w:tcMar>
              <w:top w:w="15" w:type="dxa"/>
              <w:left w:w="15" w:type="dxa"/>
              <w:right w:w="15" w:type="dxa"/>
            </w:tcMar>
            <w:vAlign w:val="center"/>
          </w:tcPr>
          <w:p w14:paraId="6F97B5B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02A7557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10</w:t>
            </w:r>
          </w:p>
        </w:tc>
        <w:tc>
          <w:tcPr>
            <w:tcW w:w="2097" w:type="dxa"/>
            <w:vMerge w:val="continue"/>
            <w:tcBorders>
              <w:tl2br w:val="nil"/>
              <w:tr2bl w:val="nil"/>
            </w:tcBorders>
            <w:shd w:val="clear" w:color="auto" w:fill="auto"/>
            <w:noWrap/>
            <w:tcMar>
              <w:top w:w="15" w:type="dxa"/>
              <w:left w:w="15" w:type="dxa"/>
              <w:right w:w="15" w:type="dxa"/>
            </w:tcMar>
            <w:vAlign w:val="center"/>
          </w:tcPr>
          <w:p w14:paraId="17F9FF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8F821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434BE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3104" w:type="dxa"/>
            <w:tcBorders>
              <w:tl2br w:val="nil"/>
              <w:tr2bl w:val="nil"/>
            </w:tcBorders>
            <w:shd w:val="clear" w:color="auto" w:fill="auto"/>
            <w:tcMar>
              <w:top w:w="15" w:type="dxa"/>
              <w:left w:w="15" w:type="dxa"/>
              <w:right w:w="15" w:type="dxa"/>
            </w:tcMar>
            <w:vAlign w:val="center"/>
          </w:tcPr>
          <w:p w14:paraId="613EF92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1104" w:type="dxa"/>
            <w:tcBorders>
              <w:tl2br w:val="nil"/>
              <w:tr2bl w:val="nil"/>
            </w:tcBorders>
            <w:shd w:val="clear" w:color="auto" w:fill="auto"/>
            <w:tcMar>
              <w:top w:w="15" w:type="dxa"/>
              <w:left w:w="15" w:type="dxa"/>
              <w:right w:w="15" w:type="dxa"/>
            </w:tcMar>
            <w:vAlign w:val="center"/>
          </w:tcPr>
          <w:p w14:paraId="3B03991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67A3C37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350</w:t>
            </w:r>
          </w:p>
        </w:tc>
        <w:tc>
          <w:tcPr>
            <w:tcW w:w="2097" w:type="dxa"/>
            <w:vMerge w:val="continue"/>
            <w:tcBorders>
              <w:tl2br w:val="nil"/>
              <w:tr2bl w:val="nil"/>
            </w:tcBorders>
            <w:shd w:val="clear" w:color="auto" w:fill="auto"/>
            <w:noWrap/>
            <w:tcMar>
              <w:top w:w="15" w:type="dxa"/>
              <w:left w:w="15" w:type="dxa"/>
              <w:right w:w="15" w:type="dxa"/>
            </w:tcMar>
            <w:vAlign w:val="center"/>
          </w:tcPr>
          <w:p w14:paraId="101DA0F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FBF1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3B0359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3104" w:type="dxa"/>
            <w:tcBorders>
              <w:tl2br w:val="nil"/>
              <w:tr2bl w:val="nil"/>
            </w:tcBorders>
            <w:shd w:val="clear" w:color="auto" w:fill="auto"/>
            <w:tcMar>
              <w:top w:w="15" w:type="dxa"/>
              <w:left w:w="15" w:type="dxa"/>
              <w:right w:w="15" w:type="dxa"/>
            </w:tcMar>
            <w:vAlign w:val="center"/>
          </w:tcPr>
          <w:p w14:paraId="39B9E16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硝酸盐(以</w:t>
            </w:r>
            <w:r>
              <w:rPr>
                <w:rFonts w:hint="default" w:ascii="Times New Roman" w:hAnsi="Times New Roman" w:cs="Times New Roman"/>
                <w:i w:val="0"/>
                <w:color w:val="auto"/>
                <w:kern w:val="0"/>
                <w:sz w:val="21"/>
                <w:szCs w:val="21"/>
                <w:highlight w:val="none"/>
                <w:u w:val="none"/>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计)</w:t>
            </w:r>
          </w:p>
        </w:tc>
        <w:tc>
          <w:tcPr>
            <w:tcW w:w="1104" w:type="dxa"/>
            <w:tcBorders>
              <w:tl2br w:val="nil"/>
              <w:tr2bl w:val="nil"/>
            </w:tcBorders>
            <w:shd w:val="clear" w:color="auto" w:fill="auto"/>
            <w:tcMar>
              <w:top w:w="15" w:type="dxa"/>
              <w:left w:w="15" w:type="dxa"/>
              <w:right w:w="15" w:type="dxa"/>
            </w:tcMar>
            <w:vAlign w:val="center"/>
          </w:tcPr>
          <w:p w14:paraId="3A9A56F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6AEDBB2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30</w:t>
            </w:r>
          </w:p>
        </w:tc>
        <w:tc>
          <w:tcPr>
            <w:tcW w:w="2097" w:type="dxa"/>
            <w:vMerge w:val="continue"/>
            <w:tcBorders>
              <w:tl2br w:val="nil"/>
              <w:tr2bl w:val="nil"/>
            </w:tcBorders>
            <w:shd w:val="clear" w:color="auto" w:fill="auto"/>
            <w:noWrap/>
            <w:tcMar>
              <w:top w:w="15" w:type="dxa"/>
              <w:left w:w="15" w:type="dxa"/>
              <w:right w:w="15" w:type="dxa"/>
            </w:tcMar>
            <w:vAlign w:val="center"/>
          </w:tcPr>
          <w:p w14:paraId="29F566C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8615E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F512C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3104" w:type="dxa"/>
            <w:tcBorders>
              <w:tl2br w:val="nil"/>
              <w:tr2bl w:val="nil"/>
            </w:tcBorders>
            <w:shd w:val="clear" w:color="auto" w:fill="auto"/>
            <w:tcMar>
              <w:top w:w="15" w:type="dxa"/>
              <w:left w:w="15" w:type="dxa"/>
              <w:right w:w="15" w:type="dxa"/>
            </w:tcMar>
            <w:vAlign w:val="center"/>
          </w:tcPr>
          <w:p w14:paraId="42084E9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1104" w:type="dxa"/>
            <w:tcBorders>
              <w:tl2br w:val="nil"/>
              <w:tr2bl w:val="nil"/>
            </w:tcBorders>
            <w:shd w:val="clear" w:color="auto" w:fill="auto"/>
            <w:tcMar>
              <w:top w:w="15" w:type="dxa"/>
              <w:left w:w="15" w:type="dxa"/>
              <w:right w:w="15" w:type="dxa"/>
            </w:tcMar>
            <w:vAlign w:val="center"/>
          </w:tcPr>
          <w:p w14:paraId="59E1CB8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782CB32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350</w:t>
            </w:r>
          </w:p>
        </w:tc>
        <w:tc>
          <w:tcPr>
            <w:tcW w:w="2097" w:type="dxa"/>
            <w:vMerge w:val="continue"/>
            <w:tcBorders>
              <w:tl2br w:val="nil"/>
              <w:tr2bl w:val="nil"/>
            </w:tcBorders>
            <w:shd w:val="clear" w:color="auto" w:fill="auto"/>
            <w:noWrap/>
            <w:tcMar>
              <w:top w:w="15" w:type="dxa"/>
              <w:left w:w="15" w:type="dxa"/>
              <w:right w:w="15" w:type="dxa"/>
            </w:tcMar>
            <w:vAlign w:val="center"/>
          </w:tcPr>
          <w:p w14:paraId="5316423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372A8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3C018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3104" w:type="dxa"/>
            <w:tcBorders>
              <w:tl2br w:val="nil"/>
              <w:tr2bl w:val="nil"/>
            </w:tcBorders>
            <w:shd w:val="clear" w:color="auto" w:fill="auto"/>
            <w:tcMar>
              <w:top w:w="15" w:type="dxa"/>
              <w:left w:w="15" w:type="dxa"/>
              <w:right w:w="15" w:type="dxa"/>
            </w:tcMar>
            <w:vAlign w:val="center"/>
          </w:tcPr>
          <w:p w14:paraId="75A6D5B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总氟化物</w:t>
            </w:r>
          </w:p>
        </w:tc>
        <w:tc>
          <w:tcPr>
            <w:tcW w:w="1104" w:type="dxa"/>
            <w:tcBorders>
              <w:tl2br w:val="nil"/>
              <w:tr2bl w:val="nil"/>
            </w:tcBorders>
            <w:shd w:val="clear" w:color="auto" w:fill="auto"/>
            <w:tcMar>
              <w:top w:w="15" w:type="dxa"/>
              <w:left w:w="15" w:type="dxa"/>
              <w:right w:w="15" w:type="dxa"/>
            </w:tcMar>
            <w:vAlign w:val="center"/>
          </w:tcPr>
          <w:p w14:paraId="13FD70F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2B7F9EB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2.0</w:t>
            </w:r>
          </w:p>
        </w:tc>
        <w:tc>
          <w:tcPr>
            <w:tcW w:w="2097" w:type="dxa"/>
            <w:vMerge w:val="continue"/>
            <w:tcBorders>
              <w:tl2br w:val="nil"/>
              <w:tr2bl w:val="nil"/>
            </w:tcBorders>
            <w:shd w:val="clear" w:color="auto" w:fill="auto"/>
            <w:noWrap/>
            <w:tcMar>
              <w:top w:w="15" w:type="dxa"/>
              <w:left w:w="15" w:type="dxa"/>
              <w:right w:w="15" w:type="dxa"/>
            </w:tcMar>
            <w:vAlign w:val="center"/>
          </w:tcPr>
          <w:p w14:paraId="5A310B4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4DEA32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829BD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3104" w:type="dxa"/>
            <w:tcBorders>
              <w:tl2br w:val="nil"/>
              <w:tr2bl w:val="nil"/>
            </w:tcBorders>
            <w:shd w:val="clear" w:color="auto" w:fill="auto"/>
            <w:tcMar>
              <w:top w:w="15" w:type="dxa"/>
              <w:left w:w="15" w:type="dxa"/>
              <w:right w:w="15" w:type="dxa"/>
            </w:tcMar>
            <w:vAlign w:val="center"/>
          </w:tcPr>
          <w:p w14:paraId="2F70A83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挥发酚</w:t>
            </w:r>
            <w:r>
              <w:rPr>
                <w:rFonts w:hint="default" w:ascii="Times New Roman" w:hAnsi="Times New Roman" w:cs="Times New Roman"/>
                <w:i w:val="0"/>
                <w:color w:val="auto"/>
                <w:kern w:val="0"/>
                <w:sz w:val="21"/>
                <w:szCs w:val="21"/>
                <w:highlight w:val="none"/>
                <w:u w:val="none"/>
                <w:lang w:val="en-US" w:eastAsia="zh-CN" w:bidi="ar"/>
              </w:rPr>
              <w:t>(以苯酚计)</w:t>
            </w:r>
          </w:p>
        </w:tc>
        <w:tc>
          <w:tcPr>
            <w:tcW w:w="1104" w:type="dxa"/>
            <w:tcBorders>
              <w:tl2br w:val="nil"/>
              <w:tr2bl w:val="nil"/>
            </w:tcBorders>
            <w:shd w:val="clear" w:color="auto" w:fill="auto"/>
            <w:tcMar>
              <w:top w:w="15" w:type="dxa"/>
              <w:left w:w="15" w:type="dxa"/>
              <w:right w:w="15" w:type="dxa"/>
            </w:tcMar>
            <w:vAlign w:val="center"/>
          </w:tcPr>
          <w:p w14:paraId="454BBB3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7CD783A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0.01</w:t>
            </w:r>
          </w:p>
        </w:tc>
        <w:tc>
          <w:tcPr>
            <w:tcW w:w="2097" w:type="dxa"/>
            <w:vMerge w:val="continue"/>
            <w:tcBorders>
              <w:tl2br w:val="nil"/>
              <w:tr2bl w:val="nil"/>
            </w:tcBorders>
            <w:shd w:val="clear" w:color="auto" w:fill="auto"/>
            <w:noWrap/>
            <w:tcMar>
              <w:top w:w="15" w:type="dxa"/>
              <w:left w:w="15" w:type="dxa"/>
              <w:right w:w="15" w:type="dxa"/>
            </w:tcMar>
            <w:vAlign w:val="center"/>
          </w:tcPr>
          <w:p w14:paraId="70B0E13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F1774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CA289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3104" w:type="dxa"/>
            <w:tcBorders>
              <w:tl2br w:val="nil"/>
              <w:tr2bl w:val="nil"/>
            </w:tcBorders>
            <w:shd w:val="clear" w:color="auto" w:fill="auto"/>
            <w:tcMar>
              <w:top w:w="15" w:type="dxa"/>
              <w:left w:w="15" w:type="dxa"/>
              <w:right w:w="15" w:type="dxa"/>
            </w:tcMar>
            <w:vAlign w:val="center"/>
          </w:tcPr>
          <w:p w14:paraId="02CB6B3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阴离子表面活性剂</w:t>
            </w:r>
          </w:p>
        </w:tc>
        <w:tc>
          <w:tcPr>
            <w:tcW w:w="1104" w:type="dxa"/>
            <w:tcBorders>
              <w:tl2br w:val="nil"/>
              <w:tr2bl w:val="nil"/>
            </w:tcBorders>
            <w:shd w:val="clear" w:color="auto" w:fill="auto"/>
            <w:tcMar>
              <w:top w:w="15" w:type="dxa"/>
              <w:left w:w="15" w:type="dxa"/>
              <w:right w:w="15" w:type="dxa"/>
            </w:tcMar>
            <w:vAlign w:val="center"/>
          </w:tcPr>
          <w:p w14:paraId="2ACEC36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3FA10F3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2097" w:type="dxa"/>
            <w:vMerge w:val="continue"/>
            <w:tcBorders>
              <w:tl2br w:val="nil"/>
              <w:tr2bl w:val="nil"/>
            </w:tcBorders>
            <w:shd w:val="clear" w:color="auto" w:fill="auto"/>
            <w:noWrap/>
            <w:tcMar>
              <w:top w:w="15" w:type="dxa"/>
              <w:left w:w="15" w:type="dxa"/>
              <w:right w:w="15" w:type="dxa"/>
            </w:tcMar>
            <w:vAlign w:val="center"/>
          </w:tcPr>
          <w:p w14:paraId="6CBAF1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EF3E0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4C9FF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3104" w:type="dxa"/>
            <w:tcBorders>
              <w:tl2br w:val="nil"/>
              <w:tr2bl w:val="nil"/>
            </w:tcBorders>
            <w:shd w:val="clear" w:color="auto" w:fill="auto"/>
            <w:tcMar>
              <w:top w:w="15" w:type="dxa"/>
              <w:left w:w="15" w:type="dxa"/>
              <w:right w:w="15" w:type="dxa"/>
            </w:tcMar>
            <w:vAlign w:val="center"/>
          </w:tcPr>
          <w:p w14:paraId="0CF4545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r>
              <w:rPr>
                <w:rFonts w:hint="default" w:ascii="Times New Roman" w:hAnsi="Times New Roman" w:cs="Times New Roman"/>
                <w:i w:val="0"/>
                <w:color w:val="auto"/>
                <w:kern w:val="0"/>
                <w:sz w:val="21"/>
                <w:szCs w:val="21"/>
                <w:highlight w:val="none"/>
                <w:u w:val="none"/>
                <w:lang w:val="en-US" w:eastAsia="zh-CN" w:bidi="ar"/>
              </w:rPr>
              <w:t>（以N计）</w:t>
            </w:r>
          </w:p>
        </w:tc>
        <w:tc>
          <w:tcPr>
            <w:tcW w:w="1104" w:type="dxa"/>
            <w:tcBorders>
              <w:tl2br w:val="nil"/>
              <w:tr2bl w:val="nil"/>
            </w:tcBorders>
            <w:shd w:val="clear" w:color="auto" w:fill="auto"/>
            <w:tcMar>
              <w:top w:w="15" w:type="dxa"/>
              <w:left w:w="15" w:type="dxa"/>
              <w:right w:w="15" w:type="dxa"/>
            </w:tcMar>
            <w:vAlign w:val="center"/>
          </w:tcPr>
          <w:p w14:paraId="310B2D6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5A582CE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1.50</w:t>
            </w:r>
          </w:p>
        </w:tc>
        <w:tc>
          <w:tcPr>
            <w:tcW w:w="2097" w:type="dxa"/>
            <w:vMerge w:val="continue"/>
            <w:tcBorders>
              <w:tl2br w:val="nil"/>
              <w:tr2bl w:val="nil"/>
            </w:tcBorders>
            <w:shd w:val="clear" w:color="auto" w:fill="auto"/>
            <w:noWrap/>
            <w:tcMar>
              <w:top w:w="15" w:type="dxa"/>
              <w:left w:w="15" w:type="dxa"/>
              <w:right w:w="15" w:type="dxa"/>
            </w:tcMar>
            <w:vAlign w:val="center"/>
          </w:tcPr>
          <w:p w14:paraId="565B4EF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F599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A06F8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3104" w:type="dxa"/>
            <w:tcBorders>
              <w:tl2br w:val="nil"/>
              <w:tr2bl w:val="nil"/>
            </w:tcBorders>
            <w:shd w:val="clear" w:color="auto" w:fill="auto"/>
            <w:tcMar>
              <w:top w:w="15" w:type="dxa"/>
              <w:left w:w="15" w:type="dxa"/>
              <w:right w:w="15" w:type="dxa"/>
            </w:tcMar>
            <w:vAlign w:val="center"/>
          </w:tcPr>
          <w:p w14:paraId="5405432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硫化物</w:t>
            </w:r>
          </w:p>
        </w:tc>
        <w:tc>
          <w:tcPr>
            <w:tcW w:w="1104" w:type="dxa"/>
            <w:tcBorders>
              <w:tl2br w:val="nil"/>
              <w:tr2bl w:val="nil"/>
            </w:tcBorders>
            <w:shd w:val="clear" w:color="auto" w:fill="auto"/>
            <w:tcMar>
              <w:top w:w="15" w:type="dxa"/>
              <w:left w:w="15" w:type="dxa"/>
              <w:right w:w="15" w:type="dxa"/>
            </w:tcMar>
            <w:vAlign w:val="center"/>
          </w:tcPr>
          <w:p w14:paraId="7D54B28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43A898D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w:t>
            </w:r>
            <w:r>
              <w:rPr>
                <w:rFonts w:hint="default" w:ascii="Times New Roman" w:hAnsi="Times New Roman" w:cs="Times New Roman"/>
                <w:i w:val="0"/>
                <w:color w:val="auto"/>
                <w:kern w:val="0"/>
                <w:sz w:val="21"/>
                <w:szCs w:val="21"/>
                <w:highlight w:val="none"/>
                <w:u w:val="none"/>
                <w:lang w:val="en-US" w:eastAsia="zh-CN" w:bidi="ar"/>
              </w:rPr>
              <w:t>.10</w:t>
            </w:r>
          </w:p>
        </w:tc>
        <w:tc>
          <w:tcPr>
            <w:tcW w:w="2097" w:type="dxa"/>
            <w:vMerge w:val="continue"/>
            <w:tcBorders>
              <w:tl2br w:val="nil"/>
              <w:tr2bl w:val="nil"/>
            </w:tcBorders>
            <w:shd w:val="clear" w:color="auto" w:fill="auto"/>
            <w:noWrap/>
            <w:tcMar>
              <w:top w:w="15" w:type="dxa"/>
              <w:left w:w="15" w:type="dxa"/>
              <w:right w:w="15" w:type="dxa"/>
            </w:tcMar>
            <w:vAlign w:val="center"/>
          </w:tcPr>
          <w:p w14:paraId="4F92C52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17A253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6E37C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3104" w:type="dxa"/>
            <w:tcBorders>
              <w:tl2br w:val="nil"/>
              <w:tr2bl w:val="nil"/>
            </w:tcBorders>
            <w:shd w:val="clear" w:color="auto" w:fill="auto"/>
            <w:tcMar>
              <w:top w:w="15" w:type="dxa"/>
              <w:left w:w="15" w:type="dxa"/>
              <w:right w:w="15" w:type="dxa"/>
            </w:tcMar>
            <w:vAlign w:val="center"/>
          </w:tcPr>
          <w:p w14:paraId="67DD625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w:t>
            </w:r>
            <w:r>
              <w:rPr>
                <w:rFonts w:hint="default" w:ascii="Times New Roman" w:hAnsi="Times New Roman" w:cs="Times New Roman"/>
                <w:i w:val="0"/>
                <w:color w:val="auto"/>
                <w:kern w:val="0"/>
                <w:sz w:val="21"/>
                <w:szCs w:val="21"/>
                <w:highlight w:val="none"/>
                <w:u w:val="none"/>
                <w:lang w:val="en-US" w:eastAsia="zh-CN" w:bidi="ar"/>
              </w:rPr>
              <w:t>（以N计）</w:t>
            </w:r>
          </w:p>
        </w:tc>
        <w:tc>
          <w:tcPr>
            <w:tcW w:w="1104" w:type="dxa"/>
            <w:tcBorders>
              <w:tl2br w:val="nil"/>
              <w:tr2bl w:val="nil"/>
            </w:tcBorders>
            <w:shd w:val="clear" w:color="auto" w:fill="auto"/>
            <w:tcMar>
              <w:top w:w="15" w:type="dxa"/>
              <w:left w:w="15" w:type="dxa"/>
              <w:right w:w="15" w:type="dxa"/>
            </w:tcMar>
            <w:vAlign w:val="center"/>
          </w:tcPr>
          <w:p w14:paraId="41B7659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088972E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4.80</w:t>
            </w:r>
          </w:p>
        </w:tc>
        <w:tc>
          <w:tcPr>
            <w:tcW w:w="2097" w:type="dxa"/>
            <w:vMerge w:val="continue"/>
            <w:tcBorders>
              <w:tl2br w:val="nil"/>
              <w:tr2bl w:val="nil"/>
            </w:tcBorders>
            <w:shd w:val="clear" w:color="auto" w:fill="auto"/>
            <w:noWrap/>
            <w:tcMar>
              <w:top w:w="15" w:type="dxa"/>
              <w:left w:w="15" w:type="dxa"/>
              <w:right w:w="15" w:type="dxa"/>
            </w:tcMar>
            <w:vAlign w:val="center"/>
          </w:tcPr>
          <w:p w14:paraId="50EFBD5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936B7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63BCF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3104" w:type="dxa"/>
            <w:tcBorders>
              <w:tl2br w:val="nil"/>
              <w:tr2bl w:val="nil"/>
            </w:tcBorders>
            <w:shd w:val="clear" w:color="auto" w:fill="auto"/>
            <w:tcMar>
              <w:top w:w="15" w:type="dxa"/>
              <w:left w:w="15" w:type="dxa"/>
              <w:right w:w="15" w:type="dxa"/>
            </w:tcMar>
            <w:vAlign w:val="center"/>
          </w:tcPr>
          <w:p w14:paraId="4522631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氰化物</w:t>
            </w:r>
          </w:p>
        </w:tc>
        <w:tc>
          <w:tcPr>
            <w:tcW w:w="1104" w:type="dxa"/>
            <w:tcBorders>
              <w:tl2br w:val="nil"/>
              <w:tr2bl w:val="nil"/>
            </w:tcBorders>
            <w:shd w:val="clear" w:color="auto" w:fill="auto"/>
            <w:tcMar>
              <w:top w:w="15" w:type="dxa"/>
              <w:left w:w="15" w:type="dxa"/>
              <w:right w:w="15" w:type="dxa"/>
            </w:tcMar>
            <w:vAlign w:val="center"/>
          </w:tcPr>
          <w:p w14:paraId="747006C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7B97F82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0.1</w:t>
            </w:r>
          </w:p>
        </w:tc>
        <w:tc>
          <w:tcPr>
            <w:tcW w:w="2097" w:type="dxa"/>
            <w:vMerge w:val="continue"/>
            <w:tcBorders>
              <w:tl2br w:val="nil"/>
              <w:tr2bl w:val="nil"/>
            </w:tcBorders>
            <w:shd w:val="clear" w:color="auto" w:fill="auto"/>
            <w:noWrap/>
            <w:tcMar>
              <w:top w:w="15" w:type="dxa"/>
              <w:left w:w="15" w:type="dxa"/>
              <w:right w:w="15" w:type="dxa"/>
            </w:tcMar>
            <w:vAlign w:val="center"/>
          </w:tcPr>
          <w:p w14:paraId="2B3720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2E7D2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1505E8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3104" w:type="dxa"/>
            <w:tcBorders>
              <w:tl2br w:val="nil"/>
              <w:tr2bl w:val="nil"/>
            </w:tcBorders>
            <w:shd w:val="clear" w:color="auto" w:fill="auto"/>
            <w:tcMar>
              <w:top w:w="15" w:type="dxa"/>
              <w:left w:w="15" w:type="dxa"/>
              <w:right w:w="15" w:type="dxa"/>
            </w:tcMar>
            <w:vAlign w:val="center"/>
          </w:tcPr>
          <w:p w14:paraId="7FF545A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铁</w:t>
            </w:r>
          </w:p>
        </w:tc>
        <w:tc>
          <w:tcPr>
            <w:tcW w:w="1104" w:type="dxa"/>
            <w:tcBorders>
              <w:tl2br w:val="nil"/>
              <w:tr2bl w:val="nil"/>
            </w:tcBorders>
            <w:shd w:val="clear" w:color="auto" w:fill="auto"/>
            <w:tcMar>
              <w:top w:w="15" w:type="dxa"/>
              <w:left w:w="15" w:type="dxa"/>
              <w:right w:w="15" w:type="dxa"/>
            </w:tcMar>
            <w:vAlign w:val="center"/>
          </w:tcPr>
          <w:p w14:paraId="74177EC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7A4359A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2.0</w:t>
            </w:r>
          </w:p>
        </w:tc>
        <w:tc>
          <w:tcPr>
            <w:tcW w:w="2097" w:type="dxa"/>
            <w:vMerge w:val="continue"/>
            <w:tcBorders>
              <w:tl2br w:val="nil"/>
              <w:tr2bl w:val="nil"/>
            </w:tcBorders>
            <w:shd w:val="clear" w:color="auto" w:fill="auto"/>
            <w:noWrap/>
            <w:tcMar>
              <w:top w:w="15" w:type="dxa"/>
              <w:left w:w="15" w:type="dxa"/>
              <w:right w:w="15" w:type="dxa"/>
            </w:tcMar>
            <w:vAlign w:val="center"/>
          </w:tcPr>
          <w:p w14:paraId="75E2B1C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7BCB9F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58E24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3104" w:type="dxa"/>
            <w:tcBorders>
              <w:tl2br w:val="nil"/>
              <w:tr2bl w:val="nil"/>
            </w:tcBorders>
            <w:shd w:val="clear" w:color="auto" w:fill="auto"/>
            <w:tcMar>
              <w:top w:w="15" w:type="dxa"/>
              <w:left w:w="15" w:type="dxa"/>
              <w:right w:w="15" w:type="dxa"/>
            </w:tcMar>
            <w:vAlign w:val="center"/>
          </w:tcPr>
          <w:p w14:paraId="5B69994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1104" w:type="dxa"/>
            <w:tcBorders>
              <w:tl2br w:val="nil"/>
              <w:tr2bl w:val="nil"/>
            </w:tcBorders>
            <w:shd w:val="clear" w:color="auto" w:fill="auto"/>
            <w:tcMar>
              <w:top w:w="15" w:type="dxa"/>
              <w:left w:w="15" w:type="dxa"/>
              <w:right w:w="15" w:type="dxa"/>
            </w:tcMar>
            <w:vAlign w:val="center"/>
          </w:tcPr>
          <w:p w14:paraId="1984F58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0B6D48E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1.50</w:t>
            </w:r>
          </w:p>
        </w:tc>
        <w:tc>
          <w:tcPr>
            <w:tcW w:w="2097" w:type="dxa"/>
            <w:vMerge w:val="continue"/>
            <w:tcBorders>
              <w:tl2br w:val="nil"/>
              <w:tr2bl w:val="nil"/>
            </w:tcBorders>
            <w:shd w:val="clear" w:color="auto" w:fill="auto"/>
            <w:noWrap/>
            <w:tcMar>
              <w:top w:w="15" w:type="dxa"/>
              <w:left w:w="15" w:type="dxa"/>
              <w:right w:w="15" w:type="dxa"/>
            </w:tcMar>
            <w:vAlign w:val="center"/>
          </w:tcPr>
          <w:p w14:paraId="25379B0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FF2C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1B4CA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w:t>
            </w:r>
          </w:p>
        </w:tc>
        <w:tc>
          <w:tcPr>
            <w:tcW w:w="3104" w:type="dxa"/>
            <w:tcBorders>
              <w:tl2br w:val="nil"/>
              <w:tr2bl w:val="nil"/>
            </w:tcBorders>
            <w:shd w:val="clear" w:color="auto" w:fill="auto"/>
            <w:tcMar>
              <w:top w:w="15" w:type="dxa"/>
              <w:left w:w="15" w:type="dxa"/>
              <w:right w:w="15" w:type="dxa"/>
            </w:tcMar>
            <w:vAlign w:val="center"/>
          </w:tcPr>
          <w:p w14:paraId="2C4E459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104" w:type="dxa"/>
            <w:tcBorders>
              <w:tl2br w:val="nil"/>
              <w:tr2bl w:val="nil"/>
            </w:tcBorders>
            <w:shd w:val="clear" w:color="auto" w:fill="auto"/>
            <w:tcMar>
              <w:top w:w="15" w:type="dxa"/>
              <w:left w:w="15" w:type="dxa"/>
              <w:right w:w="15" w:type="dxa"/>
            </w:tcMar>
            <w:vAlign w:val="center"/>
          </w:tcPr>
          <w:p w14:paraId="5FBFA17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4D758C4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w:t>
            </w:r>
            <w:r>
              <w:rPr>
                <w:rFonts w:hint="default" w:ascii="Times New Roman" w:hAnsi="Times New Roman" w:eastAsia="宋体" w:cs="Times New Roman"/>
                <w:i w:val="0"/>
                <w:color w:val="auto"/>
                <w:kern w:val="0"/>
                <w:sz w:val="22"/>
                <w:szCs w:val="22"/>
                <w:highlight w:val="none"/>
                <w:u w:val="none"/>
                <w:lang w:val="en-US" w:eastAsia="zh-CN" w:bidi="ar"/>
              </w:rPr>
              <w:t>5</w:t>
            </w:r>
            <w:r>
              <w:rPr>
                <w:rFonts w:hint="default" w:ascii="Times New Roman" w:hAnsi="Times New Roman" w:cs="Times New Roman"/>
                <w:i w:val="0"/>
                <w:color w:val="auto"/>
                <w:kern w:val="0"/>
                <w:sz w:val="22"/>
                <w:szCs w:val="22"/>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0B94FAA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2A5F6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51E3B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3104" w:type="dxa"/>
            <w:tcBorders>
              <w:tl2br w:val="nil"/>
              <w:tr2bl w:val="nil"/>
            </w:tcBorders>
            <w:shd w:val="clear" w:color="auto" w:fill="auto"/>
            <w:tcMar>
              <w:top w:w="15" w:type="dxa"/>
              <w:left w:w="15" w:type="dxa"/>
              <w:right w:w="15" w:type="dxa"/>
            </w:tcMar>
            <w:vAlign w:val="center"/>
          </w:tcPr>
          <w:p w14:paraId="6126DC9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铝</w:t>
            </w:r>
          </w:p>
        </w:tc>
        <w:tc>
          <w:tcPr>
            <w:tcW w:w="1104" w:type="dxa"/>
            <w:tcBorders>
              <w:tl2br w:val="nil"/>
              <w:tr2bl w:val="nil"/>
            </w:tcBorders>
            <w:shd w:val="clear" w:color="auto" w:fill="auto"/>
            <w:tcMar>
              <w:top w:w="15" w:type="dxa"/>
              <w:left w:w="15" w:type="dxa"/>
              <w:right w:w="15" w:type="dxa"/>
            </w:tcMar>
            <w:vAlign w:val="center"/>
          </w:tcPr>
          <w:p w14:paraId="0594C36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4E1EA71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0.50</w:t>
            </w:r>
          </w:p>
        </w:tc>
        <w:tc>
          <w:tcPr>
            <w:tcW w:w="2097" w:type="dxa"/>
            <w:vMerge w:val="continue"/>
            <w:tcBorders>
              <w:tl2br w:val="nil"/>
              <w:tr2bl w:val="nil"/>
            </w:tcBorders>
            <w:shd w:val="clear" w:color="auto" w:fill="auto"/>
            <w:noWrap/>
            <w:tcMar>
              <w:top w:w="15" w:type="dxa"/>
              <w:left w:w="15" w:type="dxa"/>
              <w:right w:w="15" w:type="dxa"/>
            </w:tcMar>
            <w:vAlign w:val="center"/>
          </w:tcPr>
          <w:p w14:paraId="52D113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87D4E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A1F70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w:t>
            </w:r>
          </w:p>
        </w:tc>
        <w:tc>
          <w:tcPr>
            <w:tcW w:w="3104" w:type="dxa"/>
            <w:tcBorders>
              <w:tl2br w:val="nil"/>
              <w:tr2bl w:val="nil"/>
            </w:tcBorders>
            <w:shd w:val="clear" w:color="auto" w:fill="auto"/>
            <w:tcMar>
              <w:top w:w="15" w:type="dxa"/>
              <w:left w:w="15" w:type="dxa"/>
              <w:right w:w="15" w:type="dxa"/>
            </w:tcMar>
            <w:vAlign w:val="center"/>
          </w:tcPr>
          <w:p w14:paraId="256742A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1104" w:type="dxa"/>
            <w:tcBorders>
              <w:tl2br w:val="nil"/>
              <w:tr2bl w:val="nil"/>
            </w:tcBorders>
            <w:shd w:val="clear" w:color="auto" w:fill="auto"/>
            <w:tcMar>
              <w:top w:w="15" w:type="dxa"/>
              <w:left w:w="15" w:type="dxa"/>
              <w:right w:w="15" w:type="dxa"/>
            </w:tcMar>
            <w:vAlign w:val="center"/>
          </w:tcPr>
          <w:p w14:paraId="5A1CC00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37E0B0B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400</w:t>
            </w:r>
          </w:p>
        </w:tc>
        <w:tc>
          <w:tcPr>
            <w:tcW w:w="2097" w:type="dxa"/>
            <w:vMerge w:val="continue"/>
            <w:tcBorders>
              <w:tl2br w:val="nil"/>
              <w:tr2bl w:val="nil"/>
            </w:tcBorders>
            <w:shd w:val="clear" w:color="auto" w:fill="auto"/>
            <w:noWrap/>
            <w:tcMar>
              <w:top w:w="15" w:type="dxa"/>
              <w:left w:w="15" w:type="dxa"/>
              <w:right w:w="15" w:type="dxa"/>
            </w:tcMar>
            <w:vAlign w:val="center"/>
          </w:tcPr>
          <w:p w14:paraId="6A7791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FA55B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87B09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3104" w:type="dxa"/>
            <w:tcBorders>
              <w:tl2br w:val="nil"/>
              <w:tr2bl w:val="nil"/>
            </w:tcBorders>
            <w:shd w:val="clear" w:color="auto" w:fill="auto"/>
            <w:tcMar>
              <w:top w:w="15" w:type="dxa"/>
              <w:left w:w="15" w:type="dxa"/>
              <w:right w:w="15" w:type="dxa"/>
            </w:tcMar>
            <w:vAlign w:val="center"/>
          </w:tcPr>
          <w:p w14:paraId="0B0659C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1104" w:type="dxa"/>
            <w:tcBorders>
              <w:tl2br w:val="nil"/>
              <w:tr2bl w:val="nil"/>
            </w:tcBorders>
            <w:shd w:val="clear" w:color="auto" w:fill="auto"/>
            <w:tcMar>
              <w:top w:w="15" w:type="dxa"/>
              <w:left w:w="15" w:type="dxa"/>
              <w:right w:w="15" w:type="dxa"/>
            </w:tcMar>
            <w:vAlign w:val="center"/>
          </w:tcPr>
          <w:p w14:paraId="7016113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6D5EE98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5.00</w:t>
            </w:r>
          </w:p>
        </w:tc>
        <w:tc>
          <w:tcPr>
            <w:tcW w:w="2097" w:type="dxa"/>
            <w:vMerge w:val="continue"/>
            <w:tcBorders>
              <w:tl2br w:val="nil"/>
              <w:tr2bl w:val="nil"/>
            </w:tcBorders>
            <w:shd w:val="clear" w:color="auto" w:fill="auto"/>
            <w:noWrap/>
            <w:tcMar>
              <w:top w:w="15" w:type="dxa"/>
              <w:left w:w="15" w:type="dxa"/>
              <w:right w:w="15" w:type="dxa"/>
            </w:tcMar>
            <w:vAlign w:val="center"/>
          </w:tcPr>
          <w:p w14:paraId="6C2249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9DED4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5A1A0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3104" w:type="dxa"/>
            <w:tcBorders>
              <w:tl2br w:val="nil"/>
              <w:tr2bl w:val="nil"/>
            </w:tcBorders>
            <w:shd w:val="clear" w:color="auto" w:fill="auto"/>
            <w:tcMar>
              <w:top w:w="15" w:type="dxa"/>
              <w:left w:w="15" w:type="dxa"/>
              <w:right w:w="15" w:type="dxa"/>
            </w:tcMar>
            <w:vAlign w:val="center"/>
          </w:tcPr>
          <w:p w14:paraId="222BCF5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w:t>
            </w:r>
          </w:p>
        </w:tc>
        <w:tc>
          <w:tcPr>
            <w:tcW w:w="1104" w:type="dxa"/>
            <w:tcBorders>
              <w:tl2br w:val="nil"/>
              <w:tr2bl w:val="nil"/>
            </w:tcBorders>
            <w:shd w:val="clear" w:color="auto" w:fill="auto"/>
            <w:tcMar>
              <w:top w:w="15" w:type="dxa"/>
              <w:left w:w="15" w:type="dxa"/>
              <w:right w:w="15" w:type="dxa"/>
            </w:tcMar>
            <w:vAlign w:val="center"/>
          </w:tcPr>
          <w:p w14:paraId="76332B4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黑体" w:cs="Times New Roman"/>
                <w:b w:val="0"/>
                <w:bCs w:val="0"/>
                <w:color w:val="auto"/>
                <w:sz w:val="21"/>
                <w:szCs w:val="21"/>
                <w:highlight w:val="none"/>
                <w:lang w:val="en-US" w:eastAsia="zh-CN"/>
              </w:rPr>
            </w:pPr>
            <w:r>
              <w:rPr>
                <w:rFonts w:hint="default" w:ascii="Times New Roman" w:hAnsi="Times New Roman" w:eastAsia="黑体" w:cs="Times New Roman"/>
                <w:b w:val="0"/>
                <w:bCs w:val="0"/>
                <w:color w:val="auto"/>
                <w:sz w:val="21"/>
                <w:szCs w:val="21"/>
                <w:highlight w:val="none"/>
                <w:lang w:val="en-US" w:eastAsia="zh-CN"/>
              </w:rPr>
              <w:t>mg/L</w:t>
            </w:r>
          </w:p>
        </w:tc>
        <w:tc>
          <w:tcPr>
            <w:tcW w:w="2052" w:type="dxa"/>
            <w:tcBorders>
              <w:tl2br w:val="nil"/>
              <w:tr2bl w:val="nil"/>
            </w:tcBorders>
            <w:shd w:val="clear" w:color="auto" w:fill="auto"/>
            <w:noWrap/>
            <w:tcMar>
              <w:top w:w="15" w:type="dxa"/>
              <w:left w:w="15" w:type="dxa"/>
              <w:right w:w="15" w:type="dxa"/>
            </w:tcMar>
            <w:vAlign w:val="center"/>
          </w:tcPr>
          <w:p w14:paraId="407FBC7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w:t>
            </w:r>
          </w:p>
        </w:tc>
        <w:tc>
          <w:tcPr>
            <w:tcW w:w="2097" w:type="dxa"/>
            <w:tcBorders>
              <w:tl2br w:val="nil"/>
              <w:tr2bl w:val="nil"/>
            </w:tcBorders>
            <w:shd w:val="clear" w:color="auto" w:fill="auto"/>
            <w:noWrap/>
            <w:tcMar>
              <w:top w:w="15" w:type="dxa"/>
              <w:left w:w="15" w:type="dxa"/>
              <w:right w:w="15" w:type="dxa"/>
            </w:tcMar>
            <w:vAlign w:val="center"/>
          </w:tcPr>
          <w:p w14:paraId="4B2A74D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w:t>
            </w:r>
          </w:p>
        </w:tc>
      </w:tr>
      <w:tr w14:paraId="4FCF2A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48876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3104" w:type="dxa"/>
            <w:tcBorders>
              <w:tl2br w:val="nil"/>
              <w:tr2bl w:val="nil"/>
            </w:tcBorders>
            <w:shd w:val="clear" w:color="auto" w:fill="auto"/>
            <w:tcMar>
              <w:top w:w="15" w:type="dxa"/>
              <w:left w:w="15" w:type="dxa"/>
              <w:right w:w="15" w:type="dxa"/>
            </w:tcMar>
            <w:vAlign w:val="center"/>
          </w:tcPr>
          <w:p w14:paraId="30C61C4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104" w:type="dxa"/>
            <w:tcBorders>
              <w:tl2br w:val="nil"/>
              <w:tr2bl w:val="nil"/>
            </w:tcBorders>
            <w:shd w:val="clear" w:color="auto" w:fill="auto"/>
            <w:tcMar>
              <w:top w:w="15" w:type="dxa"/>
              <w:left w:w="15" w:type="dxa"/>
              <w:right w:w="15" w:type="dxa"/>
            </w:tcMar>
            <w:vAlign w:val="center"/>
          </w:tcPr>
          <w:p w14:paraId="48BFA72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06A8AF8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0.002</w:t>
            </w:r>
          </w:p>
        </w:tc>
        <w:tc>
          <w:tcPr>
            <w:tcW w:w="2097" w:type="dxa"/>
            <w:vMerge w:val="restart"/>
            <w:tcBorders>
              <w:tl2br w:val="nil"/>
              <w:tr2bl w:val="nil"/>
            </w:tcBorders>
            <w:shd w:val="clear" w:color="auto" w:fill="auto"/>
            <w:noWrap/>
            <w:tcMar>
              <w:top w:w="15" w:type="dxa"/>
              <w:left w:w="15" w:type="dxa"/>
              <w:right w:w="15" w:type="dxa"/>
            </w:tcMar>
            <w:vAlign w:val="center"/>
          </w:tcPr>
          <w:p w14:paraId="4BFEC8E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GB/T 14848</w:t>
            </w:r>
          </w:p>
          <w:p w14:paraId="664CFA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sz w:val="21"/>
                <w:szCs w:val="21"/>
                <w:highlight w:val="none"/>
                <w:u w:val="none"/>
                <w:lang w:val="en-US" w:eastAsia="zh-CN"/>
              </w:rPr>
              <w:t>Ⅳ类标准</w:t>
            </w:r>
          </w:p>
        </w:tc>
      </w:tr>
      <w:tr w14:paraId="467F26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07EB9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3104" w:type="dxa"/>
            <w:tcBorders>
              <w:tl2br w:val="nil"/>
              <w:tr2bl w:val="nil"/>
            </w:tcBorders>
            <w:shd w:val="clear" w:color="auto" w:fill="auto"/>
            <w:tcMar>
              <w:top w:w="15" w:type="dxa"/>
              <w:left w:w="15" w:type="dxa"/>
              <w:right w:w="15" w:type="dxa"/>
            </w:tcMar>
            <w:vAlign w:val="center"/>
          </w:tcPr>
          <w:p w14:paraId="6FEF0F5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104" w:type="dxa"/>
            <w:tcBorders>
              <w:tl2br w:val="nil"/>
              <w:tr2bl w:val="nil"/>
            </w:tcBorders>
            <w:shd w:val="clear" w:color="auto" w:fill="auto"/>
            <w:tcMar>
              <w:top w:w="15" w:type="dxa"/>
              <w:left w:w="15" w:type="dxa"/>
              <w:right w:w="15" w:type="dxa"/>
            </w:tcMar>
            <w:vAlign w:val="center"/>
          </w:tcPr>
          <w:p w14:paraId="68C9DAE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492ED2B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0.05</w:t>
            </w:r>
          </w:p>
        </w:tc>
        <w:tc>
          <w:tcPr>
            <w:tcW w:w="2097" w:type="dxa"/>
            <w:vMerge w:val="continue"/>
            <w:tcBorders>
              <w:tl2br w:val="nil"/>
              <w:tr2bl w:val="nil"/>
            </w:tcBorders>
            <w:shd w:val="clear" w:color="auto" w:fill="auto"/>
            <w:noWrap/>
            <w:tcMar>
              <w:top w:w="15" w:type="dxa"/>
              <w:left w:w="15" w:type="dxa"/>
              <w:right w:w="15" w:type="dxa"/>
            </w:tcMar>
            <w:vAlign w:val="center"/>
          </w:tcPr>
          <w:p w14:paraId="1544C27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264A24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79055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3104" w:type="dxa"/>
            <w:tcBorders>
              <w:tl2br w:val="nil"/>
              <w:tr2bl w:val="nil"/>
            </w:tcBorders>
            <w:shd w:val="clear" w:color="auto" w:fill="auto"/>
            <w:tcMar>
              <w:top w:w="15" w:type="dxa"/>
              <w:left w:w="15" w:type="dxa"/>
              <w:right w:w="15" w:type="dxa"/>
            </w:tcMar>
            <w:vAlign w:val="center"/>
          </w:tcPr>
          <w:p w14:paraId="5145C62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硒</w:t>
            </w:r>
          </w:p>
        </w:tc>
        <w:tc>
          <w:tcPr>
            <w:tcW w:w="1104" w:type="dxa"/>
            <w:tcBorders>
              <w:tl2br w:val="nil"/>
              <w:tr2bl w:val="nil"/>
            </w:tcBorders>
            <w:shd w:val="clear" w:color="auto" w:fill="auto"/>
            <w:tcMar>
              <w:top w:w="15" w:type="dxa"/>
              <w:left w:w="15" w:type="dxa"/>
              <w:right w:w="15" w:type="dxa"/>
            </w:tcMar>
            <w:vAlign w:val="center"/>
          </w:tcPr>
          <w:p w14:paraId="400CAF8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07C71DF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0.1</w:t>
            </w:r>
          </w:p>
        </w:tc>
        <w:tc>
          <w:tcPr>
            <w:tcW w:w="2097" w:type="dxa"/>
            <w:vMerge w:val="continue"/>
            <w:tcBorders>
              <w:tl2br w:val="nil"/>
              <w:tr2bl w:val="nil"/>
            </w:tcBorders>
            <w:shd w:val="clear" w:color="auto" w:fill="auto"/>
            <w:noWrap/>
            <w:tcMar>
              <w:top w:w="15" w:type="dxa"/>
              <w:left w:w="15" w:type="dxa"/>
              <w:right w:w="15" w:type="dxa"/>
            </w:tcMar>
            <w:vAlign w:val="center"/>
          </w:tcPr>
          <w:p w14:paraId="7E0ED4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5922AA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1A3A43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3104" w:type="dxa"/>
            <w:tcBorders>
              <w:tl2br w:val="nil"/>
              <w:tr2bl w:val="nil"/>
            </w:tcBorders>
            <w:shd w:val="clear" w:color="auto" w:fill="auto"/>
            <w:tcMar>
              <w:top w:w="15" w:type="dxa"/>
              <w:left w:w="15" w:type="dxa"/>
              <w:right w:w="15" w:type="dxa"/>
            </w:tcMar>
            <w:vAlign w:val="center"/>
          </w:tcPr>
          <w:p w14:paraId="23BCC50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104" w:type="dxa"/>
            <w:tcBorders>
              <w:tl2br w:val="nil"/>
              <w:tr2bl w:val="nil"/>
            </w:tcBorders>
            <w:shd w:val="clear" w:color="auto" w:fill="auto"/>
            <w:tcMar>
              <w:top w:w="15" w:type="dxa"/>
              <w:left w:w="15" w:type="dxa"/>
              <w:right w:w="15" w:type="dxa"/>
            </w:tcMar>
            <w:vAlign w:val="center"/>
          </w:tcPr>
          <w:p w14:paraId="1B7BB6D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487AAC3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0.1</w:t>
            </w:r>
            <w:r>
              <w:rPr>
                <w:rFonts w:hint="default" w:ascii="Times New Roman" w:hAnsi="Times New Roman" w:cs="Times New Roman"/>
                <w:i w:val="0"/>
                <w:color w:val="auto"/>
                <w:kern w:val="0"/>
                <w:sz w:val="22"/>
                <w:szCs w:val="22"/>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3BE08BD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AD7BF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51A20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3104" w:type="dxa"/>
            <w:tcBorders>
              <w:tl2br w:val="nil"/>
              <w:tr2bl w:val="nil"/>
            </w:tcBorders>
            <w:shd w:val="clear" w:color="auto" w:fill="auto"/>
            <w:tcMar>
              <w:top w:w="15" w:type="dxa"/>
              <w:left w:w="15" w:type="dxa"/>
              <w:right w:w="15" w:type="dxa"/>
            </w:tcMar>
            <w:vAlign w:val="center"/>
          </w:tcPr>
          <w:p w14:paraId="128CBD7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1104" w:type="dxa"/>
            <w:tcBorders>
              <w:tl2br w:val="nil"/>
              <w:tr2bl w:val="nil"/>
            </w:tcBorders>
            <w:shd w:val="clear" w:color="auto" w:fill="auto"/>
            <w:tcMar>
              <w:top w:w="15" w:type="dxa"/>
              <w:left w:w="15" w:type="dxa"/>
              <w:right w:w="15" w:type="dxa"/>
            </w:tcMar>
            <w:vAlign w:val="center"/>
          </w:tcPr>
          <w:p w14:paraId="1B04431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5683BE4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0.01</w:t>
            </w:r>
          </w:p>
        </w:tc>
        <w:tc>
          <w:tcPr>
            <w:tcW w:w="2097" w:type="dxa"/>
            <w:vMerge w:val="continue"/>
            <w:tcBorders>
              <w:tl2br w:val="nil"/>
              <w:tr2bl w:val="nil"/>
            </w:tcBorders>
            <w:shd w:val="clear" w:color="auto" w:fill="auto"/>
            <w:noWrap/>
            <w:tcMar>
              <w:top w:w="15" w:type="dxa"/>
              <w:left w:w="15" w:type="dxa"/>
              <w:right w:w="15" w:type="dxa"/>
            </w:tcMar>
            <w:vAlign w:val="center"/>
          </w:tcPr>
          <w:p w14:paraId="714C01C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6D5F5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C010A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3104" w:type="dxa"/>
            <w:tcBorders>
              <w:tl2br w:val="nil"/>
              <w:tr2bl w:val="nil"/>
            </w:tcBorders>
            <w:shd w:val="clear" w:color="auto" w:fill="auto"/>
            <w:tcMar>
              <w:top w:w="15" w:type="dxa"/>
              <w:left w:w="15" w:type="dxa"/>
              <w:right w:w="15" w:type="dxa"/>
            </w:tcMar>
            <w:vAlign w:val="center"/>
          </w:tcPr>
          <w:p w14:paraId="0422CF5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铬</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六价</w:t>
            </w:r>
            <w:r>
              <w:rPr>
                <w:rFonts w:hint="default" w:ascii="Times New Roman" w:hAnsi="Times New Roman" w:cs="Times New Roman"/>
                <w:i w:val="0"/>
                <w:color w:val="auto"/>
                <w:kern w:val="0"/>
                <w:sz w:val="21"/>
                <w:szCs w:val="21"/>
                <w:highlight w:val="none"/>
                <w:u w:val="none"/>
                <w:lang w:val="en-US" w:eastAsia="zh-CN" w:bidi="ar"/>
              </w:rPr>
              <w:t>)</w:t>
            </w:r>
          </w:p>
        </w:tc>
        <w:tc>
          <w:tcPr>
            <w:tcW w:w="1104" w:type="dxa"/>
            <w:tcBorders>
              <w:tl2br w:val="nil"/>
              <w:tr2bl w:val="nil"/>
            </w:tcBorders>
            <w:shd w:val="clear" w:color="auto" w:fill="auto"/>
            <w:tcMar>
              <w:top w:w="15" w:type="dxa"/>
              <w:left w:w="15" w:type="dxa"/>
              <w:right w:w="15" w:type="dxa"/>
            </w:tcMar>
            <w:vAlign w:val="center"/>
          </w:tcPr>
          <w:p w14:paraId="0ECFD0F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top"/>
          </w:tcPr>
          <w:p w14:paraId="2ED173E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2"/>
                <w:szCs w:val="22"/>
                <w:highlight w:val="none"/>
                <w:u w:val="none"/>
                <w:lang w:val="en-US" w:eastAsia="zh-CN" w:bidi="ar"/>
              </w:rPr>
              <w:t>0.1</w:t>
            </w:r>
            <w:r>
              <w:rPr>
                <w:rFonts w:hint="default" w:ascii="Times New Roman" w:hAnsi="Times New Roman" w:cs="Times New Roman"/>
                <w:i w:val="0"/>
                <w:color w:val="auto"/>
                <w:kern w:val="0"/>
                <w:sz w:val="22"/>
                <w:szCs w:val="22"/>
                <w:highlight w:val="none"/>
                <w:u w:val="none"/>
                <w:lang w:val="en-US" w:eastAsia="zh-CN" w:bidi="ar"/>
              </w:rPr>
              <w:t>0</w:t>
            </w:r>
          </w:p>
        </w:tc>
        <w:tc>
          <w:tcPr>
            <w:tcW w:w="2097" w:type="dxa"/>
            <w:vMerge w:val="continue"/>
            <w:tcBorders>
              <w:tl2br w:val="nil"/>
              <w:tr2bl w:val="nil"/>
            </w:tcBorders>
            <w:shd w:val="clear" w:color="auto" w:fill="auto"/>
            <w:noWrap/>
            <w:tcMar>
              <w:top w:w="15" w:type="dxa"/>
              <w:left w:w="15" w:type="dxa"/>
              <w:right w:w="15" w:type="dxa"/>
            </w:tcMar>
            <w:vAlign w:val="center"/>
          </w:tcPr>
          <w:p w14:paraId="1651644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735183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F4A80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3104" w:type="dxa"/>
            <w:tcBorders>
              <w:tl2br w:val="nil"/>
              <w:tr2bl w:val="nil"/>
            </w:tcBorders>
            <w:shd w:val="clear" w:color="auto" w:fill="auto"/>
            <w:tcMar>
              <w:top w:w="15" w:type="dxa"/>
              <w:left w:w="15" w:type="dxa"/>
              <w:right w:w="15" w:type="dxa"/>
            </w:tcMar>
            <w:vAlign w:val="center"/>
          </w:tcPr>
          <w:p w14:paraId="4A6695B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1104" w:type="dxa"/>
            <w:tcBorders>
              <w:tl2br w:val="nil"/>
              <w:tr2bl w:val="nil"/>
            </w:tcBorders>
            <w:shd w:val="clear" w:color="auto" w:fill="auto"/>
            <w:tcMar>
              <w:top w:w="15" w:type="dxa"/>
              <w:left w:w="15" w:type="dxa"/>
              <w:right w:w="15" w:type="dxa"/>
            </w:tcMar>
            <w:vAlign w:val="center"/>
          </w:tcPr>
          <w:p w14:paraId="232F01F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黑体" w:cs="Times New Roman"/>
                <w:b w:val="0"/>
                <w:bCs w:val="0"/>
                <w:color w:val="auto"/>
                <w:sz w:val="21"/>
                <w:szCs w:val="21"/>
                <w:highlight w:val="none"/>
              </w:rPr>
              <w:t>mg/</w:t>
            </w:r>
            <w:r>
              <w:rPr>
                <w:rFonts w:hint="default" w:ascii="Times New Roman" w:hAnsi="Times New Roman" w:eastAsia="黑体" w:cs="Times New Roman"/>
                <w:b w:val="0"/>
                <w:bCs w:val="0"/>
                <w:color w:val="auto"/>
                <w:sz w:val="21"/>
                <w:szCs w:val="21"/>
                <w:highlight w:val="none"/>
                <w:lang w:val="en-US" w:eastAsia="zh-CN"/>
              </w:rPr>
              <w:t>L</w:t>
            </w:r>
          </w:p>
        </w:tc>
        <w:tc>
          <w:tcPr>
            <w:tcW w:w="2052" w:type="dxa"/>
            <w:tcBorders>
              <w:tl2br w:val="nil"/>
              <w:tr2bl w:val="nil"/>
            </w:tcBorders>
            <w:shd w:val="clear" w:color="auto" w:fill="auto"/>
            <w:noWrap/>
            <w:tcMar>
              <w:top w:w="15" w:type="dxa"/>
              <w:left w:w="15" w:type="dxa"/>
              <w:right w:w="15" w:type="dxa"/>
            </w:tcMar>
            <w:vAlign w:val="center"/>
          </w:tcPr>
          <w:p w14:paraId="3FC52BD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0.5</w:t>
            </w:r>
          </w:p>
        </w:tc>
        <w:tc>
          <w:tcPr>
            <w:tcW w:w="2097" w:type="dxa"/>
            <w:tcBorders>
              <w:tl2br w:val="nil"/>
              <w:tr2bl w:val="nil"/>
            </w:tcBorders>
            <w:shd w:val="clear" w:color="auto" w:fill="auto"/>
            <w:noWrap/>
            <w:tcMar>
              <w:top w:w="15" w:type="dxa"/>
              <w:left w:w="15" w:type="dxa"/>
              <w:right w:w="15" w:type="dxa"/>
            </w:tcMar>
            <w:vAlign w:val="center"/>
          </w:tcPr>
          <w:p w14:paraId="742292E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GB3838</w:t>
            </w:r>
          </w:p>
          <w:p w14:paraId="3D0169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Ⅳ类标准</w:t>
            </w:r>
          </w:p>
        </w:tc>
      </w:tr>
      <w:tr w14:paraId="12CEE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28161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3104" w:type="dxa"/>
            <w:tcBorders>
              <w:tl2br w:val="nil"/>
              <w:tr2bl w:val="nil"/>
            </w:tcBorders>
            <w:shd w:val="clear" w:color="auto" w:fill="auto"/>
            <w:tcMar>
              <w:top w:w="15" w:type="dxa"/>
              <w:left w:w="15" w:type="dxa"/>
              <w:right w:w="15" w:type="dxa"/>
            </w:tcMar>
            <w:vAlign w:val="center"/>
          </w:tcPr>
          <w:p w14:paraId="34344F2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cs="Times New Roman"/>
                <w:i w:val="0"/>
                <w:color w:val="auto"/>
                <w:kern w:val="0"/>
                <w:sz w:val="21"/>
                <w:szCs w:val="21"/>
                <w:highlight w:val="none"/>
                <w:u w:val="none"/>
                <w:lang w:val="en-US" w:eastAsia="zh-CN" w:bidi="ar"/>
              </w:rPr>
              <w:t>氯仿</w:t>
            </w:r>
          </w:p>
        </w:tc>
        <w:tc>
          <w:tcPr>
            <w:tcW w:w="1104" w:type="dxa"/>
            <w:tcBorders>
              <w:tl2br w:val="nil"/>
              <w:tr2bl w:val="nil"/>
            </w:tcBorders>
            <w:shd w:val="clear" w:color="auto" w:fill="auto"/>
            <w:tcMar>
              <w:top w:w="15" w:type="dxa"/>
              <w:left w:w="15" w:type="dxa"/>
              <w:right w:w="15" w:type="dxa"/>
            </w:tcMar>
            <w:vAlign w:val="center"/>
          </w:tcPr>
          <w:p w14:paraId="2F02C56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3FAF580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300</w:t>
            </w:r>
          </w:p>
        </w:tc>
        <w:tc>
          <w:tcPr>
            <w:tcW w:w="2097" w:type="dxa"/>
            <w:vMerge w:val="restart"/>
            <w:tcBorders>
              <w:tl2br w:val="nil"/>
              <w:tr2bl w:val="nil"/>
            </w:tcBorders>
            <w:shd w:val="clear" w:color="auto" w:fill="auto"/>
            <w:noWrap/>
            <w:tcMar>
              <w:top w:w="15" w:type="dxa"/>
              <w:left w:w="15" w:type="dxa"/>
              <w:right w:w="15" w:type="dxa"/>
            </w:tcMar>
            <w:vAlign w:val="center"/>
          </w:tcPr>
          <w:p w14:paraId="7D51A2B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GB/T 14848</w:t>
            </w:r>
          </w:p>
          <w:p w14:paraId="58419C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cs="Times New Roman"/>
                <w:i w:val="0"/>
                <w:color w:val="auto"/>
                <w:sz w:val="21"/>
                <w:szCs w:val="21"/>
                <w:highlight w:val="none"/>
                <w:u w:val="none"/>
                <w:lang w:val="en-US" w:eastAsia="zh-CN"/>
              </w:rPr>
              <w:t>Ⅳ类标准</w:t>
            </w:r>
          </w:p>
        </w:tc>
      </w:tr>
      <w:tr w14:paraId="4E4FF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8D5DF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3104" w:type="dxa"/>
            <w:tcBorders>
              <w:tl2br w:val="nil"/>
              <w:tr2bl w:val="nil"/>
            </w:tcBorders>
            <w:shd w:val="clear" w:color="auto" w:fill="auto"/>
            <w:tcMar>
              <w:top w:w="15" w:type="dxa"/>
              <w:left w:w="15" w:type="dxa"/>
              <w:right w:w="15" w:type="dxa"/>
            </w:tcMar>
            <w:vAlign w:val="center"/>
          </w:tcPr>
          <w:p w14:paraId="61880A4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四氯化碳</w:t>
            </w:r>
          </w:p>
        </w:tc>
        <w:tc>
          <w:tcPr>
            <w:tcW w:w="1104" w:type="dxa"/>
            <w:tcBorders>
              <w:tl2br w:val="nil"/>
              <w:tr2bl w:val="nil"/>
            </w:tcBorders>
            <w:shd w:val="clear" w:color="auto" w:fill="auto"/>
            <w:tcMar>
              <w:top w:w="15" w:type="dxa"/>
              <w:left w:w="15" w:type="dxa"/>
              <w:right w:w="15" w:type="dxa"/>
            </w:tcMar>
            <w:vAlign w:val="center"/>
          </w:tcPr>
          <w:p w14:paraId="634250F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33ABAE6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50</w:t>
            </w:r>
          </w:p>
        </w:tc>
        <w:tc>
          <w:tcPr>
            <w:tcW w:w="2097" w:type="dxa"/>
            <w:vMerge w:val="continue"/>
            <w:tcBorders>
              <w:tl2br w:val="nil"/>
              <w:tr2bl w:val="nil"/>
            </w:tcBorders>
            <w:shd w:val="clear" w:color="auto" w:fill="auto"/>
            <w:noWrap/>
            <w:tcMar>
              <w:top w:w="15" w:type="dxa"/>
              <w:left w:w="15" w:type="dxa"/>
              <w:right w:w="15" w:type="dxa"/>
            </w:tcMar>
            <w:vAlign w:val="center"/>
          </w:tcPr>
          <w:p w14:paraId="745164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p>
        </w:tc>
      </w:tr>
      <w:tr w14:paraId="497DD1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16F198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31</w:t>
            </w:r>
          </w:p>
        </w:tc>
        <w:tc>
          <w:tcPr>
            <w:tcW w:w="3104" w:type="dxa"/>
            <w:tcBorders>
              <w:tl2br w:val="nil"/>
              <w:tr2bl w:val="nil"/>
            </w:tcBorders>
            <w:shd w:val="clear" w:color="auto" w:fill="auto"/>
            <w:tcMar>
              <w:top w:w="15" w:type="dxa"/>
              <w:left w:w="15" w:type="dxa"/>
              <w:right w:w="15" w:type="dxa"/>
            </w:tcMar>
            <w:vAlign w:val="center"/>
          </w:tcPr>
          <w:p w14:paraId="4E1EECD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苯</w:t>
            </w:r>
          </w:p>
        </w:tc>
        <w:tc>
          <w:tcPr>
            <w:tcW w:w="1104" w:type="dxa"/>
            <w:tcBorders>
              <w:tl2br w:val="nil"/>
              <w:tr2bl w:val="nil"/>
            </w:tcBorders>
            <w:shd w:val="clear" w:color="auto" w:fill="auto"/>
            <w:tcMar>
              <w:top w:w="15" w:type="dxa"/>
              <w:left w:w="15" w:type="dxa"/>
              <w:right w:w="15" w:type="dxa"/>
            </w:tcMar>
            <w:vAlign w:val="center"/>
          </w:tcPr>
          <w:p w14:paraId="45352C1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24FA92D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120</w:t>
            </w:r>
          </w:p>
        </w:tc>
        <w:tc>
          <w:tcPr>
            <w:tcW w:w="2097" w:type="dxa"/>
            <w:vMerge w:val="continue"/>
            <w:tcBorders>
              <w:tl2br w:val="nil"/>
              <w:tr2bl w:val="nil"/>
            </w:tcBorders>
            <w:shd w:val="clear" w:color="auto" w:fill="auto"/>
            <w:noWrap/>
            <w:tcMar>
              <w:top w:w="15" w:type="dxa"/>
              <w:left w:w="15" w:type="dxa"/>
              <w:right w:w="15" w:type="dxa"/>
            </w:tcMar>
            <w:vAlign w:val="center"/>
          </w:tcPr>
          <w:p w14:paraId="0C9F151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p>
        </w:tc>
      </w:tr>
      <w:tr w14:paraId="012729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61B4E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32</w:t>
            </w:r>
          </w:p>
        </w:tc>
        <w:tc>
          <w:tcPr>
            <w:tcW w:w="3104" w:type="dxa"/>
            <w:tcBorders>
              <w:tl2br w:val="nil"/>
              <w:tr2bl w:val="nil"/>
            </w:tcBorders>
            <w:shd w:val="clear" w:color="auto" w:fill="auto"/>
            <w:tcMar>
              <w:top w:w="15" w:type="dxa"/>
              <w:left w:w="15" w:type="dxa"/>
              <w:right w:w="15" w:type="dxa"/>
            </w:tcMar>
            <w:vAlign w:val="center"/>
          </w:tcPr>
          <w:p w14:paraId="67BF90C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甲苯</w:t>
            </w:r>
          </w:p>
        </w:tc>
        <w:tc>
          <w:tcPr>
            <w:tcW w:w="1104" w:type="dxa"/>
            <w:tcBorders>
              <w:tl2br w:val="nil"/>
              <w:tr2bl w:val="nil"/>
            </w:tcBorders>
            <w:shd w:val="clear" w:color="auto" w:fill="auto"/>
            <w:noWrap/>
            <w:tcMar>
              <w:top w:w="15" w:type="dxa"/>
              <w:left w:w="15" w:type="dxa"/>
              <w:right w:w="15" w:type="dxa"/>
            </w:tcMar>
            <w:vAlign w:val="center"/>
          </w:tcPr>
          <w:p w14:paraId="6F74227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μg/L</w:t>
            </w:r>
          </w:p>
        </w:tc>
        <w:tc>
          <w:tcPr>
            <w:tcW w:w="2052" w:type="dxa"/>
            <w:tcBorders>
              <w:tl2br w:val="nil"/>
              <w:tr2bl w:val="nil"/>
            </w:tcBorders>
            <w:shd w:val="clear" w:color="auto" w:fill="auto"/>
            <w:noWrap/>
            <w:tcMar>
              <w:top w:w="15" w:type="dxa"/>
              <w:left w:w="15" w:type="dxa"/>
              <w:right w:w="15" w:type="dxa"/>
            </w:tcMar>
            <w:vAlign w:val="center"/>
          </w:tcPr>
          <w:p w14:paraId="436EB8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1400</w:t>
            </w:r>
          </w:p>
        </w:tc>
        <w:tc>
          <w:tcPr>
            <w:tcW w:w="2097" w:type="dxa"/>
            <w:vMerge w:val="continue"/>
            <w:tcBorders>
              <w:tl2br w:val="nil"/>
              <w:tr2bl w:val="nil"/>
            </w:tcBorders>
            <w:shd w:val="clear" w:color="auto" w:fill="auto"/>
            <w:noWrap/>
            <w:tcMar>
              <w:top w:w="15" w:type="dxa"/>
              <w:left w:w="15" w:type="dxa"/>
              <w:right w:w="15" w:type="dxa"/>
            </w:tcMar>
            <w:vAlign w:val="center"/>
          </w:tcPr>
          <w:p w14:paraId="5DE5EC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kern w:val="2"/>
                <w:sz w:val="21"/>
                <w:szCs w:val="21"/>
                <w:highlight w:val="none"/>
                <w:u w:val="none"/>
                <w:lang w:val="en-US" w:eastAsia="zh-CN" w:bidi="ar-SA"/>
              </w:rPr>
            </w:pPr>
          </w:p>
        </w:tc>
      </w:tr>
    </w:tbl>
    <w:p w14:paraId="27ED79D9">
      <w:pPr>
        <w:pStyle w:val="4"/>
        <w:tabs>
          <w:tab w:val="clear" w:pos="425"/>
        </w:tabs>
        <w:bidi w:val="0"/>
        <w:rPr>
          <w:rFonts w:hint="default" w:ascii="Times New Roman" w:hAnsi="Times New Roman" w:cs="Times New Roman"/>
          <w:color w:val="auto"/>
          <w:highlight w:val="none"/>
          <w:lang w:val="en-US" w:eastAsia="zh-CN"/>
        </w:rPr>
      </w:pPr>
      <w:bookmarkStart w:id="62" w:name="_Toc84"/>
      <w:bookmarkStart w:id="63" w:name="_Toc13377"/>
      <w:bookmarkStart w:id="64" w:name="_Toc55399882"/>
      <w:r>
        <w:rPr>
          <w:rFonts w:hint="default" w:ascii="Times New Roman" w:hAnsi="Times New Roman" w:cs="Times New Roman"/>
          <w:color w:val="auto"/>
          <w:highlight w:val="none"/>
          <w:lang w:val="en-US" w:eastAsia="zh-CN"/>
        </w:rPr>
        <w:t>结果分析方法</w:t>
      </w:r>
      <w:bookmarkEnd w:id="62"/>
      <w:bookmarkEnd w:id="63"/>
    </w:p>
    <w:p w14:paraId="10CE6959">
      <w:pPr>
        <w:pStyle w:val="5"/>
        <w:tabs>
          <w:tab w:val="left" w:pos="425"/>
        </w:tabs>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监测结果对标分析</w:t>
      </w:r>
    </w:p>
    <w:p w14:paraId="537702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土壤检测结果根据表5-1-1中各点位对应的用地类型及参考标准进行评估，采用逐个比对法进行分析：</w:t>
      </w:r>
    </w:p>
    <w:p w14:paraId="462BA47E">
      <w:pPr>
        <w:pStyle w:val="31"/>
        <w:keepNext w:val="0"/>
        <w:keepLines w:val="0"/>
        <w:pageBreakBefore w:val="0"/>
        <w:widowControl w:val="0"/>
        <w:numPr>
          <w:ilvl w:val="0"/>
          <w:numId w:val="10"/>
        </w:numPr>
        <w:kinsoku/>
        <w:wordWrap/>
        <w:overflowPunct/>
        <w:topLinePunct w:val="0"/>
        <w:autoSpaceDE/>
        <w:autoSpaceDN/>
        <w:bidi w:val="0"/>
        <w:adjustRightInd/>
        <w:snapToGrid/>
        <w:spacing w:after="0"/>
        <w:ind w:firstLine="480"/>
        <w:textAlignment w:val="auto"/>
        <w:rPr>
          <w:rFonts w:hint="default" w:ascii="Times New Roman" w:hAnsi="Times New Roman" w:cs="Times New Roman" w:eastAsiaTheme="minorEastAsia"/>
          <w:bCs w:val="0"/>
          <w:color w:val="auto"/>
          <w:highlight w:val="none"/>
        </w:rPr>
      </w:pPr>
      <w:r>
        <w:rPr>
          <w:rFonts w:hint="default" w:ascii="Times New Roman" w:hAnsi="Times New Roman" w:cs="Times New Roman" w:eastAsiaTheme="minorEastAsia"/>
          <w:bCs w:val="0"/>
          <w:color w:val="auto"/>
          <w:highlight w:val="none"/>
        </w:rPr>
        <w:t>当样品监测值低于或等于</w:t>
      </w:r>
      <w:r>
        <w:rPr>
          <w:rFonts w:hint="default" w:ascii="Times New Roman" w:hAnsi="Times New Roman" w:cs="Times New Roman" w:eastAsiaTheme="minorEastAsia"/>
          <w:bCs w:val="0"/>
          <w:color w:val="auto"/>
          <w:highlight w:val="none"/>
          <w:lang w:eastAsia="zh-CN"/>
        </w:rPr>
        <w:t>参考标准值时</w:t>
      </w:r>
      <w:r>
        <w:rPr>
          <w:rFonts w:hint="default" w:ascii="Times New Roman" w:hAnsi="Times New Roman" w:cs="Times New Roman" w:eastAsiaTheme="minorEastAsia"/>
          <w:bCs w:val="0"/>
          <w:color w:val="auto"/>
          <w:highlight w:val="none"/>
        </w:rPr>
        <w:t>，则认为</w:t>
      </w:r>
      <w:r>
        <w:rPr>
          <w:rFonts w:hint="default" w:ascii="Times New Roman" w:hAnsi="Times New Roman" w:cs="Times New Roman" w:eastAsiaTheme="minorEastAsia"/>
          <w:bCs w:val="0"/>
          <w:color w:val="auto"/>
          <w:highlight w:val="none"/>
          <w:lang w:eastAsia="zh-CN"/>
        </w:rPr>
        <w:t>达标</w:t>
      </w:r>
      <w:r>
        <w:rPr>
          <w:rFonts w:hint="default" w:ascii="Times New Roman" w:hAnsi="Times New Roman" w:cs="Times New Roman" w:eastAsiaTheme="minorEastAsia"/>
          <w:bCs w:val="0"/>
          <w:color w:val="auto"/>
          <w:highlight w:val="none"/>
        </w:rPr>
        <w:t>；</w:t>
      </w:r>
    </w:p>
    <w:p w14:paraId="07FCDF72">
      <w:pPr>
        <w:pStyle w:val="31"/>
        <w:keepNext w:val="0"/>
        <w:keepLines w:val="0"/>
        <w:pageBreakBefore w:val="0"/>
        <w:widowControl w:val="0"/>
        <w:numPr>
          <w:ilvl w:val="0"/>
          <w:numId w:val="10"/>
        </w:numPr>
        <w:kinsoku/>
        <w:wordWrap/>
        <w:overflowPunct/>
        <w:topLinePunct w:val="0"/>
        <w:autoSpaceDE/>
        <w:autoSpaceDN/>
        <w:bidi w:val="0"/>
        <w:adjustRightInd/>
        <w:snapToGrid/>
        <w:spacing w:after="0"/>
        <w:ind w:firstLine="480"/>
        <w:textAlignment w:val="auto"/>
        <w:rPr>
          <w:rFonts w:hint="default" w:ascii="Times New Roman" w:hAnsi="Times New Roman" w:cs="Times New Roman" w:eastAsiaTheme="minorEastAsia"/>
          <w:bCs w:val="0"/>
          <w:color w:val="auto"/>
          <w:highlight w:val="none"/>
        </w:rPr>
      </w:pPr>
      <w:r>
        <w:rPr>
          <w:rFonts w:hint="default" w:ascii="Times New Roman" w:hAnsi="Times New Roman" w:cs="Times New Roman" w:eastAsiaTheme="minorEastAsia"/>
          <w:bCs w:val="0"/>
          <w:color w:val="auto"/>
          <w:highlight w:val="none"/>
        </w:rPr>
        <w:t>当样品监测值高于</w:t>
      </w:r>
      <w:r>
        <w:rPr>
          <w:rFonts w:hint="default" w:ascii="Times New Roman" w:hAnsi="Times New Roman" w:cs="Times New Roman" w:eastAsiaTheme="minorEastAsia"/>
          <w:bCs w:val="0"/>
          <w:color w:val="auto"/>
          <w:highlight w:val="none"/>
          <w:lang w:eastAsia="zh-CN"/>
        </w:rPr>
        <w:t>参考标准值时</w:t>
      </w:r>
      <w:r>
        <w:rPr>
          <w:rFonts w:hint="default" w:ascii="Times New Roman" w:hAnsi="Times New Roman" w:cs="Times New Roman" w:eastAsiaTheme="minorEastAsia"/>
          <w:bCs w:val="0"/>
          <w:color w:val="auto"/>
          <w:highlight w:val="none"/>
        </w:rPr>
        <w:t>，则认为</w:t>
      </w:r>
      <w:r>
        <w:rPr>
          <w:rFonts w:hint="default" w:ascii="Times New Roman" w:hAnsi="Times New Roman" w:cs="Times New Roman" w:eastAsiaTheme="minorEastAsia"/>
          <w:bCs w:val="0"/>
          <w:color w:val="auto"/>
          <w:highlight w:val="none"/>
          <w:lang w:eastAsia="zh-CN"/>
        </w:rPr>
        <w:t>不达标</w:t>
      </w:r>
      <w:r>
        <w:rPr>
          <w:rFonts w:hint="default" w:ascii="Times New Roman" w:hAnsi="Times New Roman" w:cs="Times New Roman" w:eastAsiaTheme="minorEastAsia"/>
          <w:bCs w:val="0"/>
          <w:color w:val="auto"/>
          <w:highlight w:val="none"/>
        </w:rPr>
        <w:t>。</w:t>
      </w:r>
      <w:r>
        <w:rPr>
          <w:rFonts w:hint="default" w:ascii="Times New Roman" w:hAnsi="Times New Roman" w:cs="Times New Roman" w:eastAsiaTheme="minorEastAsia"/>
          <w:bCs w:val="0"/>
          <w:color w:val="auto"/>
          <w:highlight w:val="none"/>
          <w:lang w:eastAsia="zh-CN"/>
        </w:rPr>
        <w:t>对于</w:t>
      </w:r>
      <w:r>
        <w:rPr>
          <w:rFonts w:hint="default" w:ascii="Times New Roman" w:hAnsi="Times New Roman" w:cs="Times New Roman"/>
          <w:color w:val="auto"/>
          <w:sz w:val="24"/>
          <w:szCs w:val="24"/>
          <w:highlight w:val="none"/>
          <w:lang w:val="en-US" w:eastAsia="zh-CN"/>
        </w:rPr>
        <w:t>超标的污染物统计其超标倍数及超标率。超标倍数及超标率公式如下：</w:t>
      </w:r>
    </w:p>
    <w:p w14:paraId="306B167C">
      <w:pPr>
        <w:spacing w:line="360" w:lineRule="auto"/>
        <w:ind w:firstLine="420" w:firstLine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①土壤污染超标倍数=（土壤某项污染检测值-土壤环境质量标准）/土壤环境质量标准；</w:t>
      </w:r>
    </w:p>
    <w:p w14:paraId="67E3067D">
      <w:pPr>
        <w:spacing w:line="360" w:lineRule="auto"/>
        <w:ind w:firstLine="420" w:firstLine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②超标率=（土壤样品超标总数/土壤调查检测样品总数）*100%。</w:t>
      </w:r>
    </w:p>
    <w:p w14:paraId="3D226789">
      <w:pPr>
        <w:pStyle w:val="5"/>
        <w:tabs>
          <w:tab w:val="left" w:pos="425"/>
        </w:tabs>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土壤环境质量分析</w:t>
      </w:r>
    </w:p>
    <w:p w14:paraId="22FB0C26">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5.2.2.1 污染指数评价</w:t>
      </w:r>
    </w:p>
    <w:p w14:paraId="4BF6F34F">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lang w:val="en-US" w:eastAsia="zh-CN"/>
        </w:rPr>
        <w:t>土壤环境质量评价一般以单项污染指数为主，指数小污染轻，指数大污染则重。根据</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kern w:val="0"/>
          <w:sz w:val="24"/>
          <w:highlight w:val="none"/>
          <w:lang w:eastAsia="zh-CN"/>
        </w:rPr>
        <w:t>全国土壤污染状况评价技术规定</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i w:val="0"/>
          <w:caps w:val="0"/>
          <w:color w:val="auto"/>
          <w:spacing w:val="0"/>
          <w:sz w:val="24"/>
          <w:szCs w:val="24"/>
          <w:highlight w:val="none"/>
          <w:shd w:val="clear" w:fill="FFFFFF"/>
        </w:rPr>
        <w:t>（</w:t>
      </w:r>
      <w:r>
        <w:rPr>
          <w:rFonts w:hint="default" w:ascii="Times New Roman" w:hAnsi="Times New Roman" w:cs="Times New Roman"/>
          <w:i w:val="0"/>
          <w:caps w:val="0"/>
          <w:color w:val="auto"/>
          <w:spacing w:val="0"/>
          <w:sz w:val="24"/>
          <w:szCs w:val="24"/>
          <w:highlight w:val="none"/>
          <w:shd w:val="clear" w:fill="FFFFFF"/>
          <w:lang w:eastAsia="zh-CN"/>
        </w:rPr>
        <w:t>环发</w:t>
      </w:r>
      <w:r>
        <w:rPr>
          <w:rFonts w:hint="default" w:ascii="Times New Roman" w:hAnsi="Times New Roman" w:cs="Times New Roman"/>
          <w:i w:val="0"/>
          <w:caps w:val="0"/>
          <w:color w:val="auto"/>
          <w:spacing w:val="0"/>
          <w:sz w:val="24"/>
          <w:szCs w:val="24"/>
          <w:highlight w:val="none"/>
          <w:shd w:val="clear" w:fill="FFFFFF"/>
          <w:lang w:val="en-US" w:eastAsia="zh-CN"/>
        </w:rPr>
        <w:t>[2008]39号</w:t>
      </w:r>
      <w:r>
        <w:rPr>
          <w:rFonts w:hint="default" w:ascii="Times New Roman" w:hAnsi="Times New Roman" w:eastAsia="宋体" w:cs="Times New Roman"/>
          <w:i w:val="0"/>
          <w:caps w:val="0"/>
          <w:color w:val="auto"/>
          <w:spacing w:val="0"/>
          <w:sz w:val="24"/>
          <w:szCs w:val="24"/>
          <w:highlight w:val="none"/>
          <w:shd w:val="clear" w:fill="FFFFFF"/>
        </w:rPr>
        <w:t>）</w:t>
      </w:r>
      <w:r>
        <w:rPr>
          <w:rFonts w:hint="default" w:ascii="Times New Roman" w:hAnsi="Times New Roman" w:cs="Times New Roman"/>
          <w:i w:val="0"/>
          <w:caps w:val="0"/>
          <w:color w:val="auto"/>
          <w:spacing w:val="0"/>
          <w:sz w:val="24"/>
          <w:szCs w:val="24"/>
          <w:highlight w:val="none"/>
          <w:shd w:val="clear" w:fill="FFFFFF"/>
          <w:lang w:eastAsia="zh-CN"/>
        </w:rPr>
        <w:t>，</w:t>
      </w:r>
      <w:r>
        <w:rPr>
          <w:rFonts w:hint="default" w:ascii="Times New Roman" w:hAnsi="Times New Roman" w:cs="Times New Roman"/>
          <w:color w:val="auto"/>
          <w:sz w:val="24"/>
          <w:szCs w:val="24"/>
          <w:highlight w:val="none"/>
          <w:lang w:val="en-US" w:eastAsia="zh-CN"/>
        </w:rPr>
        <w:t>单因子污染指数的计算公式可表示为：</w:t>
      </w:r>
      <w:r>
        <w:rPr>
          <w:rFonts w:hint="default" w:ascii="Times New Roman" w:hAnsi="Times New Roman" w:cs="Times New Roman"/>
          <w:color w:val="auto"/>
          <w:highlight w:val="none"/>
        </w:rPr>
        <w:drawing>
          <wp:inline distT="0" distB="0" distL="114300" distR="114300">
            <wp:extent cx="552450" cy="390525"/>
            <wp:effectExtent l="0" t="0" r="0" b="889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34"/>
                    <a:stretch>
                      <a:fillRect/>
                    </a:stretch>
                  </pic:blipFill>
                  <pic:spPr>
                    <a:xfrm>
                      <a:off x="0" y="0"/>
                      <a:ext cx="552450" cy="390525"/>
                    </a:xfrm>
                    <a:prstGeom prst="rect">
                      <a:avLst/>
                    </a:prstGeom>
                    <a:noFill/>
                    <a:ln>
                      <a:noFill/>
                    </a:ln>
                  </pic:spPr>
                </pic:pic>
              </a:graphicData>
            </a:graphic>
          </wp:inline>
        </w:drawing>
      </w:r>
    </w:p>
    <w:p w14:paraId="355FD574">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式中：</w:t>
      </w:r>
    </w:p>
    <w:p w14:paraId="2FED5CFD">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vertAlign w:val="baseline"/>
          <w:lang w:val="en-US" w:eastAsia="zh-CN"/>
        </w:rPr>
        <w:t>Pi：</w:t>
      </w:r>
      <w:r>
        <w:rPr>
          <w:rFonts w:hint="default" w:ascii="Times New Roman" w:hAnsi="Times New Roman" w:cs="Times New Roman"/>
          <w:color w:val="auto"/>
          <w:highlight w:val="none"/>
          <w:lang w:val="en-US" w:eastAsia="zh-CN"/>
        </w:rPr>
        <w:t>某评价因子的单因子污染指数，无量纲；</w:t>
      </w:r>
    </w:p>
    <w:p w14:paraId="0058DC76">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Ci：某评价因子的实测值，单位由实测值给出；</w:t>
      </w:r>
    </w:p>
    <w:p w14:paraId="34701495">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color w:val="auto"/>
          <w:highlight w:val="none"/>
          <w:lang w:val="en-US" w:eastAsia="zh-CN"/>
        </w:rPr>
        <w:t>C0：某评价因子的筛选值，单位同实测值；单因子污染指数的评价标准见表5-2-1。</w:t>
      </w:r>
    </w:p>
    <w:p w14:paraId="1F6DFB83">
      <w:pPr>
        <w:pStyle w:val="2"/>
        <w:keepNext w:val="0"/>
        <w:keepLines w:val="0"/>
        <w:pageBreakBefore w:val="0"/>
        <w:widowControl w:val="0"/>
        <w:kinsoku/>
        <w:wordWrap/>
        <w:overflowPunct/>
        <w:topLinePunct w:val="0"/>
        <w:autoSpaceDE/>
        <w:autoSpaceDN/>
        <w:bidi w:val="0"/>
        <w:adjustRightInd/>
        <w:snapToGrid/>
        <w:spacing w:before="166" w:beforeLines="50" w:after="0" w:line="240" w:lineRule="auto"/>
        <w:jc w:val="center"/>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表5-2-1 土壤单因子污染指数评价标准</w:t>
      </w:r>
    </w:p>
    <w:tbl>
      <w:tblPr>
        <w:tblStyle w:val="21"/>
        <w:tblW w:w="961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3203"/>
        <w:gridCol w:w="3204"/>
        <w:gridCol w:w="3204"/>
      </w:tblGrid>
      <w:tr w14:paraId="37F2A4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bottom w:val="single" w:color="000000" w:sz="12" w:space="0"/>
            </w:tcBorders>
            <w:shd w:val="clear" w:color="auto" w:fill="auto"/>
            <w:tcMar>
              <w:top w:w="15" w:type="dxa"/>
              <w:left w:w="15" w:type="dxa"/>
              <w:right w:w="15" w:type="dxa"/>
            </w:tcMar>
            <w:vAlign w:val="center"/>
          </w:tcPr>
          <w:p w14:paraId="13773E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等级</w:t>
            </w:r>
          </w:p>
        </w:tc>
        <w:tc>
          <w:tcPr>
            <w:tcW w:w="3204" w:type="dxa"/>
            <w:tcBorders>
              <w:bottom w:val="single" w:color="000000" w:sz="12" w:space="0"/>
            </w:tcBorders>
            <w:shd w:val="clear" w:color="auto" w:fill="auto"/>
            <w:tcMar>
              <w:top w:w="15" w:type="dxa"/>
              <w:left w:w="15" w:type="dxa"/>
              <w:right w:w="15" w:type="dxa"/>
            </w:tcMar>
            <w:vAlign w:val="center"/>
          </w:tcPr>
          <w:p w14:paraId="62F18B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单因子污染指数</w:t>
            </w:r>
          </w:p>
        </w:tc>
        <w:tc>
          <w:tcPr>
            <w:tcW w:w="3204" w:type="dxa"/>
            <w:tcBorders>
              <w:bottom w:val="single" w:color="000000" w:sz="12" w:space="0"/>
            </w:tcBorders>
            <w:shd w:val="clear" w:color="auto" w:fill="auto"/>
            <w:tcMar>
              <w:top w:w="15" w:type="dxa"/>
              <w:left w:w="15" w:type="dxa"/>
              <w:right w:w="15" w:type="dxa"/>
            </w:tcMar>
            <w:vAlign w:val="center"/>
          </w:tcPr>
          <w:p w14:paraId="7FB78D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w:t>
            </w:r>
            <w:r>
              <w:rPr>
                <w:rFonts w:hint="default" w:ascii="Times New Roman" w:hAnsi="Times New Roman" w:cs="Times New Roman"/>
                <w:b/>
                <w:i w:val="0"/>
                <w:color w:val="auto"/>
                <w:kern w:val="0"/>
                <w:sz w:val="21"/>
                <w:szCs w:val="21"/>
                <w:highlight w:val="none"/>
                <w:u w:val="none"/>
                <w:lang w:val="en-US" w:eastAsia="zh-CN" w:bidi="ar"/>
              </w:rPr>
              <w:t>程度</w:t>
            </w:r>
          </w:p>
        </w:tc>
      </w:tr>
      <w:tr w14:paraId="718F78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op w:val="single" w:color="000000" w:sz="12" w:space="0"/>
              <w:tl2br w:val="nil"/>
              <w:tr2bl w:val="nil"/>
            </w:tcBorders>
            <w:shd w:val="clear" w:color="auto" w:fill="auto"/>
            <w:tcMar>
              <w:top w:w="15" w:type="dxa"/>
              <w:left w:w="15" w:type="dxa"/>
              <w:right w:w="15" w:type="dxa"/>
            </w:tcMar>
            <w:vAlign w:val="center"/>
          </w:tcPr>
          <w:p w14:paraId="528417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Ⅰ</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490471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cs="Times New Roman"/>
                <w:i w:val="0"/>
                <w:color w:val="auto"/>
                <w:kern w:val="0"/>
                <w:sz w:val="21"/>
                <w:szCs w:val="21"/>
                <w:highlight w:val="none"/>
                <w:u w:val="none"/>
                <w:lang w:val="en-US" w:eastAsia="zh-CN" w:bidi="ar"/>
              </w:rPr>
              <w:t>＜1</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657058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无污染</w:t>
            </w:r>
          </w:p>
        </w:tc>
      </w:tr>
      <w:tr w14:paraId="31B115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184B14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Ⅱ</w:t>
            </w:r>
          </w:p>
        </w:tc>
        <w:tc>
          <w:tcPr>
            <w:tcW w:w="3204" w:type="dxa"/>
            <w:tcBorders>
              <w:tl2br w:val="nil"/>
              <w:tr2bl w:val="nil"/>
            </w:tcBorders>
            <w:shd w:val="clear" w:color="auto" w:fill="auto"/>
            <w:tcMar>
              <w:top w:w="15" w:type="dxa"/>
              <w:left w:w="15" w:type="dxa"/>
              <w:right w:w="15" w:type="dxa"/>
            </w:tcMar>
            <w:vAlign w:val="center"/>
          </w:tcPr>
          <w:p w14:paraId="7C51DC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1＜</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w:t>
            </w:r>
          </w:p>
        </w:tc>
        <w:tc>
          <w:tcPr>
            <w:tcW w:w="3204" w:type="dxa"/>
            <w:tcBorders>
              <w:tl2br w:val="nil"/>
              <w:tr2bl w:val="nil"/>
            </w:tcBorders>
            <w:shd w:val="clear" w:color="auto" w:fill="auto"/>
            <w:tcMar>
              <w:top w:w="15" w:type="dxa"/>
              <w:left w:w="15" w:type="dxa"/>
              <w:right w:w="15" w:type="dxa"/>
            </w:tcMar>
            <w:vAlign w:val="center"/>
          </w:tcPr>
          <w:p w14:paraId="4E952C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轻微污染</w:t>
            </w:r>
          </w:p>
        </w:tc>
      </w:tr>
      <w:tr w14:paraId="5B5077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27D14A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Ⅲ</w:t>
            </w:r>
          </w:p>
        </w:tc>
        <w:tc>
          <w:tcPr>
            <w:tcW w:w="3204" w:type="dxa"/>
            <w:tcBorders>
              <w:tl2br w:val="nil"/>
              <w:tr2bl w:val="nil"/>
            </w:tcBorders>
            <w:shd w:val="clear" w:color="auto" w:fill="auto"/>
            <w:tcMar>
              <w:top w:w="15" w:type="dxa"/>
              <w:left w:w="15" w:type="dxa"/>
              <w:right w:w="15" w:type="dxa"/>
            </w:tcMar>
            <w:vAlign w:val="center"/>
          </w:tcPr>
          <w:p w14:paraId="53AE5F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2＜</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w:t>
            </w:r>
          </w:p>
        </w:tc>
        <w:tc>
          <w:tcPr>
            <w:tcW w:w="3204" w:type="dxa"/>
            <w:tcBorders>
              <w:tl2br w:val="nil"/>
              <w:tr2bl w:val="nil"/>
            </w:tcBorders>
            <w:shd w:val="clear" w:color="auto" w:fill="auto"/>
            <w:tcMar>
              <w:top w:w="15" w:type="dxa"/>
              <w:left w:w="15" w:type="dxa"/>
              <w:right w:w="15" w:type="dxa"/>
            </w:tcMar>
            <w:vAlign w:val="center"/>
          </w:tcPr>
          <w:p w14:paraId="27A6B3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轻度污染</w:t>
            </w:r>
          </w:p>
        </w:tc>
      </w:tr>
      <w:tr w14:paraId="148221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jc w:val="center"/>
        </w:trPr>
        <w:tc>
          <w:tcPr>
            <w:tcW w:w="3203" w:type="dxa"/>
            <w:tcBorders>
              <w:tl2br w:val="nil"/>
              <w:tr2bl w:val="nil"/>
            </w:tcBorders>
            <w:shd w:val="clear" w:color="auto" w:fill="auto"/>
            <w:tcMar>
              <w:top w:w="15" w:type="dxa"/>
              <w:left w:w="15" w:type="dxa"/>
              <w:right w:w="15" w:type="dxa"/>
            </w:tcMar>
            <w:vAlign w:val="center"/>
          </w:tcPr>
          <w:p w14:paraId="09345A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Ⅳ</w:t>
            </w:r>
          </w:p>
        </w:tc>
        <w:tc>
          <w:tcPr>
            <w:tcW w:w="3204" w:type="dxa"/>
            <w:tcBorders>
              <w:tl2br w:val="nil"/>
              <w:tr2bl w:val="nil"/>
            </w:tcBorders>
            <w:shd w:val="clear" w:color="auto" w:fill="auto"/>
            <w:tcMar>
              <w:top w:w="15" w:type="dxa"/>
              <w:left w:w="15" w:type="dxa"/>
              <w:right w:w="15" w:type="dxa"/>
            </w:tcMar>
            <w:vAlign w:val="center"/>
          </w:tcPr>
          <w:p w14:paraId="609644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5</w:t>
            </w:r>
          </w:p>
        </w:tc>
        <w:tc>
          <w:tcPr>
            <w:tcW w:w="3204" w:type="dxa"/>
            <w:tcBorders>
              <w:tl2br w:val="nil"/>
              <w:tr2bl w:val="nil"/>
            </w:tcBorders>
            <w:shd w:val="clear" w:color="auto" w:fill="auto"/>
            <w:tcMar>
              <w:top w:w="15" w:type="dxa"/>
              <w:left w:w="15" w:type="dxa"/>
              <w:right w:w="15" w:type="dxa"/>
            </w:tcMar>
            <w:vAlign w:val="center"/>
          </w:tcPr>
          <w:p w14:paraId="66859B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eastAsia="zh-CN"/>
              </w:rPr>
            </w:pPr>
            <w:r>
              <w:rPr>
                <w:rFonts w:hint="default" w:ascii="Times New Roman" w:hAnsi="Times New Roman" w:cs="Times New Roman"/>
                <w:i w:val="0"/>
                <w:color w:val="auto"/>
                <w:sz w:val="21"/>
                <w:szCs w:val="21"/>
                <w:highlight w:val="none"/>
                <w:u w:val="none"/>
                <w:lang w:eastAsia="zh-CN"/>
              </w:rPr>
              <w:t>中度污染</w:t>
            </w:r>
          </w:p>
        </w:tc>
      </w:tr>
      <w:tr w14:paraId="38ACFE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4D79B1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Ⅴ</w:t>
            </w:r>
          </w:p>
        </w:tc>
        <w:tc>
          <w:tcPr>
            <w:tcW w:w="3204" w:type="dxa"/>
            <w:tcBorders>
              <w:tl2br w:val="nil"/>
              <w:tr2bl w:val="nil"/>
            </w:tcBorders>
            <w:shd w:val="clear" w:color="auto" w:fill="auto"/>
            <w:tcMar>
              <w:top w:w="15" w:type="dxa"/>
              <w:left w:w="15" w:type="dxa"/>
              <w:right w:w="15" w:type="dxa"/>
            </w:tcMar>
            <w:vAlign w:val="center"/>
          </w:tcPr>
          <w:p w14:paraId="1450BF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cs="Times New Roman"/>
                <w:i w:val="0"/>
                <w:color w:val="auto"/>
                <w:kern w:val="0"/>
                <w:sz w:val="21"/>
                <w:szCs w:val="21"/>
                <w:highlight w:val="none"/>
                <w:u w:val="none"/>
                <w:vertAlign w:val="subscript"/>
                <w:lang w:val="en-US" w:eastAsia="zh-CN" w:bidi="ar"/>
              </w:rPr>
              <w:t>i</w:t>
            </w:r>
            <w:r>
              <w:rPr>
                <w:rFonts w:hint="default" w:ascii="Times New Roman" w:hAnsi="Times New Roman" w:cs="Times New Roman"/>
                <w:i w:val="0"/>
                <w:color w:val="auto"/>
                <w:kern w:val="0"/>
                <w:sz w:val="21"/>
                <w:szCs w:val="21"/>
                <w:highlight w:val="none"/>
                <w:u w:val="none"/>
                <w:lang w:val="en-US" w:eastAsia="zh-CN" w:bidi="ar"/>
              </w:rPr>
              <w:t>＞5</w:t>
            </w:r>
          </w:p>
        </w:tc>
        <w:tc>
          <w:tcPr>
            <w:tcW w:w="3204" w:type="dxa"/>
            <w:tcBorders>
              <w:tl2br w:val="nil"/>
              <w:tr2bl w:val="nil"/>
            </w:tcBorders>
            <w:shd w:val="clear" w:color="auto" w:fill="auto"/>
            <w:tcMar>
              <w:top w:w="15" w:type="dxa"/>
              <w:left w:w="15" w:type="dxa"/>
              <w:right w:w="15" w:type="dxa"/>
            </w:tcMar>
            <w:vAlign w:val="center"/>
          </w:tcPr>
          <w:p w14:paraId="37787A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重度污染</w:t>
            </w:r>
          </w:p>
        </w:tc>
      </w:tr>
    </w:tbl>
    <w:p w14:paraId="527F9BFF">
      <w:pPr>
        <w:pStyle w:val="6"/>
        <w:numPr>
          <w:ilvl w:val="0"/>
          <w:numId w:val="0"/>
        </w:numPr>
        <w:spacing w:before="0" w:after="0" w:line="36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5.2.2.2内梅罗污染指数评价</w:t>
      </w:r>
    </w:p>
    <w:p w14:paraId="6F5DC64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内梅罗指数反映了各污染物对土壤的作用，</w:t>
      </w:r>
      <w:r>
        <w:rPr>
          <w:rFonts w:hint="default" w:ascii="Times New Roman" w:hAnsi="Times New Roman" w:cs="Times New Roman"/>
          <w:color w:val="auto"/>
          <w:sz w:val="24"/>
          <w:szCs w:val="24"/>
          <w:highlight w:val="none"/>
          <w:lang w:val="en-US" w:eastAsia="zh-CN"/>
        </w:rPr>
        <w:t>同时</w:t>
      </w:r>
      <w:r>
        <w:rPr>
          <w:rFonts w:hint="default" w:ascii="Times New Roman" w:hAnsi="Times New Roman" w:cs="Times New Roman"/>
          <w:color w:val="auto"/>
          <w:sz w:val="24"/>
          <w:szCs w:val="24"/>
          <w:highlight w:val="none"/>
          <w:lang w:eastAsia="zh-CN"/>
        </w:rPr>
        <w:t>突出了高浓度污染物对土壤环境质量的影响，可按内梅罗污染指数，划定污染等级。内梅罗指数计算公式如下：</w:t>
      </w:r>
    </w:p>
    <w:p w14:paraId="07508B0C">
      <w:pPr>
        <w:ind w:firstLine="420" w:firstLineChars="0"/>
        <w:rPr>
          <w:rFonts w:hint="default" w:ascii="Times New Roman" w:hAnsi="Times New Roman" w:cs="Times New Roman"/>
          <w:color w:val="auto"/>
          <w:sz w:val="24"/>
          <w:szCs w:val="24"/>
          <w:highlight w:val="none"/>
          <w:vertAlign w:val="superscript"/>
          <w:lang w:eastAsia="zh-CN"/>
        </w:rPr>
      </w:pPr>
      <w:r>
        <w:rPr>
          <w:rFonts w:hint="default" w:ascii="Times New Roman" w:hAnsi="Times New Roman" w:cs="Times New Roman"/>
          <w:color w:val="auto"/>
          <w:sz w:val="24"/>
          <w:szCs w:val="24"/>
          <w:highlight w:val="none"/>
          <w:lang w:eastAsia="zh-CN"/>
        </w:rPr>
        <w:t>内梅罗污染指数（P</w:t>
      </w:r>
      <w:r>
        <w:rPr>
          <w:rFonts w:hint="default" w:ascii="Times New Roman" w:hAnsi="Times New Roman" w:cs="Times New Roman"/>
          <w:color w:val="auto"/>
          <w:sz w:val="24"/>
          <w:szCs w:val="24"/>
          <w:highlight w:val="none"/>
          <w:vertAlign w:val="subscript"/>
          <w:lang w:eastAsia="zh-CN"/>
        </w:rPr>
        <w:t>N</w:t>
      </w:r>
      <w:r>
        <w:rPr>
          <w:rFonts w:hint="default" w:ascii="Times New Roman" w:hAnsi="Times New Roman" w:cs="Times New Roman"/>
          <w:color w:val="auto"/>
          <w:sz w:val="24"/>
          <w:szCs w:val="24"/>
          <w:highlight w:val="none"/>
          <w:lang w:eastAsia="zh-CN"/>
        </w:rPr>
        <w:t>）=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均</w:t>
      </w:r>
      <w:r>
        <w:rPr>
          <w:rFonts w:hint="default" w:ascii="Times New Roman" w:hAnsi="Times New Roman" w:cs="Times New Roman"/>
          <w:color w:val="auto"/>
          <w:sz w:val="24"/>
          <w:szCs w:val="24"/>
          <w:highlight w:val="none"/>
          <w:vertAlign w:val="superscript"/>
          <w:lang w:eastAsia="zh-CN"/>
        </w:rPr>
        <w:t>2</w:t>
      </w:r>
      <w:r>
        <w:rPr>
          <w:rFonts w:hint="default" w:ascii="Times New Roman" w:hAnsi="Times New Roman" w:cs="Times New Roman"/>
          <w:color w:val="auto"/>
          <w:sz w:val="24"/>
          <w:szCs w:val="24"/>
          <w:highlight w:val="none"/>
          <w:lang w:eastAsia="zh-CN"/>
        </w:rPr>
        <w:t>）+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最大</w:t>
      </w:r>
      <w:r>
        <w:rPr>
          <w:rFonts w:hint="default" w:ascii="Times New Roman" w:hAnsi="Times New Roman" w:cs="Times New Roman"/>
          <w:color w:val="auto"/>
          <w:sz w:val="24"/>
          <w:szCs w:val="24"/>
          <w:highlight w:val="none"/>
          <w:vertAlign w:val="superscript"/>
          <w:lang w:eastAsia="zh-CN"/>
        </w:rPr>
        <w:t>2</w:t>
      </w:r>
      <w:r>
        <w:rPr>
          <w:rFonts w:hint="default" w:ascii="Times New Roman" w:hAnsi="Times New Roman" w:cs="Times New Roman"/>
          <w:color w:val="auto"/>
          <w:sz w:val="24"/>
          <w:szCs w:val="24"/>
          <w:highlight w:val="none"/>
          <w:lang w:eastAsia="zh-CN"/>
        </w:rPr>
        <w:t>］/2｝</w:t>
      </w:r>
      <w:r>
        <w:rPr>
          <w:rFonts w:hint="default" w:ascii="Times New Roman" w:hAnsi="Times New Roman" w:cs="Times New Roman"/>
          <w:color w:val="auto"/>
          <w:sz w:val="24"/>
          <w:szCs w:val="24"/>
          <w:highlight w:val="none"/>
          <w:vertAlign w:val="superscript"/>
          <w:lang w:eastAsia="zh-CN"/>
        </w:rPr>
        <w:t>1/2</w:t>
      </w:r>
    </w:p>
    <w:p w14:paraId="7C544CFA">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式中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均</w:t>
      </w:r>
      <w:r>
        <w:rPr>
          <w:rFonts w:hint="default" w:ascii="Times New Roman" w:hAnsi="Times New Roman" w:cs="Times New Roman"/>
          <w:color w:val="auto"/>
          <w:sz w:val="24"/>
          <w:szCs w:val="24"/>
          <w:highlight w:val="none"/>
          <w:lang w:eastAsia="zh-CN"/>
        </w:rPr>
        <w:t>和 P</w:t>
      </w:r>
      <w:r>
        <w:rPr>
          <w:rFonts w:hint="default" w:ascii="Times New Roman" w:hAnsi="Times New Roman" w:cs="Times New Roman"/>
          <w:color w:val="auto"/>
          <w:sz w:val="24"/>
          <w:szCs w:val="24"/>
          <w:highlight w:val="none"/>
          <w:lang w:val="en-US" w:eastAsia="zh-CN"/>
        </w:rPr>
        <w:t>i</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vertAlign w:val="subscript"/>
          <w:lang w:eastAsia="zh-CN"/>
        </w:rPr>
        <w:t>最大</w:t>
      </w:r>
      <w:r>
        <w:rPr>
          <w:rFonts w:hint="default" w:ascii="Times New Roman" w:hAnsi="Times New Roman" w:cs="Times New Roman"/>
          <w:color w:val="auto"/>
          <w:sz w:val="24"/>
          <w:szCs w:val="24"/>
          <w:highlight w:val="none"/>
          <w:lang w:eastAsia="zh-CN"/>
        </w:rPr>
        <w:t>分别是平均单项污染指数和最大单项污染指数。</w:t>
      </w:r>
    </w:p>
    <w:p w14:paraId="2256A067">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内梅罗指数土壤污染评价标准见表</w:t>
      </w:r>
      <w:r>
        <w:rPr>
          <w:rFonts w:hint="default" w:ascii="Times New Roman" w:hAnsi="Times New Roman" w:cs="Times New Roman"/>
          <w:color w:val="auto"/>
          <w:sz w:val="24"/>
          <w:szCs w:val="24"/>
          <w:highlight w:val="none"/>
          <w:lang w:val="en-US" w:eastAsia="zh-CN"/>
        </w:rPr>
        <w:t>5-2-2</w:t>
      </w:r>
      <w:r>
        <w:rPr>
          <w:rFonts w:hint="default" w:ascii="Times New Roman" w:hAnsi="Times New Roman" w:cs="Times New Roman"/>
          <w:color w:val="auto"/>
          <w:sz w:val="24"/>
          <w:szCs w:val="24"/>
          <w:highlight w:val="none"/>
          <w:lang w:eastAsia="zh-CN"/>
        </w:rPr>
        <w:t xml:space="preserve">。 </w:t>
      </w:r>
    </w:p>
    <w:p w14:paraId="24C88C64">
      <w:pPr>
        <w:pStyle w:val="2"/>
        <w:keepNext w:val="0"/>
        <w:keepLines w:val="0"/>
        <w:pageBreakBefore w:val="0"/>
        <w:widowControl w:val="0"/>
        <w:kinsoku/>
        <w:wordWrap/>
        <w:overflowPunct/>
        <w:topLinePunct w:val="0"/>
        <w:autoSpaceDE/>
        <w:autoSpaceDN/>
        <w:bidi w:val="0"/>
        <w:adjustRightInd/>
        <w:snapToGrid/>
        <w:spacing w:before="166" w:beforeLines="50" w:after="0" w:line="240" w:lineRule="auto"/>
        <w:jc w:val="center"/>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表5-2-2 土壤内梅罗污染指数评价标准</w:t>
      </w:r>
    </w:p>
    <w:tbl>
      <w:tblPr>
        <w:tblStyle w:val="21"/>
        <w:tblW w:w="961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3203"/>
        <w:gridCol w:w="3204"/>
        <w:gridCol w:w="3204"/>
      </w:tblGrid>
      <w:tr w14:paraId="7E9FD0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bottom w:val="single" w:color="000000" w:sz="12" w:space="0"/>
            </w:tcBorders>
            <w:shd w:val="clear" w:color="auto" w:fill="auto"/>
            <w:tcMar>
              <w:top w:w="15" w:type="dxa"/>
              <w:left w:w="15" w:type="dxa"/>
              <w:right w:w="15" w:type="dxa"/>
            </w:tcMar>
            <w:vAlign w:val="center"/>
          </w:tcPr>
          <w:p w14:paraId="0FF8CE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等级</w:t>
            </w:r>
          </w:p>
        </w:tc>
        <w:tc>
          <w:tcPr>
            <w:tcW w:w="3204" w:type="dxa"/>
            <w:tcBorders>
              <w:bottom w:val="single" w:color="000000" w:sz="12" w:space="0"/>
            </w:tcBorders>
            <w:shd w:val="clear" w:color="auto" w:fill="auto"/>
            <w:tcMar>
              <w:top w:w="15" w:type="dxa"/>
              <w:left w:w="15" w:type="dxa"/>
              <w:right w:w="15" w:type="dxa"/>
            </w:tcMar>
            <w:vAlign w:val="center"/>
          </w:tcPr>
          <w:p w14:paraId="15C45F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内梅罗污染指数</w:t>
            </w:r>
          </w:p>
        </w:tc>
        <w:tc>
          <w:tcPr>
            <w:tcW w:w="3204" w:type="dxa"/>
            <w:tcBorders>
              <w:bottom w:val="single" w:color="000000" w:sz="12" w:space="0"/>
            </w:tcBorders>
            <w:shd w:val="clear" w:color="auto" w:fill="auto"/>
            <w:tcMar>
              <w:top w:w="15" w:type="dxa"/>
              <w:left w:w="15" w:type="dxa"/>
              <w:right w:w="15" w:type="dxa"/>
            </w:tcMar>
            <w:vAlign w:val="center"/>
          </w:tcPr>
          <w:p w14:paraId="2B16CC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污染等级</w:t>
            </w:r>
          </w:p>
        </w:tc>
      </w:tr>
      <w:tr w14:paraId="4799AA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op w:val="single" w:color="000000" w:sz="12" w:space="0"/>
              <w:tl2br w:val="nil"/>
              <w:tr2bl w:val="nil"/>
            </w:tcBorders>
            <w:shd w:val="clear" w:color="auto" w:fill="auto"/>
            <w:tcMar>
              <w:top w:w="15" w:type="dxa"/>
              <w:left w:w="15" w:type="dxa"/>
              <w:right w:w="15" w:type="dxa"/>
            </w:tcMar>
            <w:vAlign w:val="center"/>
          </w:tcPr>
          <w:p w14:paraId="383AE5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Ⅰ</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7AF0AA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≤0.7</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1080C7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清洁（安全）</w:t>
            </w:r>
          </w:p>
        </w:tc>
      </w:tr>
      <w:tr w14:paraId="0C292F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1744B5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Ⅱ</w:t>
            </w:r>
          </w:p>
        </w:tc>
        <w:tc>
          <w:tcPr>
            <w:tcW w:w="3204" w:type="dxa"/>
            <w:tcBorders>
              <w:tl2br w:val="nil"/>
              <w:tr2bl w:val="nil"/>
            </w:tcBorders>
            <w:shd w:val="clear" w:color="auto" w:fill="auto"/>
            <w:tcMar>
              <w:top w:w="15" w:type="dxa"/>
              <w:left w:w="15" w:type="dxa"/>
              <w:right w:w="15" w:type="dxa"/>
            </w:tcMar>
            <w:vAlign w:val="center"/>
          </w:tcPr>
          <w:p w14:paraId="23AD0E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0.7＜</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≤1.0</w:t>
            </w:r>
          </w:p>
        </w:tc>
        <w:tc>
          <w:tcPr>
            <w:tcW w:w="3204" w:type="dxa"/>
            <w:tcBorders>
              <w:tl2br w:val="nil"/>
              <w:tr2bl w:val="nil"/>
            </w:tcBorders>
            <w:shd w:val="clear" w:color="auto" w:fill="auto"/>
            <w:tcMar>
              <w:top w:w="15" w:type="dxa"/>
              <w:left w:w="15" w:type="dxa"/>
              <w:right w:w="15" w:type="dxa"/>
            </w:tcMar>
            <w:vAlign w:val="center"/>
          </w:tcPr>
          <w:p w14:paraId="426B0E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尚清洁（警戒线）</w:t>
            </w:r>
          </w:p>
        </w:tc>
      </w:tr>
      <w:tr w14:paraId="4612B9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04A408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Ⅲ</w:t>
            </w:r>
          </w:p>
        </w:tc>
        <w:tc>
          <w:tcPr>
            <w:tcW w:w="3204" w:type="dxa"/>
            <w:tcBorders>
              <w:tl2br w:val="nil"/>
              <w:tr2bl w:val="nil"/>
            </w:tcBorders>
            <w:shd w:val="clear" w:color="auto" w:fill="auto"/>
            <w:tcMar>
              <w:top w:w="15" w:type="dxa"/>
              <w:left w:w="15" w:type="dxa"/>
              <w:right w:w="15" w:type="dxa"/>
            </w:tcMar>
            <w:vAlign w:val="center"/>
          </w:tcPr>
          <w:p w14:paraId="762F9C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1.0＜</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≤2.0</w:t>
            </w:r>
          </w:p>
        </w:tc>
        <w:tc>
          <w:tcPr>
            <w:tcW w:w="3204" w:type="dxa"/>
            <w:tcBorders>
              <w:tl2br w:val="nil"/>
              <w:tr2bl w:val="nil"/>
            </w:tcBorders>
            <w:shd w:val="clear" w:color="auto" w:fill="auto"/>
            <w:tcMar>
              <w:top w:w="15" w:type="dxa"/>
              <w:left w:w="15" w:type="dxa"/>
              <w:right w:w="15" w:type="dxa"/>
            </w:tcMar>
            <w:vAlign w:val="center"/>
          </w:tcPr>
          <w:p w14:paraId="1DC92D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轻度污染</w:t>
            </w:r>
          </w:p>
        </w:tc>
      </w:tr>
      <w:tr w14:paraId="095203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jc w:val="center"/>
        </w:trPr>
        <w:tc>
          <w:tcPr>
            <w:tcW w:w="3203" w:type="dxa"/>
            <w:tcBorders>
              <w:tl2br w:val="nil"/>
              <w:tr2bl w:val="nil"/>
            </w:tcBorders>
            <w:shd w:val="clear" w:color="auto" w:fill="auto"/>
            <w:tcMar>
              <w:top w:w="15" w:type="dxa"/>
              <w:left w:w="15" w:type="dxa"/>
              <w:right w:w="15" w:type="dxa"/>
            </w:tcMar>
            <w:vAlign w:val="center"/>
          </w:tcPr>
          <w:p w14:paraId="5B1B5B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Ⅳ</w:t>
            </w:r>
          </w:p>
        </w:tc>
        <w:tc>
          <w:tcPr>
            <w:tcW w:w="3204" w:type="dxa"/>
            <w:tcBorders>
              <w:tl2br w:val="nil"/>
              <w:tr2bl w:val="nil"/>
            </w:tcBorders>
            <w:shd w:val="clear" w:color="auto" w:fill="auto"/>
            <w:tcMar>
              <w:top w:w="15" w:type="dxa"/>
              <w:left w:w="15" w:type="dxa"/>
              <w:right w:w="15" w:type="dxa"/>
            </w:tcMar>
            <w:vAlign w:val="center"/>
          </w:tcPr>
          <w:p w14:paraId="22A217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2.0＜</w:t>
            </w: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3.0</w:t>
            </w:r>
          </w:p>
        </w:tc>
        <w:tc>
          <w:tcPr>
            <w:tcW w:w="3204" w:type="dxa"/>
            <w:tcBorders>
              <w:tl2br w:val="nil"/>
              <w:tr2bl w:val="nil"/>
            </w:tcBorders>
            <w:shd w:val="clear" w:color="auto" w:fill="auto"/>
            <w:tcMar>
              <w:top w:w="15" w:type="dxa"/>
              <w:left w:w="15" w:type="dxa"/>
              <w:right w:w="15" w:type="dxa"/>
            </w:tcMar>
            <w:vAlign w:val="center"/>
          </w:tcPr>
          <w:p w14:paraId="3582F1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中度污染</w:t>
            </w:r>
          </w:p>
        </w:tc>
      </w:tr>
      <w:tr w14:paraId="1DF85B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16C461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Ⅴ</w:t>
            </w:r>
          </w:p>
        </w:tc>
        <w:tc>
          <w:tcPr>
            <w:tcW w:w="3204" w:type="dxa"/>
            <w:tcBorders>
              <w:tl2br w:val="nil"/>
              <w:tr2bl w:val="nil"/>
            </w:tcBorders>
            <w:shd w:val="clear" w:color="auto" w:fill="auto"/>
            <w:tcMar>
              <w:top w:w="15" w:type="dxa"/>
              <w:left w:w="15" w:type="dxa"/>
              <w:right w:w="15" w:type="dxa"/>
            </w:tcMar>
            <w:vAlign w:val="center"/>
          </w:tcPr>
          <w:p w14:paraId="1048F1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0.7</w:t>
            </w:r>
          </w:p>
        </w:tc>
        <w:tc>
          <w:tcPr>
            <w:tcW w:w="3204" w:type="dxa"/>
            <w:tcBorders>
              <w:tl2br w:val="nil"/>
              <w:tr2bl w:val="nil"/>
            </w:tcBorders>
            <w:shd w:val="clear" w:color="auto" w:fill="auto"/>
            <w:tcMar>
              <w:top w:w="15" w:type="dxa"/>
              <w:left w:w="15" w:type="dxa"/>
              <w:right w:w="15" w:type="dxa"/>
            </w:tcMar>
            <w:vAlign w:val="center"/>
          </w:tcPr>
          <w:p w14:paraId="5F4F2E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重污染</w:t>
            </w:r>
          </w:p>
        </w:tc>
      </w:tr>
    </w:tbl>
    <w:p w14:paraId="150A26F7">
      <w:pPr>
        <w:pStyle w:val="4"/>
        <w:tabs>
          <w:tab w:val="left" w:leader="dot" w:pos="0"/>
          <w:tab w:val="clear" w:pos="425"/>
        </w:tabs>
        <w:rPr>
          <w:rFonts w:hint="default" w:ascii="Times New Roman" w:hAnsi="Times New Roman" w:cs="Times New Roman"/>
          <w:color w:val="auto"/>
          <w:highlight w:val="none"/>
        </w:rPr>
      </w:pPr>
      <w:bookmarkStart w:id="65" w:name="_Toc6074"/>
      <w:bookmarkStart w:id="66" w:name="_Toc11644"/>
      <w:r>
        <w:rPr>
          <w:rFonts w:hint="default" w:ascii="Times New Roman" w:hAnsi="Times New Roman" w:cs="Times New Roman"/>
          <w:color w:val="auto"/>
          <w:highlight w:val="none"/>
          <w:lang w:eastAsia="zh-CN"/>
        </w:rPr>
        <w:t>监测结果对标分析</w:t>
      </w:r>
      <w:bookmarkEnd w:id="64"/>
      <w:bookmarkEnd w:id="65"/>
      <w:bookmarkEnd w:id="66"/>
    </w:p>
    <w:p w14:paraId="5703E75D">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土壤</w:t>
      </w:r>
      <w:r>
        <w:rPr>
          <w:rStyle w:val="65"/>
          <w:rFonts w:hint="default" w:ascii="Times New Roman" w:hAnsi="Times New Roman" w:cs="Times New Roman"/>
          <w:b/>
          <w:bCs/>
          <w:color w:val="auto"/>
          <w:highlight w:val="none"/>
          <w:lang w:eastAsia="zh-CN"/>
        </w:rPr>
        <w:t>样品检测结</w:t>
      </w:r>
      <w:r>
        <w:rPr>
          <w:rFonts w:hint="default" w:ascii="Times New Roman" w:hAnsi="Times New Roman" w:cs="Times New Roman"/>
          <w:color w:val="auto"/>
          <w:highlight w:val="none"/>
          <w:lang w:eastAsia="zh-CN"/>
        </w:rPr>
        <w:t>果分析</w:t>
      </w:r>
    </w:p>
    <w:p w14:paraId="2AF8A647">
      <w:pPr>
        <w:spacing w:line="360" w:lineRule="auto"/>
        <w:ind w:firstLine="480" w:firstLineChars="200"/>
        <w:rPr>
          <w:rFonts w:hint="default" w:ascii="Times New Roman" w:hAnsi="Times New Roman" w:eastAsia="宋体" w:cs="Times New Roman"/>
          <w:b/>
          <w:bCs/>
          <w:color w:val="auto"/>
          <w:highlight w:val="none"/>
          <w:lang w:val="en-US" w:eastAsia="zh-CN"/>
        </w:rPr>
      </w:pPr>
      <w:bookmarkStart w:id="67" w:name="_Toc481482864"/>
      <w:bookmarkEnd w:id="67"/>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内共采集土壤样品</w:t>
      </w:r>
      <w:r>
        <w:rPr>
          <w:rFonts w:hint="default" w:ascii="Times New Roman" w:hAnsi="Times New Roman" w:cs="Times New Roman"/>
          <w:color w:val="auto"/>
          <w:sz w:val="24"/>
          <w:highlight w:val="none"/>
          <w:lang w:val="en-US" w:eastAsia="zh-CN"/>
        </w:rPr>
        <w:t>16</w:t>
      </w:r>
      <w:r>
        <w:rPr>
          <w:rFonts w:hint="default" w:ascii="Times New Roman" w:hAnsi="Times New Roman" w:cs="Times New Roman"/>
          <w:color w:val="auto"/>
          <w:sz w:val="24"/>
          <w:highlight w:val="none"/>
        </w:rPr>
        <w:t>个</w:t>
      </w:r>
      <w:r>
        <w:rPr>
          <w:rFonts w:hint="eastAsia" w:cs="Times New Roman"/>
          <w:color w:val="auto"/>
          <w:sz w:val="24"/>
          <w:highlight w:val="none"/>
          <w:lang w:eastAsia="zh-CN"/>
        </w:rPr>
        <w:t>（</w:t>
      </w:r>
      <w:r>
        <w:rPr>
          <w:rFonts w:hint="eastAsia" w:cs="Times New Roman"/>
          <w:color w:val="auto"/>
          <w:sz w:val="24"/>
          <w:highlight w:val="none"/>
          <w:lang w:val="en-US" w:eastAsia="zh-CN"/>
        </w:rPr>
        <w:t>不含质控样品</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，测试项目包括</w:t>
      </w:r>
      <w:r>
        <w:rPr>
          <w:rFonts w:hint="default" w:ascii="Times New Roman" w:hAnsi="Times New Roman" w:cs="Times New Roman"/>
          <w:color w:val="auto"/>
          <w:sz w:val="24"/>
          <w:highlight w:val="none"/>
          <w:lang w:eastAsia="zh-CN"/>
        </w:rPr>
        <w:t>基本项目：</w:t>
      </w:r>
      <w:r>
        <w:rPr>
          <w:rFonts w:hint="default" w:ascii="Times New Roman" w:hAnsi="Times New Roman" w:cs="Times New Roman"/>
          <w:color w:val="auto"/>
          <w:sz w:val="24"/>
          <w:highlight w:val="none"/>
        </w:rPr>
        <w:t>pH值、</w:t>
      </w:r>
      <w:r>
        <w:rPr>
          <w:rFonts w:hint="default" w:ascii="Times New Roman" w:hAnsi="Times New Roman" w:cs="Times New Roman"/>
          <w:color w:val="auto"/>
          <w:sz w:val="24"/>
          <w:highlight w:val="none"/>
          <w:lang w:val="en-US" w:eastAsia="zh-CN"/>
        </w:rPr>
        <w:t>重金属（9项）</w:t>
      </w:r>
      <w:r>
        <w:rPr>
          <w:rFonts w:hint="default" w:ascii="Times New Roman" w:hAnsi="Times New Roman" w:cs="Times New Roman"/>
          <w:color w:val="auto"/>
          <w:sz w:val="24"/>
          <w:highlight w:val="none"/>
        </w:rPr>
        <w:t>、挥发性有机物</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27项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、半挥发性有机物</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11项</w:t>
      </w:r>
      <w:r>
        <w:rPr>
          <w:rFonts w:hint="default" w:ascii="Times New Roman" w:hAnsi="Times New Roman" w:cs="Times New Roman"/>
          <w:color w:val="auto"/>
          <w:sz w:val="24"/>
          <w:highlight w:val="none"/>
          <w:lang w:eastAsia="zh-CN"/>
        </w:rPr>
        <w:t>），园区增测项目（钼、锑、</w:t>
      </w:r>
      <w:r>
        <w:rPr>
          <w:rFonts w:hint="default" w:ascii="Times New Roman" w:hAnsi="Times New Roman" w:cs="Times New Roman"/>
          <w:color w:val="auto"/>
          <w:kern w:val="0"/>
          <w:sz w:val="24"/>
          <w:highlight w:val="none"/>
          <w:lang w:val="en-US" w:eastAsia="zh-CN"/>
        </w:rPr>
        <w:t>钴、石油烃（C</w:t>
      </w:r>
      <w:r>
        <w:rPr>
          <w:rFonts w:hint="default" w:ascii="Times New Roman" w:hAnsi="Times New Roman" w:cs="Times New Roman"/>
          <w:color w:val="auto"/>
          <w:kern w:val="0"/>
          <w:sz w:val="24"/>
          <w:highlight w:val="none"/>
          <w:vertAlign w:val="subscript"/>
          <w:lang w:val="en-US" w:eastAsia="zh-CN"/>
        </w:rPr>
        <w:t>10</w:t>
      </w:r>
      <w:r>
        <w:rPr>
          <w:rFonts w:hint="default" w:ascii="Times New Roman" w:hAnsi="Times New Roman" w:cs="Times New Roman"/>
          <w:color w:val="auto"/>
          <w:kern w:val="0"/>
          <w:sz w:val="24"/>
          <w:highlight w:val="none"/>
          <w:lang w:val="en-US" w:eastAsia="zh-CN"/>
        </w:rPr>
        <w:t>-C</w:t>
      </w:r>
      <w:r>
        <w:rPr>
          <w:rFonts w:hint="default" w:ascii="Times New Roman" w:hAnsi="Times New Roman" w:cs="Times New Roman"/>
          <w:color w:val="auto"/>
          <w:kern w:val="0"/>
          <w:sz w:val="24"/>
          <w:highlight w:val="none"/>
          <w:vertAlign w:val="subscript"/>
          <w:lang w:val="en-US" w:eastAsia="zh-CN"/>
        </w:rPr>
        <w:t>40</w:t>
      </w:r>
      <w:r>
        <w:rPr>
          <w:rFonts w:hint="default" w:ascii="Times New Roman" w:hAnsi="Times New Roman" w:cs="Times New Roman"/>
          <w:color w:val="auto"/>
          <w:kern w:val="0"/>
          <w:sz w:val="24"/>
          <w:highlight w:val="none"/>
          <w:lang w:val="en-US" w:eastAsia="zh-CN"/>
        </w:rPr>
        <w:t>）、总氟化物共</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lang w:eastAsia="zh-CN"/>
        </w:rPr>
        <w:t>项），其它增测项目（</w:t>
      </w:r>
      <w:r>
        <w:rPr>
          <w:rFonts w:hint="default" w:ascii="Times New Roman" w:hAnsi="Times New Roman" w:cs="Times New Roman"/>
          <w:color w:val="auto"/>
          <w:kern w:val="0"/>
          <w:sz w:val="24"/>
          <w:szCs w:val="24"/>
          <w:highlight w:val="none"/>
          <w:lang w:val="en-US" w:eastAsia="zh-CN"/>
        </w:rPr>
        <w:t>二噁英、多氯联苯（总量）、苯酚、2-甲基苯酚、4-甲基苯酚、二硫化碳、1,2,4-三甲基苯、1,3,5-三甲基苯共8项</w:t>
      </w:r>
      <w:r>
        <w:rPr>
          <w:rFonts w:hint="default" w:ascii="Times New Roman" w:hAnsi="Times New Roman" w:cs="Times New Roman"/>
          <w:color w:val="auto"/>
          <w:kern w:val="0"/>
          <w:sz w:val="24"/>
          <w:highlight w:val="none"/>
          <w:lang w:val="en-US"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共计</w:t>
      </w:r>
      <w:r>
        <w:rPr>
          <w:rFonts w:hint="default" w:ascii="Times New Roman" w:hAnsi="Times New Roman" w:cs="Times New Roman"/>
          <w:color w:val="auto"/>
          <w:sz w:val="24"/>
          <w:highlight w:val="none"/>
          <w:lang w:val="en-US" w:eastAsia="zh-CN"/>
        </w:rPr>
        <w:t>61</w:t>
      </w:r>
      <w:r>
        <w:rPr>
          <w:rFonts w:hint="default" w:ascii="Times New Roman" w:hAnsi="Times New Roman" w:cs="Times New Roman"/>
          <w:color w:val="auto"/>
          <w:sz w:val="24"/>
          <w:highlight w:val="none"/>
        </w:rPr>
        <w:t>项</w:t>
      </w:r>
      <w:r>
        <w:rPr>
          <w:rFonts w:hint="default" w:ascii="Times New Roman" w:hAnsi="Times New Roman" w:cs="Times New Roman"/>
          <w:color w:val="auto"/>
          <w:sz w:val="24"/>
          <w:highlight w:val="none"/>
          <w:lang w:eastAsia="zh-CN"/>
        </w:rPr>
        <w:t>。</w:t>
      </w:r>
      <w:r>
        <w:rPr>
          <w:rFonts w:hint="default" w:ascii="Times New Roman" w:hAnsi="Times New Roman" w:cs="Times New Roman"/>
        </w:rPr>
        <w:t>重金属检测指标除铬（六价）外均有检出，</w:t>
      </w:r>
      <w:r>
        <w:rPr>
          <w:rFonts w:hint="default" w:ascii="Times New Roman" w:hAnsi="Times New Roman" w:cs="Times New Roman"/>
          <w:lang w:eastAsia="zh-CN"/>
        </w:rPr>
        <w:t>除</w:t>
      </w:r>
      <w:r>
        <w:rPr>
          <w:rFonts w:hint="default" w:ascii="Times New Roman" w:hAnsi="Times New Roman" w:cs="Times New Roman"/>
          <w:lang w:val="en-US" w:eastAsia="zh-CN"/>
        </w:rPr>
        <w:t>SJG-JJ-8、SJG-JJ-9部分多环芳烃类半挥发性有机物指标有检出，其它</w:t>
      </w:r>
      <w:r>
        <w:rPr>
          <w:rFonts w:hint="default" w:ascii="Times New Roman" w:hAnsi="Times New Roman" w:cs="Times New Roman"/>
        </w:rPr>
        <w:t>所有</w:t>
      </w:r>
      <w:r>
        <w:rPr>
          <w:rFonts w:hint="default" w:ascii="Times New Roman" w:hAnsi="Times New Roman" w:cs="Times New Roman"/>
          <w:highlight w:val="none"/>
        </w:rPr>
        <w:t>土壤样品</w:t>
      </w:r>
      <w:r>
        <w:rPr>
          <w:rFonts w:hint="default" w:ascii="Times New Roman" w:hAnsi="Times New Roman" w:cs="Times New Roman"/>
        </w:rPr>
        <w:t>的挥发性有机物和半挥发性有机物均未检出。本节在检测结果统计分析时仅对</w:t>
      </w:r>
      <w:r>
        <w:rPr>
          <w:rFonts w:hint="eastAsia" w:cs="Times New Roman"/>
          <w:lang w:val="en-US" w:eastAsia="zh-CN"/>
        </w:rPr>
        <w:t>16</w:t>
      </w:r>
      <w:r>
        <w:rPr>
          <w:rFonts w:hint="default" w:ascii="Times New Roman" w:hAnsi="Times New Roman" w:cs="Times New Roman"/>
        </w:rPr>
        <w:t>个土壤样品（不含</w:t>
      </w:r>
      <w:r>
        <w:rPr>
          <w:rFonts w:hint="eastAsia" w:cs="Times New Roman"/>
          <w:lang w:val="en-US" w:eastAsia="zh-CN"/>
        </w:rPr>
        <w:t>质控样品</w:t>
      </w:r>
      <w:r>
        <w:rPr>
          <w:rFonts w:hint="default" w:ascii="Times New Roman" w:hAnsi="Times New Roman" w:cs="Times New Roman"/>
        </w:rPr>
        <w:t>）进行分析。</w:t>
      </w:r>
    </w:p>
    <w:p w14:paraId="68FEA191">
      <w:pPr>
        <w:numPr>
          <w:ilvl w:val="0"/>
          <w:numId w:val="11"/>
        </w:numPr>
        <w:bidi w:val="0"/>
        <w:ind w:left="0" w:leftChars="0" w:firstLine="420" w:firstLineChars="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pH值</w:t>
      </w:r>
    </w:p>
    <w:p w14:paraId="0E9AF41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黑体" w:cs="Times New Roman"/>
          <w:b/>
          <w:bCs/>
          <w:color w:val="auto"/>
          <w:sz w:val="24"/>
          <w:highlight w:val="none"/>
        </w:rPr>
      </w:pPr>
      <w:r>
        <w:rPr>
          <w:rFonts w:hint="default" w:ascii="Times New Roman" w:hAnsi="Times New Roman" w:cs="Times New Roman"/>
          <w:color w:val="auto"/>
          <w:highlight w:val="none"/>
          <w:lang w:val="en-US" w:eastAsia="zh-CN"/>
        </w:rPr>
        <w:tab/>
      </w:r>
      <w:r>
        <w:rPr>
          <w:rFonts w:hint="default" w:ascii="Times New Roman" w:hAnsi="Times New Roman" w:cs="Times New Roman"/>
          <w:color w:val="auto"/>
          <w:sz w:val="24"/>
          <w:highlight w:val="none"/>
        </w:rPr>
        <w:t>检测结果显示，</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w:t>
      </w:r>
      <w:r>
        <w:rPr>
          <w:rFonts w:hint="default" w:ascii="Times New Roman" w:hAnsi="Times New Roman" w:cs="Times New Roman"/>
          <w:color w:val="auto"/>
          <w:sz w:val="24"/>
          <w:highlight w:val="none"/>
          <w:lang w:val="en-US" w:eastAsia="zh-CN"/>
        </w:rPr>
        <w:t>16</w:t>
      </w:r>
      <w:r>
        <w:rPr>
          <w:rFonts w:hint="default" w:ascii="Times New Roman" w:hAnsi="Times New Roman" w:cs="Times New Roman"/>
          <w:color w:val="auto"/>
          <w:sz w:val="24"/>
          <w:highlight w:val="none"/>
        </w:rPr>
        <w:t>个</w:t>
      </w:r>
      <w:r>
        <w:rPr>
          <w:rFonts w:hint="default" w:ascii="Times New Roman" w:hAnsi="Times New Roman" w:cs="Times New Roman"/>
          <w:color w:val="auto"/>
          <w:sz w:val="24"/>
          <w:highlight w:val="none"/>
          <w:lang w:eastAsia="zh-CN"/>
        </w:rPr>
        <w:t>土壤样品</w:t>
      </w:r>
      <w:r>
        <w:rPr>
          <w:rFonts w:hint="eastAsia" w:cs="Times New Roman"/>
          <w:color w:val="auto"/>
          <w:sz w:val="24"/>
          <w:highlight w:val="none"/>
          <w:lang w:eastAsia="zh-CN"/>
        </w:rPr>
        <w:t>（</w:t>
      </w:r>
      <w:r>
        <w:rPr>
          <w:rFonts w:hint="eastAsia" w:cs="Times New Roman"/>
          <w:color w:val="auto"/>
          <w:sz w:val="24"/>
          <w:highlight w:val="none"/>
          <w:lang w:val="en-US" w:eastAsia="zh-CN"/>
        </w:rPr>
        <w:t>不含质控样品</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pH值区间为5.38~8.55，平均值为7.42。具体监测值见表5-3-1。</w:t>
      </w:r>
    </w:p>
    <w:p w14:paraId="08D384D5">
      <w:pPr>
        <w:keepNext w:val="0"/>
        <w:keepLines w:val="0"/>
        <w:pageBreakBefore w:val="0"/>
        <w:widowControl w:val="0"/>
        <w:kinsoku/>
        <w:wordWrap/>
        <w:overflowPunct/>
        <w:topLinePunct w:val="0"/>
        <w:autoSpaceDE/>
        <w:autoSpaceDN/>
        <w:bidi w:val="0"/>
        <w:adjustRightInd/>
        <w:snapToGrid/>
        <w:spacing w:before="166" w:beforeLines="50" w:line="240" w:lineRule="auto"/>
        <w:jc w:val="center"/>
        <w:textAlignment w:val="auto"/>
        <w:rPr>
          <w:rFonts w:hint="default" w:ascii="Times New Roman" w:hAnsi="Times New Roman" w:eastAsia="黑体" w:cs="Times New Roman"/>
          <w:b/>
          <w:bCs/>
          <w:color w:val="auto"/>
          <w:sz w:val="24"/>
          <w:highlight w:val="none"/>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rPr>
        <w:t>-1 土壤样品</w:t>
      </w:r>
      <w:r>
        <w:rPr>
          <w:rFonts w:hint="default" w:ascii="Times New Roman" w:hAnsi="Times New Roman" w:eastAsia="黑体" w:cs="Times New Roman"/>
          <w:b/>
          <w:bCs/>
          <w:color w:val="auto"/>
          <w:sz w:val="24"/>
          <w:highlight w:val="none"/>
          <w:lang w:val="en-US" w:eastAsia="zh-CN"/>
        </w:rPr>
        <w:t>pH</w:t>
      </w:r>
      <w:r>
        <w:rPr>
          <w:rFonts w:hint="default" w:ascii="Times New Roman" w:hAnsi="Times New Roman" w:eastAsia="黑体" w:cs="Times New Roman"/>
          <w:b/>
          <w:bCs/>
          <w:color w:val="auto"/>
          <w:sz w:val="24"/>
          <w:highlight w:val="none"/>
        </w:rPr>
        <w:t>值</w:t>
      </w:r>
      <w:r>
        <w:rPr>
          <w:rFonts w:hint="default" w:ascii="Times New Roman" w:hAnsi="Times New Roman" w:eastAsia="黑体" w:cs="Times New Roman"/>
          <w:b/>
          <w:bCs/>
          <w:color w:val="auto"/>
          <w:sz w:val="24"/>
          <w:highlight w:val="none"/>
          <w:lang w:eastAsia="zh-CN"/>
        </w:rPr>
        <w:t>监测值</w:t>
      </w:r>
    </w:p>
    <w:tbl>
      <w:tblPr>
        <w:tblStyle w:val="21"/>
        <w:tblW w:w="499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888"/>
        <w:gridCol w:w="2574"/>
        <w:gridCol w:w="5271"/>
        <w:gridCol w:w="919"/>
      </w:tblGrid>
      <w:tr w14:paraId="5597ED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tblHeader/>
          <w:jc w:val="center"/>
        </w:trPr>
        <w:tc>
          <w:tcPr>
            <w:tcW w:w="460" w:type="pct"/>
            <w:tcBorders>
              <w:bottom w:val="single" w:color="000000" w:sz="12" w:space="0"/>
            </w:tcBorders>
            <w:shd w:val="clear" w:color="auto" w:fill="auto"/>
            <w:noWrap/>
            <w:tcMar>
              <w:top w:w="15" w:type="dxa"/>
              <w:left w:w="15" w:type="dxa"/>
              <w:right w:w="15" w:type="dxa"/>
            </w:tcMar>
            <w:vAlign w:val="center"/>
          </w:tcPr>
          <w:p w14:paraId="2A6142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333" w:type="pct"/>
            <w:tcBorders>
              <w:bottom w:val="single" w:color="000000" w:sz="12" w:space="0"/>
            </w:tcBorders>
            <w:shd w:val="clear" w:color="auto" w:fill="auto"/>
            <w:noWrap/>
            <w:tcMar>
              <w:top w:w="15" w:type="dxa"/>
              <w:left w:w="15" w:type="dxa"/>
              <w:right w:w="15" w:type="dxa"/>
            </w:tcMar>
            <w:vAlign w:val="center"/>
          </w:tcPr>
          <w:p w14:paraId="2FB317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2730" w:type="pct"/>
            <w:tcBorders>
              <w:bottom w:val="single" w:color="000000" w:sz="12" w:space="0"/>
            </w:tcBorders>
            <w:shd w:val="clear" w:color="auto" w:fill="auto"/>
            <w:noWrap/>
            <w:tcMar>
              <w:top w:w="15" w:type="dxa"/>
              <w:left w:w="15" w:type="dxa"/>
              <w:right w:w="15" w:type="dxa"/>
            </w:tcMar>
            <w:vAlign w:val="center"/>
          </w:tcPr>
          <w:p w14:paraId="104352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点位位置</w:t>
            </w:r>
          </w:p>
        </w:tc>
        <w:tc>
          <w:tcPr>
            <w:tcW w:w="476" w:type="pct"/>
            <w:tcBorders>
              <w:bottom w:val="single" w:color="000000" w:sz="12" w:space="0"/>
            </w:tcBorders>
            <w:shd w:val="clear" w:color="auto" w:fill="auto"/>
            <w:noWrap/>
            <w:tcMar>
              <w:top w:w="15" w:type="dxa"/>
              <w:left w:w="15" w:type="dxa"/>
              <w:right w:w="15" w:type="dxa"/>
            </w:tcMar>
            <w:vAlign w:val="center"/>
          </w:tcPr>
          <w:p w14:paraId="2D681D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pH值</w:t>
            </w:r>
          </w:p>
        </w:tc>
      </w:tr>
      <w:tr w14:paraId="419179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op w:val="single" w:color="000000" w:sz="12" w:space="0"/>
              <w:tl2br w:val="nil"/>
              <w:tr2bl w:val="nil"/>
            </w:tcBorders>
            <w:shd w:val="clear" w:color="auto" w:fill="auto"/>
            <w:noWrap/>
            <w:tcMar>
              <w:top w:w="15" w:type="dxa"/>
              <w:left w:w="15" w:type="dxa"/>
              <w:right w:w="15" w:type="dxa"/>
            </w:tcMar>
            <w:vAlign w:val="center"/>
          </w:tcPr>
          <w:p w14:paraId="3C7625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333" w:type="pct"/>
            <w:tcBorders>
              <w:top w:val="single" w:color="000000" w:sz="12" w:space="0"/>
              <w:tl2br w:val="nil"/>
              <w:tr2bl w:val="nil"/>
            </w:tcBorders>
            <w:shd w:val="clear" w:color="auto" w:fill="auto"/>
            <w:noWrap/>
            <w:tcMar>
              <w:top w:w="15" w:type="dxa"/>
              <w:left w:w="15" w:type="dxa"/>
              <w:right w:w="15" w:type="dxa"/>
            </w:tcMar>
            <w:vAlign w:val="center"/>
          </w:tcPr>
          <w:p w14:paraId="4168CF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2730" w:type="pct"/>
            <w:tcBorders>
              <w:top w:val="single" w:color="000000" w:sz="12" w:space="0"/>
              <w:tl2br w:val="nil"/>
              <w:tr2bl w:val="nil"/>
            </w:tcBorders>
            <w:shd w:val="clear" w:color="auto" w:fill="auto"/>
            <w:noWrap/>
            <w:tcMar>
              <w:top w:w="15" w:type="dxa"/>
              <w:left w:w="15" w:type="dxa"/>
              <w:right w:w="15" w:type="dxa"/>
            </w:tcMar>
            <w:vAlign w:val="center"/>
          </w:tcPr>
          <w:p w14:paraId="59C574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园区边界西侧下风向75m</w:t>
            </w:r>
          </w:p>
        </w:tc>
        <w:tc>
          <w:tcPr>
            <w:tcW w:w="476" w:type="pct"/>
            <w:tcBorders>
              <w:top w:val="single" w:color="000000" w:sz="12" w:space="0"/>
              <w:tl2br w:val="nil"/>
              <w:tr2bl w:val="nil"/>
            </w:tcBorders>
            <w:shd w:val="clear" w:color="auto" w:fill="auto"/>
            <w:noWrap/>
            <w:tcMar>
              <w:top w:w="15" w:type="dxa"/>
              <w:left w:w="15" w:type="dxa"/>
              <w:right w:w="15" w:type="dxa"/>
            </w:tcMar>
            <w:vAlign w:val="center"/>
          </w:tcPr>
          <w:p w14:paraId="149BB0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8.4</w:t>
            </w:r>
          </w:p>
        </w:tc>
      </w:tr>
      <w:tr w14:paraId="3C618E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3557F6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333" w:type="pct"/>
            <w:tcBorders>
              <w:tl2br w:val="nil"/>
              <w:tr2bl w:val="nil"/>
            </w:tcBorders>
            <w:shd w:val="clear" w:color="auto" w:fill="auto"/>
            <w:noWrap/>
            <w:tcMar>
              <w:top w:w="15" w:type="dxa"/>
              <w:left w:w="15" w:type="dxa"/>
              <w:right w:w="15" w:type="dxa"/>
            </w:tcMar>
            <w:vAlign w:val="center"/>
          </w:tcPr>
          <w:p w14:paraId="2DC898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2730" w:type="pct"/>
            <w:tcBorders>
              <w:tl2br w:val="nil"/>
              <w:tr2bl w:val="nil"/>
            </w:tcBorders>
            <w:shd w:val="clear" w:color="auto" w:fill="auto"/>
            <w:noWrap/>
            <w:tcMar>
              <w:top w:w="15" w:type="dxa"/>
              <w:left w:w="15" w:type="dxa"/>
              <w:right w:w="15" w:type="dxa"/>
            </w:tcMar>
            <w:vAlign w:val="center"/>
          </w:tcPr>
          <w:p w14:paraId="46DFAD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园区边界西侧下风向200m</w:t>
            </w:r>
          </w:p>
        </w:tc>
        <w:tc>
          <w:tcPr>
            <w:tcW w:w="476" w:type="pct"/>
            <w:tcBorders>
              <w:tl2br w:val="nil"/>
              <w:tr2bl w:val="nil"/>
            </w:tcBorders>
            <w:shd w:val="clear" w:color="auto" w:fill="auto"/>
            <w:noWrap/>
            <w:tcMar>
              <w:top w:w="15" w:type="dxa"/>
              <w:left w:w="15" w:type="dxa"/>
              <w:right w:w="15" w:type="dxa"/>
            </w:tcMar>
            <w:vAlign w:val="center"/>
          </w:tcPr>
          <w:p w14:paraId="5DEC4D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7.19</w:t>
            </w:r>
          </w:p>
        </w:tc>
      </w:tr>
      <w:tr w14:paraId="7C2615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1EB1F6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333" w:type="pct"/>
            <w:tcBorders>
              <w:tl2br w:val="nil"/>
              <w:tr2bl w:val="nil"/>
            </w:tcBorders>
            <w:shd w:val="clear" w:color="auto" w:fill="auto"/>
            <w:noWrap/>
            <w:tcMar>
              <w:top w:w="15" w:type="dxa"/>
              <w:left w:w="15" w:type="dxa"/>
              <w:right w:w="15" w:type="dxa"/>
            </w:tcMar>
            <w:vAlign w:val="center"/>
          </w:tcPr>
          <w:p w14:paraId="42384B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2730" w:type="pct"/>
            <w:tcBorders>
              <w:tl2br w:val="nil"/>
              <w:tr2bl w:val="nil"/>
            </w:tcBorders>
            <w:shd w:val="clear" w:color="auto" w:fill="auto"/>
            <w:noWrap/>
            <w:tcMar>
              <w:top w:w="15" w:type="dxa"/>
              <w:left w:w="15" w:type="dxa"/>
              <w:right w:w="15" w:type="dxa"/>
            </w:tcMar>
            <w:vAlign w:val="center"/>
          </w:tcPr>
          <w:p w14:paraId="644082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476" w:type="pct"/>
            <w:tcBorders>
              <w:tl2br w:val="nil"/>
              <w:tr2bl w:val="nil"/>
            </w:tcBorders>
            <w:shd w:val="clear" w:color="auto" w:fill="auto"/>
            <w:noWrap/>
            <w:tcMar>
              <w:top w:w="15" w:type="dxa"/>
              <w:left w:w="15" w:type="dxa"/>
              <w:right w:w="15" w:type="dxa"/>
            </w:tcMar>
            <w:vAlign w:val="center"/>
          </w:tcPr>
          <w:p w14:paraId="23C314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7.34</w:t>
            </w:r>
          </w:p>
        </w:tc>
      </w:tr>
      <w:tr w14:paraId="75E61E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1C48CB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333" w:type="pct"/>
            <w:tcBorders>
              <w:tl2br w:val="nil"/>
              <w:tr2bl w:val="nil"/>
            </w:tcBorders>
            <w:shd w:val="clear" w:color="auto" w:fill="auto"/>
            <w:noWrap/>
            <w:tcMar>
              <w:top w:w="15" w:type="dxa"/>
              <w:left w:w="15" w:type="dxa"/>
              <w:right w:w="15" w:type="dxa"/>
            </w:tcMar>
            <w:vAlign w:val="center"/>
          </w:tcPr>
          <w:p w14:paraId="6EF263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2730" w:type="pct"/>
            <w:tcBorders>
              <w:tl2br w:val="nil"/>
              <w:tr2bl w:val="nil"/>
            </w:tcBorders>
            <w:shd w:val="clear" w:color="auto" w:fill="auto"/>
            <w:noWrap/>
            <w:tcMar>
              <w:top w:w="15" w:type="dxa"/>
              <w:left w:w="15" w:type="dxa"/>
              <w:right w:w="15" w:type="dxa"/>
            </w:tcMar>
            <w:vAlign w:val="center"/>
          </w:tcPr>
          <w:p w14:paraId="0C9AB0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476" w:type="pct"/>
            <w:tcBorders>
              <w:tl2br w:val="nil"/>
              <w:tr2bl w:val="nil"/>
            </w:tcBorders>
            <w:shd w:val="clear" w:color="auto" w:fill="auto"/>
            <w:noWrap/>
            <w:tcMar>
              <w:top w:w="15" w:type="dxa"/>
              <w:left w:w="15" w:type="dxa"/>
              <w:right w:w="15" w:type="dxa"/>
            </w:tcMar>
            <w:vAlign w:val="center"/>
          </w:tcPr>
          <w:p w14:paraId="5B6E09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7.54</w:t>
            </w:r>
          </w:p>
        </w:tc>
      </w:tr>
      <w:tr w14:paraId="1F5800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3BFBF9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333" w:type="pct"/>
            <w:tcBorders>
              <w:tl2br w:val="nil"/>
              <w:tr2bl w:val="nil"/>
            </w:tcBorders>
            <w:shd w:val="clear" w:color="auto" w:fill="auto"/>
            <w:noWrap/>
            <w:tcMar>
              <w:top w:w="15" w:type="dxa"/>
              <w:left w:w="15" w:type="dxa"/>
              <w:right w:w="15" w:type="dxa"/>
            </w:tcMar>
            <w:vAlign w:val="center"/>
          </w:tcPr>
          <w:p w14:paraId="228AA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2730" w:type="pct"/>
            <w:tcBorders>
              <w:tl2br w:val="nil"/>
              <w:tr2bl w:val="nil"/>
            </w:tcBorders>
            <w:shd w:val="clear" w:color="auto" w:fill="auto"/>
            <w:noWrap/>
            <w:tcMar>
              <w:top w:w="15" w:type="dxa"/>
              <w:left w:w="15" w:type="dxa"/>
              <w:right w:w="15" w:type="dxa"/>
            </w:tcMar>
            <w:vAlign w:val="center"/>
          </w:tcPr>
          <w:p w14:paraId="3B3459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476" w:type="pct"/>
            <w:tcBorders>
              <w:tl2br w:val="nil"/>
              <w:tr2bl w:val="nil"/>
            </w:tcBorders>
            <w:shd w:val="clear" w:color="auto" w:fill="auto"/>
            <w:noWrap/>
            <w:tcMar>
              <w:top w:w="15" w:type="dxa"/>
              <w:left w:w="15" w:type="dxa"/>
              <w:right w:w="15" w:type="dxa"/>
            </w:tcMar>
            <w:vAlign w:val="center"/>
          </w:tcPr>
          <w:p w14:paraId="07E2B3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6.22</w:t>
            </w:r>
          </w:p>
        </w:tc>
      </w:tr>
      <w:tr w14:paraId="4DCBEB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64D6B4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333" w:type="pct"/>
            <w:tcBorders>
              <w:tl2br w:val="nil"/>
              <w:tr2bl w:val="nil"/>
            </w:tcBorders>
            <w:shd w:val="clear" w:color="auto" w:fill="auto"/>
            <w:noWrap/>
            <w:tcMar>
              <w:top w:w="15" w:type="dxa"/>
              <w:left w:w="15" w:type="dxa"/>
              <w:right w:w="15" w:type="dxa"/>
            </w:tcMar>
            <w:vAlign w:val="center"/>
          </w:tcPr>
          <w:p w14:paraId="683349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2730" w:type="pct"/>
            <w:tcBorders>
              <w:tl2br w:val="nil"/>
              <w:tr2bl w:val="nil"/>
            </w:tcBorders>
            <w:shd w:val="clear" w:color="auto" w:fill="auto"/>
            <w:noWrap/>
            <w:tcMar>
              <w:top w:w="15" w:type="dxa"/>
              <w:left w:w="15" w:type="dxa"/>
              <w:right w:w="15" w:type="dxa"/>
            </w:tcMar>
            <w:vAlign w:val="center"/>
          </w:tcPr>
          <w:p w14:paraId="5A2ADC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园区边界东侧上风向</w:t>
            </w:r>
            <w:r>
              <w:rPr>
                <w:rStyle w:val="69"/>
                <w:rFonts w:hint="default" w:ascii="Times New Roman" w:hAnsi="Times New Roman" w:cs="Times New Roman"/>
                <w:color w:val="auto"/>
                <w:sz w:val="21"/>
                <w:szCs w:val="21"/>
                <w:highlight w:val="none"/>
                <w:lang w:val="en-US" w:eastAsia="zh-CN" w:bidi="ar"/>
              </w:rPr>
              <w:t>800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476" w:type="pct"/>
            <w:tcBorders>
              <w:tl2br w:val="nil"/>
              <w:tr2bl w:val="nil"/>
            </w:tcBorders>
            <w:shd w:val="clear" w:color="auto" w:fill="auto"/>
            <w:noWrap/>
            <w:tcMar>
              <w:top w:w="15" w:type="dxa"/>
              <w:left w:w="15" w:type="dxa"/>
              <w:right w:w="15" w:type="dxa"/>
            </w:tcMar>
            <w:vAlign w:val="center"/>
          </w:tcPr>
          <w:p w14:paraId="12EC58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8.44</w:t>
            </w:r>
          </w:p>
        </w:tc>
      </w:tr>
      <w:tr w14:paraId="525C31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3B3699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333" w:type="pct"/>
            <w:tcBorders>
              <w:tl2br w:val="nil"/>
              <w:tr2bl w:val="nil"/>
            </w:tcBorders>
            <w:shd w:val="clear" w:color="auto" w:fill="auto"/>
            <w:noWrap/>
            <w:tcMar>
              <w:top w:w="15" w:type="dxa"/>
              <w:left w:w="15" w:type="dxa"/>
              <w:right w:w="15" w:type="dxa"/>
            </w:tcMar>
            <w:vAlign w:val="center"/>
          </w:tcPr>
          <w:p w14:paraId="0FACED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2730" w:type="pct"/>
            <w:tcBorders>
              <w:tl2br w:val="nil"/>
              <w:tr2bl w:val="nil"/>
            </w:tcBorders>
            <w:shd w:val="clear" w:color="auto" w:fill="auto"/>
            <w:noWrap/>
            <w:tcMar>
              <w:top w:w="15" w:type="dxa"/>
              <w:left w:w="15" w:type="dxa"/>
              <w:right w:w="15" w:type="dxa"/>
            </w:tcMar>
            <w:vAlign w:val="center"/>
          </w:tcPr>
          <w:p w14:paraId="342902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园区边界北侧上风向</w:t>
            </w:r>
            <w:r>
              <w:rPr>
                <w:rStyle w:val="69"/>
                <w:rFonts w:hint="default" w:ascii="Times New Roman" w:hAnsi="Times New Roman" w:cs="Times New Roman"/>
                <w:color w:val="auto"/>
                <w:sz w:val="21"/>
                <w:szCs w:val="21"/>
                <w:highlight w:val="none"/>
                <w:lang w:val="en-US" w:eastAsia="zh-CN" w:bidi="ar"/>
              </w:rPr>
              <w:t>750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476" w:type="pct"/>
            <w:tcBorders>
              <w:tl2br w:val="nil"/>
              <w:tr2bl w:val="nil"/>
            </w:tcBorders>
            <w:shd w:val="clear" w:color="auto" w:fill="auto"/>
            <w:noWrap/>
            <w:tcMar>
              <w:top w:w="15" w:type="dxa"/>
              <w:left w:w="15" w:type="dxa"/>
              <w:right w:w="15" w:type="dxa"/>
            </w:tcMar>
            <w:vAlign w:val="center"/>
          </w:tcPr>
          <w:p w14:paraId="0B2E3C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8.48</w:t>
            </w:r>
          </w:p>
        </w:tc>
      </w:tr>
      <w:tr w14:paraId="3C75C1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39EDB4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333" w:type="pct"/>
            <w:tcBorders>
              <w:tl2br w:val="nil"/>
              <w:tr2bl w:val="nil"/>
            </w:tcBorders>
            <w:shd w:val="clear" w:color="auto" w:fill="auto"/>
            <w:noWrap/>
            <w:tcMar>
              <w:top w:w="15" w:type="dxa"/>
              <w:left w:w="15" w:type="dxa"/>
              <w:right w:w="15" w:type="dxa"/>
            </w:tcMar>
            <w:vAlign w:val="center"/>
          </w:tcPr>
          <w:p w14:paraId="34E09B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2730" w:type="pct"/>
            <w:tcBorders>
              <w:tl2br w:val="nil"/>
              <w:tr2bl w:val="nil"/>
            </w:tcBorders>
            <w:shd w:val="clear" w:color="auto" w:fill="auto"/>
            <w:noWrap/>
            <w:tcMar>
              <w:top w:w="15" w:type="dxa"/>
              <w:left w:w="15" w:type="dxa"/>
              <w:right w:w="15" w:type="dxa"/>
            </w:tcMar>
            <w:vAlign w:val="center"/>
          </w:tcPr>
          <w:p w14:paraId="6F1437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476" w:type="pct"/>
            <w:tcBorders>
              <w:tl2br w:val="nil"/>
              <w:tr2bl w:val="nil"/>
            </w:tcBorders>
            <w:shd w:val="clear" w:color="auto" w:fill="auto"/>
            <w:noWrap/>
            <w:tcMar>
              <w:top w:w="15" w:type="dxa"/>
              <w:left w:w="15" w:type="dxa"/>
              <w:right w:w="15" w:type="dxa"/>
            </w:tcMar>
            <w:vAlign w:val="center"/>
          </w:tcPr>
          <w:p w14:paraId="496E5F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5.93</w:t>
            </w:r>
          </w:p>
        </w:tc>
      </w:tr>
      <w:tr w14:paraId="029CD1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528093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333" w:type="pct"/>
            <w:tcBorders>
              <w:tl2br w:val="nil"/>
              <w:tr2bl w:val="nil"/>
            </w:tcBorders>
            <w:shd w:val="clear" w:color="auto" w:fill="auto"/>
            <w:noWrap/>
            <w:tcMar>
              <w:top w:w="15" w:type="dxa"/>
              <w:left w:w="15" w:type="dxa"/>
              <w:right w:w="15" w:type="dxa"/>
            </w:tcMar>
            <w:vAlign w:val="center"/>
          </w:tcPr>
          <w:p w14:paraId="208711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2730" w:type="pct"/>
            <w:tcBorders>
              <w:tl2br w:val="nil"/>
              <w:tr2bl w:val="nil"/>
            </w:tcBorders>
            <w:shd w:val="clear" w:color="auto" w:fill="auto"/>
            <w:noWrap/>
            <w:tcMar>
              <w:top w:w="15" w:type="dxa"/>
              <w:left w:w="15" w:type="dxa"/>
              <w:right w:w="15" w:type="dxa"/>
            </w:tcMar>
            <w:vAlign w:val="center"/>
          </w:tcPr>
          <w:p w14:paraId="497220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476" w:type="pct"/>
            <w:tcBorders>
              <w:tl2br w:val="nil"/>
              <w:tr2bl w:val="nil"/>
            </w:tcBorders>
            <w:shd w:val="clear" w:color="auto" w:fill="auto"/>
            <w:noWrap/>
            <w:tcMar>
              <w:top w:w="15" w:type="dxa"/>
              <w:left w:w="15" w:type="dxa"/>
              <w:right w:w="15" w:type="dxa"/>
            </w:tcMar>
            <w:vAlign w:val="center"/>
          </w:tcPr>
          <w:p w14:paraId="62B962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6.38</w:t>
            </w:r>
          </w:p>
        </w:tc>
      </w:tr>
      <w:tr w14:paraId="759847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6800B3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333" w:type="pct"/>
            <w:tcBorders>
              <w:tl2br w:val="nil"/>
              <w:tr2bl w:val="nil"/>
            </w:tcBorders>
            <w:shd w:val="clear" w:color="auto" w:fill="auto"/>
            <w:noWrap/>
            <w:tcMar>
              <w:top w:w="15" w:type="dxa"/>
              <w:left w:w="15" w:type="dxa"/>
              <w:right w:w="15" w:type="dxa"/>
            </w:tcMar>
            <w:vAlign w:val="center"/>
          </w:tcPr>
          <w:p w14:paraId="2E0728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2730" w:type="pct"/>
            <w:tcBorders>
              <w:tl2br w:val="nil"/>
              <w:tr2bl w:val="nil"/>
            </w:tcBorders>
            <w:shd w:val="clear" w:color="auto" w:fill="auto"/>
            <w:noWrap/>
            <w:tcMar>
              <w:top w:w="15" w:type="dxa"/>
              <w:left w:w="15" w:type="dxa"/>
              <w:right w:w="15" w:type="dxa"/>
            </w:tcMar>
            <w:vAlign w:val="center"/>
          </w:tcPr>
          <w:p w14:paraId="5291B5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476" w:type="pct"/>
            <w:tcBorders>
              <w:tl2br w:val="nil"/>
              <w:tr2bl w:val="nil"/>
            </w:tcBorders>
            <w:shd w:val="clear" w:color="auto" w:fill="auto"/>
            <w:noWrap/>
            <w:tcMar>
              <w:top w:w="15" w:type="dxa"/>
              <w:left w:w="15" w:type="dxa"/>
              <w:right w:w="15" w:type="dxa"/>
            </w:tcMar>
            <w:vAlign w:val="center"/>
          </w:tcPr>
          <w:p w14:paraId="12CEEC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5.38</w:t>
            </w:r>
          </w:p>
        </w:tc>
      </w:tr>
      <w:tr w14:paraId="559CFA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6FE2D8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333" w:type="pct"/>
            <w:tcBorders>
              <w:tl2br w:val="nil"/>
              <w:tr2bl w:val="nil"/>
            </w:tcBorders>
            <w:shd w:val="clear" w:color="auto" w:fill="auto"/>
            <w:noWrap/>
            <w:tcMar>
              <w:top w:w="15" w:type="dxa"/>
              <w:left w:w="15" w:type="dxa"/>
              <w:right w:w="15" w:type="dxa"/>
            </w:tcMar>
            <w:vAlign w:val="center"/>
          </w:tcPr>
          <w:p w14:paraId="7DF520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2730" w:type="pct"/>
            <w:tcBorders>
              <w:tl2br w:val="nil"/>
              <w:tr2bl w:val="nil"/>
            </w:tcBorders>
            <w:shd w:val="clear" w:color="auto" w:fill="auto"/>
            <w:noWrap/>
            <w:tcMar>
              <w:top w:w="15" w:type="dxa"/>
              <w:left w:w="15" w:type="dxa"/>
              <w:right w:w="15" w:type="dxa"/>
            </w:tcMar>
            <w:vAlign w:val="center"/>
          </w:tcPr>
          <w:p w14:paraId="530E1E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476" w:type="pct"/>
            <w:tcBorders>
              <w:tl2br w:val="nil"/>
              <w:tr2bl w:val="nil"/>
            </w:tcBorders>
            <w:shd w:val="clear" w:color="auto" w:fill="auto"/>
            <w:noWrap/>
            <w:tcMar>
              <w:top w:w="15" w:type="dxa"/>
              <w:left w:w="15" w:type="dxa"/>
              <w:right w:w="15" w:type="dxa"/>
            </w:tcMar>
            <w:vAlign w:val="center"/>
          </w:tcPr>
          <w:p w14:paraId="1E7291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5.92</w:t>
            </w:r>
          </w:p>
        </w:tc>
      </w:tr>
      <w:tr w14:paraId="2D832F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37DF41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333" w:type="pct"/>
            <w:tcBorders>
              <w:tl2br w:val="nil"/>
              <w:tr2bl w:val="nil"/>
            </w:tcBorders>
            <w:shd w:val="clear" w:color="auto" w:fill="auto"/>
            <w:noWrap/>
            <w:tcMar>
              <w:top w:w="15" w:type="dxa"/>
              <w:left w:w="15" w:type="dxa"/>
              <w:right w:w="15" w:type="dxa"/>
            </w:tcMar>
            <w:vAlign w:val="center"/>
          </w:tcPr>
          <w:p w14:paraId="278BAA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2730" w:type="pct"/>
            <w:tcBorders>
              <w:tl2br w:val="nil"/>
              <w:tr2bl w:val="nil"/>
            </w:tcBorders>
            <w:shd w:val="clear" w:color="auto" w:fill="auto"/>
            <w:noWrap/>
            <w:tcMar>
              <w:top w:w="15" w:type="dxa"/>
              <w:left w:w="15" w:type="dxa"/>
              <w:right w:w="15" w:type="dxa"/>
            </w:tcMar>
            <w:vAlign w:val="center"/>
          </w:tcPr>
          <w:p w14:paraId="0B7CBB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476" w:type="pct"/>
            <w:tcBorders>
              <w:tl2br w:val="nil"/>
              <w:tr2bl w:val="nil"/>
            </w:tcBorders>
            <w:shd w:val="clear" w:color="auto" w:fill="auto"/>
            <w:noWrap/>
            <w:tcMar>
              <w:top w:w="15" w:type="dxa"/>
              <w:left w:w="15" w:type="dxa"/>
              <w:right w:w="15" w:type="dxa"/>
            </w:tcMar>
            <w:vAlign w:val="center"/>
          </w:tcPr>
          <w:p w14:paraId="415322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8.05</w:t>
            </w:r>
          </w:p>
        </w:tc>
      </w:tr>
      <w:tr w14:paraId="4C8EC1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63CE14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333" w:type="pct"/>
            <w:tcBorders>
              <w:tl2br w:val="nil"/>
              <w:tr2bl w:val="nil"/>
            </w:tcBorders>
            <w:shd w:val="clear" w:color="auto" w:fill="auto"/>
            <w:noWrap/>
            <w:tcMar>
              <w:top w:w="15" w:type="dxa"/>
              <w:left w:w="15" w:type="dxa"/>
              <w:right w:w="15" w:type="dxa"/>
            </w:tcMar>
            <w:vAlign w:val="center"/>
          </w:tcPr>
          <w:p w14:paraId="5BE115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2730" w:type="pct"/>
            <w:tcBorders>
              <w:tl2br w:val="nil"/>
              <w:tr2bl w:val="nil"/>
            </w:tcBorders>
            <w:shd w:val="clear" w:color="auto" w:fill="auto"/>
            <w:noWrap/>
            <w:tcMar>
              <w:top w:w="15" w:type="dxa"/>
              <w:left w:w="15" w:type="dxa"/>
              <w:right w:w="15" w:type="dxa"/>
            </w:tcMar>
            <w:vAlign w:val="center"/>
          </w:tcPr>
          <w:p w14:paraId="717961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476" w:type="pct"/>
            <w:tcBorders>
              <w:tl2br w:val="nil"/>
              <w:tr2bl w:val="nil"/>
            </w:tcBorders>
            <w:shd w:val="clear" w:color="auto" w:fill="auto"/>
            <w:noWrap/>
            <w:tcMar>
              <w:top w:w="15" w:type="dxa"/>
              <w:left w:w="15" w:type="dxa"/>
              <w:right w:w="15" w:type="dxa"/>
            </w:tcMar>
            <w:vAlign w:val="center"/>
          </w:tcPr>
          <w:p w14:paraId="1B02A9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8.15</w:t>
            </w:r>
          </w:p>
        </w:tc>
      </w:tr>
      <w:tr w14:paraId="725E5D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026AE6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333" w:type="pct"/>
            <w:tcBorders>
              <w:tl2br w:val="nil"/>
              <w:tr2bl w:val="nil"/>
            </w:tcBorders>
            <w:shd w:val="clear" w:color="auto" w:fill="auto"/>
            <w:noWrap/>
            <w:tcMar>
              <w:top w:w="15" w:type="dxa"/>
              <w:left w:w="15" w:type="dxa"/>
              <w:right w:w="15" w:type="dxa"/>
            </w:tcMar>
            <w:vAlign w:val="center"/>
          </w:tcPr>
          <w:p w14:paraId="3A0759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2730" w:type="pct"/>
            <w:tcBorders>
              <w:tl2br w:val="nil"/>
              <w:tr2bl w:val="nil"/>
            </w:tcBorders>
            <w:shd w:val="clear" w:color="auto" w:fill="auto"/>
            <w:noWrap/>
            <w:tcMar>
              <w:top w:w="15" w:type="dxa"/>
              <w:left w:w="15" w:type="dxa"/>
              <w:right w:w="15" w:type="dxa"/>
            </w:tcMar>
            <w:vAlign w:val="center"/>
          </w:tcPr>
          <w:p w14:paraId="52B352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476" w:type="pct"/>
            <w:tcBorders>
              <w:tl2br w:val="nil"/>
              <w:tr2bl w:val="nil"/>
            </w:tcBorders>
            <w:shd w:val="clear" w:color="auto" w:fill="auto"/>
            <w:noWrap/>
            <w:tcMar>
              <w:top w:w="15" w:type="dxa"/>
              <w:left w:w="15" w:type="dxa"/>
              <w:right w:w="15" w:type="dxa"/>
            </w:tcMar>
            <w:vAlign w:val="center"/>
          </w:tcPr>
          <w:p w14:paraId="412413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8.55</w:t>
            </w:r>
          </w:p>
        </w:tc>
      </w:tr>
      <w:tr w14:paraId="4CDBD0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577835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333" w:type="pct"/>
            <w:tcBorders>
              <w:tl2br w:val="nil"/>
              <w:tr2bl w:val="nil"/>
            </w:tcBorders>
            <w:shd w:val="clear" w:color="auto" w:fill="auto"/>
            <w:noWrap/>
            <w:tcMar>
              <w:top w:w="15" w:type="dxa"/>
              <w:left w:w="15" w:type="dxa"/>
              <w:right w:w="15" w:type="dxa"/>
            </w:tcMar>
            <w:vAlign w:val="center"/>
          </w:tcPr>
          <w:p w14:paraId="23860E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2730" w:type="pct"/>
            <w:tcBorders>
              <w:tl2br w:val="nil"/>
              <w:tr2bl w:val="nil"/>
            </w:tcBorders>
            <w:shd w:val="clear" w:color="auto" w:fill="auto"/>
            <w:noWrap/>
            <w:tcMar>
              <w:top w:w="15" w:type="dxa"/>
              <w:left w:w="15" w:type="dxa"/>
              <w:right w:w="15" w:type="dxa"/>
            </w:tcMar>
            <w:vAlign w:val="center"/>
          </w:tcPr>
          <w:p w14:paraId="7FF6EB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476" w:type="pct"/>
            <w:tcBorders>
              <w:tl2br w:val="nil"/>
              <w:tr2bl w:val="nil"/>
            </w:tcBorders>
            <w:shd w:val="clear" w:color="auto" w:fill="auto"/>
            <w:noWrap/>
            <w:tcMar>
              <w:top w:w="15" w:type="dxa"/>
              <w:left w:w="15" w:type="dxa"/>
              <w:right w:w="15" w:type="dxa"/>
            </w:tcMar>
            <w:vAlign w:val="center"/>
          </w:tcPr>
          <w:p w14:paraId="1941F7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8.42</w:t>
            </w:r>
          </w:p>
        </w:tc>
      </w:tr>
      <w:tr w14:paraId="64816A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60" w:type="pct"/>
            <w:tcBorders>
              <w:tl2br w:val="nil"/>
              <w:tr2bl w:val="nil"/>
            </w:tcBorders>
            <w:shd w:val="clear" w:color="auto" w:fill="auto"/>
            <w:noWrap/>
            <w:tcMar>
              <w:top w:w="15" w:type="dxa"/>
              <w:left w:w="15" w:type="dxa"/>
              <w:right w:w="15" w:type="dxa"/>
            </w:tcMar>
            <w:vAlign w:val="center"/>
          </w:tcPr>
          <w:p w14:paraId="44D773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1333" w:type="pct"/>
            <w:tcBorders>
              <w:tl2br w:val="nil"/>
              <w:tr2bl w:val="nil"/>
            </w:tcBorders>
            <w:shd w:val="clear" w:color="auto" w:fill="auto"/>
            <w:noWrap/>
            <w:tcMar>
              <w:top w:w="15" w:type="dxa"/>
              <w:left w:w="15" w:type="dxa"/>
              <w:right w:w="15" w:type="dxa"/>
            </w:tcMar>
            <w:vAlign w:val="center"/>
          </w:tcPr>
          <w:p w14:paraId="374FD1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2730" w:type="pct"/>
            <w:tcBorders>
              <w:tl2br w:val="nil"/>
              <w:tr2bl w:val="nil"/>
            </w:tcBorders>
            <w:shd w:val="clear" w:color="auto" w:fill="auto"/>
            <w:noWrap/>
            <w:tcMar>
              <w:top w:w="15" w:type="dxa"/>
              <w:left w:w="15" w:type="dxa"/>
              <w:right w:w="15" w:type="dxa"/>
            </w:tcMar>
            <w:vAlign w:val="center"/>
          </w:tcPr>
          <w:p w14:paraId="374BAC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476" w:type="pct"/>
            <w:tcBorders>
              <w:tl2br w:val="nil"/>
              <w:tr2bl w:val="nil"/>
            </w:tcBorders>
            <w:shd w:val="clear" w:color="auto" w:fill="auto"/>
            <w:noWrap/>
            <w:tcMar>
              <w:top w:w="15" w:type="dxa"/>
              <w:left w:w="15" w:type="dxa"/>
              <w:right w:w="15" w:type="dxa"/>
            </w:tcMar>
            <w:vAlign w:val="center"/>
          </w:tcPr>
          <w:p w14:paraId="1DC6C4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8.31</w:t>
            </w:r>
          </w:p>
        </w:tc>
      </w:tr>
      <w:tr w14:paraId="251942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523" w:type="pct"/>
            <w:gridSpan w:val="3"/>
            <w:tcBorders>
              <w:tl2br w:val="nil"/>
              <w:tr2bl w:val="nil"/>
            </w:tcBorders>
            <w:shd w:val="clear" w:color="auto" w:fill="auto"/>
            <w:noWrap/>
            <w:tcMar>
              <w:top w:w="15" w:type="dxa"/>
              <w:left w:w="15" w:type="dxa"/>
              <w:right w:w="15" w:type="dxa"/>
            </w:tcMar>
            <w:vAlign w:val="center"/>
          </w:tcPr>
          <w:p w14:paraId="15FBCD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最大值</w:t>
            </w:r>
          </w:p>
        </w:tc>
        <w:tc>
          <w:tcPr>
            <w:tcW w:w="476" w:type="pct"/>
            <w:tcBorders>
              <w:tl2br w:val="nil"/>
              <w:tr2bl w:val="nil"/>
            </w:tcBorders>
            <w:shd w:val="clear" w:color="auto" w:fill="auto"/>
            <w:noWrap/>
            <w:tcMar>
              <w:top w:w="15" w:type="dxa"/>
              <w:left w:w="15" w:type="dxa"/>
              <w:right w:w="15" w:type="dxa"/>
            </w:tcMar>
            <w:vAlign w:val="center"/>
          </w:tcPr>
          <w:p w14:paraId="3991A9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8.55</w:t>
            </w:r>
          </w:p>
        </w:tc>
      </w:tr>
      <w:tr w14:paraId="32B2BF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523" w:type="pct"/>
            <w:gridSpan w:val="3"/>
            <w:tcBorders>
              <w:tl2br w:val="nil"/>
              <w:tr2bl w:val="nil"/>
            </w:tcBorders>
            <w:shd w:val="clear" w:color="auto" w:fill="auto"/>
            <w:noWrap/>
            <w:tcMar>
              <w:top w:w="15" w:type="dxa"/>
              <w:left w:w="15" w:type="dxa"/>
              <w:right w:w="15" w:type="dxa"/>
            </w:tcMar>
            <w:vAlign w:val="center"/>
          </w:tcPr>
          <w:p w14:paraId="648D19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476" w:type="pct"/>
            <w:tcBorders>
              <w:tl2br w:val="nil"/>
              <w:tr2bl w:val="nil"/>
            </w:tcBorders>
            <w:shd w:val="clear" w:color="auto" w:fill="auto"/>
            <w:noWrap/>
            <w:tcMar>
              <w:top w:w="15" w:type="dxa"/>
              <w:left w:w="15" w:type="dxa"/>
              <w:right w:w="15" w:type="dxa"/>
            </w:tcMar>
            <w:vAlign w:val="center"/>
          </w:tcPr>
          <w:p w14:paraId="12C396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5.38</w:t>
            </w:r>
          </w:p>
        </w:tc>
      </w:tr>
      <w:tr w14:paraId="088F33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523" w:type="pct"/>
            <w:gridSpan w:val="3"/>
            <w:tcBorders>
              <w:tl2br w:val="nil"/>
              <w:tr2bl w:val="nil"/>
            </w:tcBorders>
            <w:shd w:val="clear" w:color="auto" w:fill="auto"/>
            <w:noWrap/>
            <w:tcMar>
              <w:top w:w="15" w:type="dxa"/>
              <w:left w:w="15" w:type="dxa"/>
              <w:right w:w="15" w:type="dxa"/>
            </w:tcMar>
            <w:vAlign w:val="center"/>
          </w:tcPr>
          <w:p w14:paraId="5EC66C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476" w:type="pct"/>
            <w:tcBorders>
              <w:tl2br w:val="nil"/>
              <w:tr2bl w:val="nil"/>
            </w:tcBorders>
            <w:shd w:val="clear" w:color="auto" w:fill="auto"/>
            <w:noWrap/>
            <w:tcMar>
              <w:top w:w="15" w:type="dxa"/>
              <w:left w:w="15" w:type="dxa"/>
              <w:right w:w="15" w:type="dxa"/>
            </w:tcMar>
            <w:vAlign w:val="center"/>
          </w:tcPr>
          <w:p w14:paraId="76C447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w:t>
            </w:r>
            <w:r>
              <w:rPr>
                <w:rFonts w:hint="default" w:ascii="Times New Roman" w:hAnsi="Times New Roman" w:cs="Times New Roman"/>
                <w:i w:val="0"/>
                <w:color w:val="auto"/>
                <w:kern w:val="0"/>
                <w:sz w:val="21"/>
                <w:szCs w:val="21"/>
                <w:highlight w:val="none"/>
                <w:u w:val="none"/>
                <w:lang w:val="en-US" w:eastAsia="zh-CN" w:bidi="ar"/>
              </w:rPr>
              <w:t>2</w:t>
            </w:r>
          </w:p>
        </w:tc>
      </w:tr>
    </w:tbl>
    <w:p w14:paraId="7F4482F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highlight w:val="none"/>
          <w:lang w:val="en-US" w:eastAsia="zh-CN"/>
        </w:rPr>
      </w:pPr>
      <w:bookmarkStart w:id="68" w:name="_Toc28171_WPSOffice_Level2"/>
      <w:bookmarkEnd w:id="68"/>
      <w:r>
        <w:rPr>
          <w:rFonts w:hint="default" w:ascii="Times New Roman" w:hAnsi="Times New Roman" w:cs="Times New Roman"/>
          <w:color w:val="auto"/>
          <w:highlight w:val="none"/>
          <w:lang w:eastAsia="zh-CN"/>
        </w:rPr>
        <w:t>各点位</w:t>
      </w:r>
      <w:r>
        <w:rPr>
          <w:rFonts w:hint="default" w:ascii="Times New Roman" w:hAnsi="Times New Roman" w:cs="Times New Roman"/>
          <w:color w:val="auto"/>
          <w:highlight w:val="none"/>
          <w:lang w:val="en-US" w:eastAsia="zh-CN"/>
        </w:rPr>
        <w:t>pH值</w:t>
      </w:r>
      <w:r>
        <w:rPr>
          <w:rFonts w:hint="default" w:ascii="Times New Roman" w:hAnsi="Times New Roman" w:cs="Times New Roman"/>
          <w:color w:val="auto"/>
          <w:highlight w:val="none"/>
          <w:lang w:eastAsia="zh-CN"/>
        </w:rPr>
        <w:t>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60C76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5C45456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1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2B18D5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5-3-1 pH指标</w:t>
            </w:r>
            <w:r>
              <w:rPr>
                <w:rFonts w:hint="default" w:ascii="Times New Roman" w:hAnsi="Times New Roman" w:cs="Times New Roman"/>
                <w:b/>
                <w:bCs/>
                <w:color w:val="auto"/>
                <w:highlight w:val="none"/>
                <w:lang w:val="en-US" w:eastAsia="zh-CN"/>
              </w:rPr>
              <w:t>监测值</w:t>
            </w:r>
            <w:r>
              <w:rPr>
                <w:rFonts w:hint="default" w:ascii="Times New Roman" w:hAnsi="Times New Roman" w:eastAsia="宋体" w:cs="Times New Roman"/>
                <w:b/>
                <w:bCs/>
                <w:color w:val="auto"/>
                <w:highlight w:val="none"/>
                <w:lang w:val="en-US" w:eastAsia="zh-CN"/>
              </w:rPr>
              <w:t>分布图</w:t>
            </w:r>
          </w:p>
        </w:tc>
      </w:tr>
    </w:tbl>
    <w:p w14:paraId="37FD1A71">
      <w:pPr>
        <w:numPr>
          <w:ilvl w:val="0"/>
          <w:numId w:val="11"/>
        </w:numPr>
        <w:bidi w:val="0"/>
        <w:ind w:left="0" w:leftChars="0" w:firstLine="420" w:firstLineChars="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总氟化物</w:t>
      </w:r>
    </w:p>
    <w:p w14:paraId="0F2A2B7F">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highlight w:val="none"/>
          <w:lang w:val="en-US" w:eastAsia="zh-CN"/>
        </w:rPr>
        <w:t>园区内</w:t>
      </w:r>
      <w:r>
        <w:rPr>
          <w:rFonts w:hint="eastAsia" w:cs="Times New Roman"/>
          <w:color w:val="auto"/>
          <w:sz w:val="24"/>
          <w:highlight w:val="none"/>
          <w:lang w:val="en-US" w:eastAsia="zh-CN"/>
        </w:rPr>
        <w:t>16个土壤样品（不含质控样品）</w:t>
      </w:r>
      <w:r>
        <w:rPr>
          <w:rFonts w:hint="default" w:ascii="Times New Roman" w:hAnsi="Times New Roman" w:cs="Times New Roman"/>
          <w:color w:val="auto"/>
          <w:sz w:val="24"/>
          <w:highlight w:val="none"/>
          <w:lang w:eastAsia="zh-CN"/>
        </w:rPr>
        <w:t>总氟化物均有检出，检出率</w:t>
      </w:r>
      <w:r>
        <w:rPr>
          <w:rFonts w:hint="default" w:ascii="Times New Roman" w:hAnsi="Times New Roman" w:cs="Times New Roman"/>
          <w:color w:val="auto"/>
          <w:sz w:val="24"/>
          <w:highlight w:val="none"/>
          <w:lang w:val="en-US" w:eastAsia="zh-CN"/>
        </w:rPr>
        <w:t>100%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检测结果显示，</w:t>
      </w:r>
      <w:r>
        <w:rPr>
          <w:rFonts w:hint="default" w:ascii="Times New Roman" w:hAnsi="Times New Roman" w:cs="Times New Roman"/>
          <w:color w:val="auto"/>
          <w:sz w:val="24"/>
          <w:highlight w:val="none"/>
          <w:lang w:val="en-US" w:eastAsia="zh-CN"/>
        </w:rPr>
        <w:t>最大值为779mg/kg，最小值为448mg/kg，见</w:t>
      </w:r>
      <w:r>
        <w:rPr>
          <w:rFonts w:hint="default" w:ascii="Times New Roman" w:hAnsi="Times New Roman" w:cs="Times New Roman"/>
          <w:color w:val="auto"/>
          <w:sz w:val="24"/>
          <w:szCs w:val="24"/>
          <w:highlight w:val="none"/>
        </w:rPr>
        <w:t>表</w:t>
      </w:r>
      <w:r>
        <w:rPr>
          <w:rFonts w:hint="default" w:ascii="Times New Roman" w:hAnsi="Times New Roman" w:cs="Times New Roman"/>
          <w:color w:val="auto"/>
          <w:sz w:val="24"/>
          <w:szCs w:val="24"/>
          <w:highlight w:val="none"/>
          <w:lang w:val="en-US" w:eastAsia="zh-CN"/>
        </w:rPr>
        <w:t>5-3-2</w:t>
      </w:r>
      <w:r>
        <w:rPr>
          <w:rFonts w:hint="default" w:ascii="Times New Roman" w:hAnsi="Times New Roman" w:cs="Times New Roman"/>
          <w:color w:val="auto"/>
          <w:sz w:val="24"/>
          <w:szCs w:val="24"/>
          <w:highlight w:val="none"/>
          <w:lang w:eastAsia="zh-CN"/>
        </w:rPr>
        <w:t>。</w:t>
      </w:r>
    </w:p>
    <w:p w14:paraId="42440879">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rPr>
        <w:t>本次调查所有送检土壤样品</w:t>
      </w:r>
      <w:r>
        <w:rPr>
          <w:rFonts w:hint="default" w:ascii="Times New Roman" w:hAnsi="Times New Roman" w:cs="Times New Roman"/>
          <w:color w:val="auto"/>
          <w:sz w:val="24"/>
          <w:szCs w:val="24"/>
          <w:highlight w:val="none"/>
          <w:lang w:val="en-US" w:eastAsia="zh-CN"/>
        </w:rPr>
        <w:t>总氟化物</w:t>
      </w:r>
      <w:r>
        <w:rPr>
          <w:rFonts w:hint="default" w:ascii="Times New Roman" w:hAnsi="Times New Roman" w:cs="Times New Roman"/>
          <w:color w:val="auto"/>
          <w:sz w:val="24"/>
          <w:szCs w:val="24"/>
          <w:highlight w:val="none"/>
        </w:rPr>
        <w:t>检测值均低于</w:t>
      </w:r>
      <w:r>
        <w:rPr>
          <w:rFonts w:hint="default" w:ascii="Times New Roman" w:hAnsi="Times New Roman" w:cs="Times New Roman"/>
          <w:color w:val="auto"/>
          <w:sz w:val="24"/>
          <w:szCs w:val="24"/>
          <w:highlight w:val="none"/>
          <w:lang w:eastAsia="zh-CN"/>
        </w:rPr>
        <w:t>对应的</w:t>
      </w:r>
      <w:r>
        <w:rPr>
          <w:rFonts w:hint="default" w:ascii="Times New Roman" w:hAnsi="Times New Roman" w:cs="Times New Roman"/>
          <w:color w:val="auto"/>
          <w:sz w:val="24"/>
          <w:szCs w:val="24"/>
          <w:highlight w:val="none"/>
          <w:lang w:val="en-US" w:eastAsia="zh-CN"/>
        </w:rPr>
        <w:t>参考标准值，各点位总氟化物监测结果达标</w:t>
      </w:r>
      <w:r>
        <w:rPr>
          <w:rFonts w:hint="default" w:ascii="Times New Roman" w:hAnsi="Times New Roman" w:cs="Times New Roman"/>
          <w:color w:val="auto"/>
          <w:sz w:val="24"/>
          <w:highlight w:val="none"/>
          <w:lang w:val="en-US" w:eastAsia="zh-CN"/>
        </w:rPr>
        <w:t>。</w:t>
      </w:r>
    </w:p>
    <w:p w14:paraId="7365A726">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rPr>
        <w:t>-</w:t>
      </w:r>
      <w:r>
        <w:rPr>
          <w:rFonts w:hint="default" w:ascii="Times New Roman" w:hAnsi="Times New Roman" w:eastAsia="黑体" w:cs="Times New Roman"/>
          <w:b/>
          <w:bCs/>
          <w:color w:val="auto"/>
          <w:sz w:val="24"/>
          <w:highlight w:val="none"/>
          <w:lang w:val="en-US" w:eastAsia="zh-CN"/>
        </w:rPr>
        <w:t>2</w:t>
      </w:r>
      <w:r>
        <w:rPr>
          <w:rFonts w:hint="default" w:ascii="Times New Roman" w:hAnsi="Times New Roman" w:eastAsia="黑体" w:cs="Times New Roman"/>
          <w:b/>
          <w:bCs/>
          <w:color w:val="auto"/>
          <w:sz w:val="24"/>
          <w:highlight w:val="none"/>
        </w:rPr>
        <w:t xml:space="preserve"> 土壤样</w:t>
      </w:r>
      <w:r>
        <w:rPr>
          <w:rFonts w:hint="default" w:ascii="Times New Roman" w:hAnsi="Times New Roman" w:eastAsia="黑体" w:cs="Times New Roman"/>
          <w:b/>
          <w:bCs/>
          <w:color w:val="auto"/>
          <w:sz w:val="24"/>
          <w:highlight w:val="none"/>
          <w:lang w:eastAsia="zh-CN"/>
        </w:rPr>
        <w:t>品总氟化物监测值</w:t>
      </w:r>
      <w:r>
        <w:rPr>
          <w:rFonts w:hint="default" w:ascii="Times New Roman" w:hAnsi="Times New Roman" w:eastAsia="黑体" w:cs="Times New Roman"/>
          <w:b/>
          <w:bCs/>
          <w:color w:val="auto"/>
          <w:sz w:val="24"/>
          <w:highlight w:val="none"/>
        </w:rPr>
        <w:t>（单位：mg/kg）</w:t>
      </w:r>
    </w:p>
    <w:tbl>
      <w:tblPr>
        <w:tblStyle w:val="21"/>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908"/>
        <w:gridCol w:w="2581"/>
        <w:gridCol w:w="2664"/>
        <w:gridCol w:w="2594"/>
        <w:gridCol w:w="916"/>
      </w:tblGrid>
      <w:tr w14:paraId="5E6FD4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70" w:type="pct"/>
            <w:tcBorders>
              <w:bottom w:val="single" w:color="000000" w:sz="12" w:space="0"/>
            </w:tcBorders>
            <w:shd w:val="clear" w:color="auto" w:fill="auto"/>
            <w:noWrap/>
            <w:tcMar>
              <w:top w:w="15" w:type="dxa"/>
              <w:left w:w="15" w:type="dxa"/>
              <w:right w:w="15" w:type="dxa"/>
            </w:tcMar>
            <w:vAlign w:val="center"/>
          </w:tcPr>
          <w:p w14:paraId="5C0FFC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335" w:type="pct"/>
            <w:tcBorders>
              <w:bottom w:val="single" w:color="000000" w:sz="12" w:space="0"/>
            </w:tcBorders>
            <w:shd w:val="clear" w:color="auto" w:fill="auto"/>
            <w:noWrap/>
            <w:tcMar>
              <w:top w:w="15" w:type="dxa"/>
              <w:left w:w="15" w:type="dxa"/>
              <w:right w:w="15" w:type="dxa"/>
            </w:tcMar>
            <w:vAlign w:val="center"/>
          </w:tcPr>
          <w:p w14:paraId="401884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1378" w:type="pct"/>
            <w:tcBorders>
              <w:bottom w:val="single" w:color="000000" w:sz="12" w:space="0"/>
            </w:tcBorders>
            <w:shd w:val="clear" w:color="auto" w:fill="auto"/>
            <w:noWrap/>
            <w:tcMar>
              <w:top w:w="15" w:type="dxa"/>
              <w:left w:w="15" w:type="dxa"/>
              <w:right w:w="15" w:type="dxa"/>
            </w:tcMar>
            <w:vAlign w:val="center"/>
          </w:tcPr>
          <w:p w14:paraId="6943F6A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点位位置</w:t>
            </w:r>
          </w:p>
        </w:tc>
        <w:tc>
          <w:tcPr>
            <w:tcW w:w="1341" w:type="pct"/>
            <w:tcBorders>
              <w:bottom w:val="single" w:color="000000" w:sz="12" w:space="0"/>
            </w:tcBorders>
            <w:shd w:val="clear" w:color="auto" w:fill="auto"/>
            <w:noWrap/>
            <w:tcMar>
              <w:top w:w="15" w:type="dxa"/>
              <w:left w:w="15" w:type="dxa"/>
              <w:right w:w="15" w:type="dxa"/>
            </w:tcMar>
            <w:vAlign w:val="center"/>
          </w:tcPr>
          <w:p w14:paraId="4B1206D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参考标准</w:t>
            </w:r>
            <w:r>
              <w:rPr>
                <w:rFonts w:hint="default" w:ascii="Times New Roman" w:hAnsi="Times New Roman" w:cs="Times New Roman"/>
                <w:b/>
                <w:i w:val="0"/>
                <w:color w:val="auto"/>
                <w:kern w:val="0"/>
                <w:sz w:val="21"/>
                <w:szCs w:val="21"/>
                <w:highlight w:val="none"/>
                <w:u w:val="none"/>
                <w:vertAlign w:val="superscript"/>
                <w:lang w:val="en-US" w:eastAsia="zh-CN" w:bidi="ar"/>
              </w:rPr>
              <w:t>①</w:t>
            </w:r>
          </w:p>
        </w:tc>
        <w:tc>
          <w:tcPr>
            <w:tcW w:w="474" w:type="pct"/>
            <w:tcBorders>
              <w:bottom w:val="single" w:color="000000" w:sz="12" w:space="0"/>
            </w:tcBorders>
            <w:shd w:val="clear" w:color="auto" w:fill="auto"/>
            <w:noWrap/>
            <w:tcMar>
              <w:top w:w="15" w:type="dxa"/>
              <w:left w:w="15" w:type="dxa"/>
              <w:right w:w="15" w:type="dxa"/>
            </w:tcMar>
            <w:vAlign w:val="center"/>
          </w:tcPr>
          <w:p w14:paraId="064E76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cs="Times New Roman"/>
                <w:b/>
                <w:i w:val="0"/>
                <w:color w:val="auto"/>
                <w:kern w:val="0"/>
                <w:sz w:val="21"/>
                <w:szCs w:val="21"/>
                <w:highlight w:val="none"/>
                <w:u w:val="none"/>
                <w:lang w:val="en-US" w:eastAsia="zh-CN" w:bidi="ar"/>
              </w:rPr>
              <w:t>总氟化物</w:t>
            </w:r>
          </w:p>
        </w:tc>
      </w:tr>
      <w:tr w14:paraId="61BFFB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70" w:type="pct"/>
            <w:tcBorders>
              <w:top w:val="single" w:color="000000" w:sz="12" w:space="0"/>
              <w:tl2br w:val="nil"/>
              <w:tr2bl w:val="nil"/>
            </w:tcBorders>
            <w:shd w:val="clear" w:color="auto" w:fill="auto"/>
            <w:noWrap/>
            <w:tcMar>
              <w:top w:w="15" w:type="dxa"/>
              <w:left w:w="15" w:type="dxa"/>
              <w:right w:w="15" w:type="dxa"/>
            </w:tcMar>
            <w:vAlign w:val="center"/>
          </w:tcPr>
          <w:p w14:paraId="7032C0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335" w:type="pct"/>
            <w:tcBorders>
              <w:top w:val="single" w:color="000000" w:sz="12" w:space="0"/>
              <w:tl2br w:val="nil"/>
              <w:tr2bl w:val="nil"/>
            </w:tcBorders>
            <w:shd w:val="clear" w:color="auto" w:fill="auto"/>
            <w:noWrap/>
            <w:tcMar>
              <w:top w:w="15" w:type="dxa"/>
              <w:left w:w="15" w:type="dxa"/>
              <w:right w:w="15" w:type="dxa"/>
            </w:tcMar>
            <w:vAlign w:val="center"/>
          </w:tcPr>
          <w:p w14:paraId="7765BD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1378" w:type="pct"/>
            <w:tcBorders>
              <w:top w:val="single" w:color="000000" w:sz="12" w:space="0"/>
              <w:tl2br w:val="nil"/>
              <w:tr2bl w:val="nil"/>
            </w:tcBorders>
            <w:shd w:val="clear" w:color="auto" w:fill="auto"/>
            <w:noWrap/>
            <w:tcMar>
              <w:top w:w="15" w:type="dxa"/>
              <w:left w:w="15" w:type="dxa"/>
              <w:right w:w="15" w:type="dxa"/>
            </w:tcMar>
            <w:vAlign w:val="center"/>
          </w:tcPr>
          <w:p w14:paraId="48A1DAD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园区边界西侧下风向75m</w:t>
            </w:r>
          </w:p>
        </w:tc>
        <w:tc>
          <w:tcPr>
            <w:tcW w:w="1341" w:type="pct"/>
            <w:tcBorders>
              <w:top w:val="single" w:color="000000" w:sz="12" w:space="0"/>
              <w:tl2br w:val="nil"/>
              <w:tr2bl w:val="nil"/>
            </w:tcBorders>
            <w:shd w:val="clear" w:color="auto" w:fill="auto"/>
            <w:noWrap/>
            <w:tcMar>
              <w:top w:w="15" w:type="dxa"/>
              <w:left w:w="15" w:type="dxa"/>
              <w:right w:w="15" w:type="dxa"/>
            </w:tcMar>
            <w:vAlign w:val="center"/>
          </w:tcPr>
          <w:p w14:paraId="133354E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op w:val="single" w:color="000000" w:sz="12" w:space="0"/>
              <w:tl2br w:val="nil"/>
              <w:tr2bl w:val="nil"/>
            </w:tcBorders>
            <w:shd w:val="clear" w:color="auto" w:fill="auto"/>
            <w:noWrap/>
            <w:tcMar>
              <w:top w:w="15" w:type="dxa"/>
              <w:left w:w="15" w:type="dxa"/>
              <w:right w:w="15" w:type="dxa"/>
            </w:tcMar>
            <w:vAlign w:val="center"/>
          </w:tcPr>
          <w:p w14:paraId="51CEAF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485</w:t>
            </w:r>
          </w:p>
        </w:tc>
      </w:tr>
      <w:tr w14:paraId="7676C7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5E1B2E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335" w:type="pct"/>
            <w:tcBorders>
              <w:tl2br w:val="nil"/>
              <w:tr2bl w:val="nil"/>
            </w:tcBorders>
            <w:shd w:val="clear" w:color="auto" w:fill="auto"/>
            <w:noWrap/>
            <w:tcMar>
              <w:top w:w="15" w:type="dxa"/>
              <w:left w:w="15" w:type="dxa"/>
              <w:right w:w="15" w:type="dxa"/>
            </w:tcMar>
            <w:vAlign w:val="center"/>
          </w:tcPr>
          <w:p w14:paraId="1EAB82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1378" w:type="pct"/>
            <w:tcBorders>
              <w:tl2br w:val="nil"/>
              <w:tr2bl w:val="nil"/>
            </w:tcBorders>
            <w:shd w:val="clear" w:color="auto" w:fill="auto"/>
            <w:noWrap/>
            <w:tcMar>
              <w:top w:w="15" w:type="dxa"/>
              <w:left w:w="15" w:type="dxa"/>
              <w:right w:w="15" w:type="dxa"/>
            </w:tcMar>
            <w:vAlign w:val="center"/>
          </w:tcPr>
          <w:p w14:paraId="7F418BF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园区边界西侧下风向200m</w:t>
            </w:r>
          </w:p>
        </w:tc>
        <w:tc>
          <w:tcPr>
            <w:tcW w:w="1341" w:type="pct"/>
            <w:tcBorders>
              <w:tl2br w:val="nil"/>
              <w:tr2bl w:val="nil"/>
            </w:tcBorders>
            <w:shd w:val="clear" w:color="auto" w:fill="auto"/>
            <w:noWrap/>
            <w:tcMar>
              <w:top w:w="15" w:type="dxa"/>
              <w:left w:w="15" w:type="dxa"/>
              <w:right w:w="15" w:type="dxa"/>
            </w:tcMar>
            <w:vAlign w:val="center"/>
          </w:tcPr>
          <w:p w14:paraId="076EBFC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第一类用地筛选值</w:t>
            </w:r>
          </w:p>
        </w:tc>
        <w:tc>
          <w:tcPr>
            <w:tcW w:w="474" w:type="pct"/>
            <w:tcBorders>
              <w:tl2br w:val="nil"/>
              <w:tr2bl w:val="nil"/>
            </w:tcBorders>
            <w:shd w:val="clear" w:color="auto" w:fill="auto"/>
            <w:noWrap/>
            <w:tcMar>
              <w:top w:w="15" w:type="dxa"/>
              <w:left w:w="15" w:type="dxa"/>
              <w:right w:w="15" w:type="dxa"/>
            </w:tcMar>
            <w:vAlign w:val="center"/>
          </w:tcPr>
          <w:p w14:paraId="22EEF2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448</w:t>
            </w:r>
          </w:p>
        </w:tc>
      </w:tr>
      <w:tr w14:paraId="704F20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6B0EAB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335" w:type="pct"/>
            <w:tcBorders>
              <w:tl2br w:val="nil"/>
              <w:tr2bl w:val="nil"/>
            </w:tcBorders>
            <w:shd w:val="clear" w:color="auto" w:fill="auto"/>
            <w:noWrap/>
            <w:tcMar>
              <w:top w:w="15" w:type="dxa"/>
              <w:left w:w="15" w:type="dxa"/>
              <w:right w:w="15" w:type="dxa"/>
            </w:tcMar>
            <w:vAlign w:val="center"/>
          </w:tcPr>
          <w:p w14:paraId="3C41DC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1378" w:type="pct"/>
            <w:tcBorders>
              <w:tl2br w:val="nil"/>
              <w:tr2bl w:val="nil"/>
            </w:tcBorders>
            <w:shd w:val="clear" w:color="auto" w:fill="auto"/>
            <w:noWrap/>
            <w:tcMar>
              <w:top w:w="15" w:type="dxa"/>
              <w:left w:w="15" w:type="dxa"/>
              <w:right w:w="15" w:type="dxa"/>
            </w:tcMar>
            <w:vAlign w:val="center"/>
          </w:tcPr>
          <w:p w14:paraId="49F951A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1341" w:type="pct"/>
            <w:tcBorders>
              <w:tl2br w:val="nil"/>
              <w:tr2bl w:val="nil"/>
            </w:tcBorders>
            <w:shd w:val="clear" w:color="auto" w:fill="auto"/>
            <w:noWrap/>
            <w:tcMar>
              <w:top w:w="15" w:type="dxa"/>
              <w:left w:w="15" w:type="dxa"/>
              <w:right w:w="15" w:type="dxa"/>
            </w:tcMar>
            <w:vAlign w:val="center"/>
          </w:tcPr>
          <w:p w14:paraId="1C412D2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2C8768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599</w:t>
            </w:r>
          </w:p>
        </w:tc>
      </w:tr>
      <w:tr w14:paraId="43FF9C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22FF59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335" w:type="pct"/>
            <w:tcBorders>
              <w:tl2br w:val="nil"/>
              <w:tr2bl w:val="nil"/>
            </w:tcBorders>
            <w:shd w:val="clear" w:color="auto" w:fill="auto"/>
            <w:noWrap/>
            <w:tcMar>
              <w:top w:w="15" w:type="dxa"/>
              <w:left w:w="15" w:type="dxa"/>
              <w:right w:w="15" w:type="dxa"/>
            </w:tcMar>
            <w:vAlign w:val="center"/>
          </w:tcPr>
          <w:p w14:paraId="1A2561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1378" w:type="pct"/>
            <w:tcBorders>
              <w:tl2br w:val="nil"/>
              <w:tr2bl w:val="nil"/>
            </w:tcBorders>
            <w:shd w:val="clear" w:color="auto" w:fill="auto"/>
            <w:noWrap/>
            <w:tcMar>
              <w:top w:w="15" w:type="dxa"/>
              <w:left w:w="15" w:type="dxa"/>
              <w:right w:w="15" w:type="dxa"/>
            </w:tcMar>
            <w:vAlign w:val="center"/>
          </w:tcPr>
          <w:p w14:paraId="25262E5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1341" w:type="pct"/>
            <w:tcBorders>
              <w:tl2br w:val="nil"/>
              <w:tr2bl w:val="nil"/>
            </w:tcBorders>
            <w:shd w:val="clear" w:color="auto" w:fill="auto"/>
            <w:noWrap/>
            <w:tcMar>
              <w:top w:w="15" w:type="dxa"/>
              <w:left w:w="15" w:type="dxa"/>
              <w:right w:w="15" w:type="dxa"/>
            </w:tcMar>
            <w:vAlign w:val="center"/>
          </w:tcPr>
          <w:p w14:paraId="4091EE4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2FE92D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524</w:t>
            </w:r>
          </w:p>
        </w:tc>
      </w:tr>
      <w:tr w14:paraId="111E03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03DBC6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335" w:type="pct"/>
            <w:tcBorders>
              <w:tl2br w:val="nil"/>
              <w:tr2bl w:val="nil"/>
            </w:tcBorders>
            <w:shd w:val="clear" w:color="auto" w:fill="auto"/>
            <w:noWrap/>
            <w:tcMar>
              <w:top w:w="15" w:type="dxa"/>
              <w:left w:w="15" w:type="dxa"/>
              <w:right w:w="15" w:type="dxa"/>
            </w:tcMar>
            <w:vAlign w:val="center"/>
          </w:tcPr>
          <w:p w14:paraId="277B31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1378" w:type="pct"/>
            <w:tcBorders>
              <w:tl2br w:val="nil"/>
              <w:tr2bl w:val="nil"/>
            </w:tcBorders>
            <w:shd w:val="clear" w:color="auto" w:fill="auto"/>
            <w:noWrap/>
            <w:tcMar>
              <w:top w:w="15" w:type="dxa"/>
              <w:left w:w="15" w:type="dxa"/>
              <w:right w:w="15" w:type="dxa"/>
            </w:tcMar>
            <w:vAlign w:val="center"/>
          </w:tcPr>
          <w:p w14:paraId="0C81F65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1341" w:type="pct"/>
            <w:tcBorders>
              <w:tl2br w:val="nil"/>
              <w:tr2bl w:val="nil"/>
            </w:tcBorders>
            <w:shd w:val="clear" w:color="auto" w:fill="auto"/>
            <w:noWrap/>
            <w:tcMar>
              <w:top w:w="15" w:type="dxa"/>
              <w:left w:w="15" w:type="dxa"/>
              <w:right w:w="15" w:type="dxa"/>
            </w:tcMar>
            <w:vAlign w:val="center"/>
          </w:tcPr>
          <w:p w14:paraId="4B9F464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7A5FC2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605</w:t>
            </w:r>
          </w:p>
        </w:tc>
      </w:tr>
      <w:tr w14:paraId="72D52F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2CF518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335" w:type="pct"/>
            <w:tcBorders>
              <w:tl2br w:val="nil"/>
              <w:tr2bl w:val="nil"/>
            </w:tcBorders>
            <w:shd w:val="clear" w:color="auto" w:fill="auto"/>
            <w:noWrap/>
            <w:tcMar>
              <w:top w:w="15" w:type="dxa"/>
              <w:left w:w="15" w:type="dxa"/>
              <w:right w:w="15" w:type="dxa"/>
            </w:tcMar>
            <w:vAlign w:val="center"/>
          </w:tcPr>
          <w:p w14:paraId="152D1A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1378" w:type="pct"/>
            <w:tcBorders>
              <w:tl2br w:val="nil"/>
              <w:tr2bl w:val="nil"/>
            </w:tcBorders>
            <w:shd w:val="clear" w:color="auto" w:fill="auto"/>
            <w:noWrap/>
            <w:tcMar>
              <w:top w:w="15" w:type="dxa"/>
              <w:left w:w="15" w:type="dxa"/>
              <w:right w:w="15" w:type="dxa"/>
            </w:tcMar>
            <w:vAlign w:val="center"/>
          </w:tcPr>
          <w:p w14:paraId="5C1E9AA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园区边界东侧上风向</w:t>
            </w:r>
            <w:r>
              <w:rPr>
                <w:rStyle w:val="69"/>
                <w:rFonts w:hint="default" w:ascii="Times New Roman" w:hAnsi="Times New Roman" w:cs="Times New Roman"/>
                <w:color w:val="auto"/>
                <w:sz w:val="21"/>
                <w:szCs w:val="21"/>
                <w:highlight w:val="none"/>
                <w:lang w:val="en-US" w:eastAsia="zh-CN" w:bidi="ar"/>
              </w:rPr>
              <w:t>800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1341" w:type="pct"/>
            <w:tcBorders>
              <w:tl2br w:val="nil"/>
              <w:tr2bl w:val="nil"/>
            </w:tcBorders>
            <w:shd w:val="clear" w:color="auto" w:fill="auto"/>
            <w:noWrap/>
            <w:tcMar>
              <w:top w:w="15" w:type="dxa"/>
              <w:left w:w="15" w:type="dxa"/>
              <w:right w:w="15" w:type="dxa"/>
            </w:tcMar>
            <w:vAlign w:val="center"/>
          </w:tcPr>
          <w:p w14:paraId="2A7F755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7292F6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544</w:t>
            </w:r>
          </w:p>
        </w:tc>
      </w:tr>
      <w:tr w14:paraId="312340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7A4056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335" w:type="pct"/>
            <w:tcBorders>
              <w:tl2br w:val="nil"/>
              <w:tr2bl w:val="nil"/>
            </w:tcBorders>
            <w:shd w:val="clear" w:color="auto" w:fill="auto"/>
            <w:noWrap/>
            <w:tcMar>
              <w:top w:w="15" w:type="dxa"/>
              <w:left w:w="15" w:type="dxa"/>
              <w:right w:w="15" w:type="dxa"/>
            </w:tcMar>
            <w:vAlign w:val="center"/>
          </w:tcPr>
          <w:p w14:paraId="711E8D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1378" w:type="pct"/>
            <w:tcBorders>
              <w:tl2br w:val="nil"/>
              <w:tr2bl w:val="nil"/>
            </w:tcBorders>
            <w:shd w:val="clear" w:color="auto" w:fill="auto"/>
            <w:noWrap/>
            <w:tcMar>
              <w:top w:w="15" w:type="dxa"/>
              <w:left w:w="15" w:type="dxa"/>
              <w:right w:w="15" w:type="dxa"/>
            </w:tcMar>
            <w:vAlign w:val="center"/>
          </w:tcPr>
          <w:p w14:paraId="143C5B3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园区边界北侧上风向</w:t>
            </w:r>
            <w:r>
              <w:rPr>
                <w:rStyle w:val="69"/>
                <w:rFonts w:hint="default" w:ascii="Times New Roman" w:hAnsi="Times New Roman" w:cs="Times New Roman"/>
                <w:color w:val="auto"/>
                <w:sz w:val="21"/>
                <w:szCs w:val="21"/>
                <w:highlight w:val="none"/>
                <w:lang w:val="en-US" w:eastAsia="zh-CN" w:bidi="ar"/>
              </w:rPr>
              <w:t>750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1341" w:type="pct"/>
            <w:tcBorders>
              <w:tl2br w:val="nil"/>
              <w:tr2bl w:val="nil"/>
            </w:tcBorders>
            <w:shd w:val="clear" w:color="auto" w:fill="auto"/>
            <w:noWrap/>
            <w:tcMar>
              <w:top w:w="15" w:type="dxa"/>
              <w:left w:w="15" w:type="dxa"/>
              <w:right w:w="15" w:type="dxa"/>
            </w:tcMar>
            <w:vAlign w:val="center"/>
          </w:tcPr>
          <w:p w14:paraId="59DE7AB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2DFC21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582</w:t>
            </w:r>
          </w:p>
        </w:tc>
      </w:tr>
      <w:tr w14:paraId="5F4171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1CE717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335" w:type="pct"/>
            <w:tcBorders>
              <w:tl2br w:val="nil"/>
              <w:tr2bl w:val="nil"/>
            </w:tcBorders>
            <w:shd w:val="clear" w:color="auto" w:fill="auto"/>
            <w:noWrap/>
            <w:tcMar>
              <w:top w:w="15" w:type="dxa"/>
              <w:left w:w="15" w:type="dxa"/>
              <w:right w:w="15" w:type="dxa"/>
            </w:tcMar>
            <w:vAlign w:val="center"/>
          </w:tcPr>
          <w:p w14:paraId="68AEF3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1378" w:type="pct"/>
            <w:tcBorders>
              <w:tl2br w:val="nil"/>
              <w:tr2bl w:val="nil"/>
            </w:tcBorders>
            <w:shd w:val="clear" w:color="auto" w:fill="auto"/>
            <w:noWrap/>
            <w:tcMar>
              <w:top w:w="15" w:type="dxa"/>
              <w:left w:w="15" w:type="dxa"/>
              <w:right w:w="15" w:type="dxa"/>
            </w:tcMar>
            <w:vAlign w:val="center"/>
          </w:tcPr>
          <w:p w14:paraId="1AF3E56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41" w:type="pct"/>
            <w:tcBorders>
              <w:tl2br w:val="nil"/>
              <w:tr2bl w:val="nil"/>
            </w:tcBorders>
            <w:shd w:val="clear" w:color="auto" w:fill="auto"/>
            <w:noWrap/>
            <w:tcMar>
              <w:top w:w="15" w:type="dxa"/>
              <w:left w:w="15" w:type="dxa"/>
              <w:right w:w="15" w:type="dxa"/>
            </w:tcMar>
            <w:vAlign w:val="center"/>
          </w:tcPr>
          <w:p w14:paraId="634639F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61B8A5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570</w:t>
            </w:r>
          </w:p>
        </w:tc>
      </w:tr>
      <w:tr w14:paraId="1BE282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10379C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335" w:type="pct"/>
            <w:tcBorders>
              <w:tl2br w:val="nil"/>
              <w:tr2bl w:val="nil"/>
            </w:tcBorders>
            <w:shd w:val="clear" w:color="auto" w:fill="auto"/>
            <w:noWrap/>
            <w:tcMar>
              <w:top w:w="15" w:type="dxa"/>
              <w:left w:w="15" w:type="dxa"/>
              <w:right w:w="15" w:type="dxa"/>
            </w:tcMar>
            <w:vAlign w:val="center"/>
          </w:tcPr>
          <w:p w14:paraId="0C73BD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1378" w:type="pct"/>
            <w:tcBorders>
              <w:tl2br w:val="nil"/>
              <w:tr2bl w:val="nil"/>
            </w:tcBorders>
            <w:shd w:val="clear" w:color="auto" w:fill="auto"/>
            <w:noWrap/>
            <w:tcMar>
              <w:top w:w="15" w:type="dxa"/>
              <w:left w:w="15" w:type="dxa"/>
              <w:right w:w="15" w:type="dxa"/>
            </w:tcMar>
            <w:vAlign w:val="center"/>
          </w:tcPr>
          <w:p w14:paraId="69D9F2F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41" w:type="pct"/>
            <w:tcBorders>
              <w:tl2br w:val="nil"/>
              <w:tr2bl w:val="nil"/>
            </w:tcBorders>
            <w:shd w:val="clear" w:color="auto" w:fill="auto"/>
            <w:noWrap/>
            <w:tcMar>
              <w:top w:w="15" w:type="dxa"/>
              <w:left w:w="15" w:type="dxa"/>
              <w:right w:w="15" w:type="dxa"/>
            </w:tcMar>
            <w:vAlign w:val="center"/>
          </w:tcPr>
          <w:p w14:paraId="54D0880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第一类用地筛选值</w:t>
            </w:r>
          </w:p>
        </w:tc>
        <w:tc>
          <w:tcPr>
            <w:tcW w:w="474" w:type="pct"/>
            <w:tcBorders>
              <w:tl2br w:val="nil"/>
              <w:tr2bl w:val="nil"/>
            </w:tcBorders>
            <w:shd w:val="clear" w:color="auto" w:fill="auto"/>
            <w:noWrap/>
            <w:tcMar>
              <w:top w:w="15" w:type="dxa"/>
              <w:left w:w="15" w:type="dxa"/>
              <w:right w:w="15" w:type="dxa"/>
            </w:tcMar>
            <w:vAlign w:val="center"/>
          </w:tcPr>
          <w:p w14:paraId="558339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532</w:t>
            </w:r>
          </w:p>
        </w:tc>
      </w:tr>
      <w:tr w14:paraId="4F2F4B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654ACA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335" w:type="pct"/>
            <w:tcBorders>
              <w:tl2br w:val="nil"/>
              <w:tr2bl w:val="nil"/>
            </w:tcBorders>
            <w:shd w:val="clear" w:color="auto" w:fill="auto"/>
            <w:noWrap/>
            <w:tcMar>
              <w:top w:w="15" w:type="dxa"/>
              <w:left w:w="15" w:type="dxa"/>
              <w:right w:w="15" w:type="dxa"/>
            </w:tcMar>
            <w:vAlign w:val="center"/>
          </w:tcPr>
          <w:p w14:paraId="0F3227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1378" w:type="pct"/>
            <w:tcBorders>
              <w:tl2br w:val="nil"/>
              <w:tr2bl w:val="nil"/>
            </w:tcBorders>
            <w:shd w:val="clear" w:color="auto" w:fill="auto"/>
            <w:noWrap/>
            <w:tcMar>
              <w:top w:w="15" w:type="dxa"/>
              <w:left w:w="15" w:type="dxa"/>
              <w:right w:w="15" w:type="dxa"/>
            </w:tcMar>
            <w:vAlign w:val="center"/>
          </w:tcPr>
          <w:p w14:paraId="66AA513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1341" w:type="pct"/>
            <w:tcBorders>
              <w:tl2br w:val="nil"/>
              <w:tr2bl w:val="nil"/>
            </w:tcBorders>
            <w:shd w:val="clear" w:color="auto" w:fill="auto"/>
            <w:noWrap/>
            <w:tcMar>
              <w:top w:w="15" w:type="dxa"/>
              <w:left w:w="15" w:type="dxa"/>
              <w:right w:w="15" w:type="dxa"/>
            </w:tcMar>
            <w:vAlign w:val="center"/>
          </w:tcPr>
          <w:p w14:paraId="7226020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58F835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574</w:t>
            </w:r>
          </w:p>
        </w:tc>
      </w:tr>
      <w:tr w14:paraId="70F484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2B9F59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335" w:type="pct"/>
            <w:tcBorders>
              <w:tl2br w:val="nil"/>
              <w:tr2bl w:val="nil"/>
            </w:tcBorders>
            <w:shd w:val="clear" w:color="auto" w:fill="auto"/>
            <w:noWrap/>
            <w:tcMar>
              <w:top w:w="15" w:type="dxa"/>
              <w:left w:w="15" w:type="dxa"/>
              <w:right w:w="15" w:type="dxa"/>
            </w:tcMar>
            <w:vAlign w:val="center"/>
          </w:tcPr>
          <w:p w14:paraId="6CB93B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1378" w:type="pct"/>
            <w:tcBorders>
              <w:tl2br w:val="nil"/>
              <w:tr2bl w:val="nil"/>
            </w:tcBorders>
            <w:shd w:val="clear" w:color="auto" w:fill="auto"/>
            <w:noWrap/>
            <w:tcMar>
              <w:top w:w="15" w:type="dxa"/>
              <w:left w:w="15" w:type="dxa"/>
              <w:right w:w="15" w:type="dxa"/>
            </w:tcMar>
            <w:vAlign w:val="center"/>
          </w:tcPr>
          <w:p w14:paraId="59E812C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1341" w:type="pct"/>
            <w:tcBorders>
              <w:tl2br w:val="nil"/>
              <w:tr2bl w:val="nil"/>
            </w:tcBorders>
            <w:shd w:val="clear" w:color="auto" w:fill="auto"/>
            <w:noWrap/>
            <w:tcMar>
              <w:top w:w="15" w:type="dxa"/>
              <w:left w:w="15" w:type="dxa"/>
              <w:right w:w="15" w:type="dxa"/>
            </w:tcMar>
            <w:vAlign w:val="center"/>
          </w:tcPr>
          <w:p w14:paraId="666C53A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094337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527</w:t>
            </w:r>
          </w:p>
        </w:tc>
      </w:tr>
      <w:tr w14:paraId="18EF3A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633630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335" w:type="pct"/>
            <w:tcBorders>
              <w:tl2br w:val="nil"/>
              <w:tr2bl w:val="nil"/>
            </w:tcBorders>
            <w:shd w:val="clear" w:color="auto" w:fill="auto"/>
            <w:noWrap/>
            <w:tcMar>
              <w:top w:w="15" w:type="dxa"/>
              <w:left w:w="15" w:type="dxa"/>
              <w:right w:w="15" w:type="dxa"/>
            </w:tcMar>
            <w:vAlign w:val="center"/>
          </w:tcPr>
          <w:p w14:paraId="7FC762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1378" w:type="pct"/>
            <w:tcBorders>
              <w:tl2br w:val="nil"/>
              <w:tr2bl w:val="nil"/>
            </w:tcBorders>
            <w:shd w:val="clear" w:color="auto" w:fill="auto"/>
            <w:noWrap/>
            <w:tcMar>
              <w:top w:w="15" w:type="dxa"/>
              <w:left w:w="15" w:type="dxa"/>
              <w:right w:w="15" w:type="dxa"/>
            </w:tcMar>
            <w:vAlign w:val="center"/>
          </w:tcPr>
          <w:p w14:paraId="4C98509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1341" w:type="pct"/>
            <w:tcBorders>
              <w:tl2br w:val="nil"/>
              <w:tr2bl w:val="nil"/>
            </w:tcBorders>
            <w:shd w:val="clear" w:color="auto" w:fill="auto"/>
            <w:noWrap/>
            <w:tcMar>
              <w:top w:w="15" w:type="dxa"/>
              <w:left w:w="15" w:type="dxa"/>
              <w:right w:w="15" w:type="dxa"/>
            </w:tcMar>
            <w:vAlign w:val="center"/>
          </w:tcPr>
          <w:p w14:paraId="367055F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53DD9D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508</w:t>
            </w:r>
          </w:p>
        </w:tc>
      </w:tr>
      <w:tr w14:paraId="507968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623476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335" w:type="pct"/>
            <w:tcBorders>
              <w:tl2br w:val="nil"/>
              <w:tr2bl w:val="nil"/>
            </w:tcBorders>
            <w:shd w:val="clear" w:color="auto" w:fill="auto"/>
            <w:noWrap/>
            <w:tcMar>
              <w:top w:w="15" w:type="dxa"/>
              <w:left w:w="15" w:type="dxa"/>
              <w:right w:w="15" w:type="dxa"/>
            </w:tcMar>
            <w:vAlign w:val="center"/>
          </w:tcPr>
          <w:p w14:paraId="002054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1378" w:type="pct"/>
            <w:tcBorders>
              <w:tl2br w:val="nil"/>
              <w:tr2bl w:val="nil"/>
            </w:tcBorders>
            <w:shd w:val="clear" w:color="auto" w:fill="auto"/>
            <w:noWrap/>
            <w:tcMar>
              <w:top w:w="15" w:type="dxa"/>
              <w:left w:w="15" w:type="dxa"/>
              <w:right w:w="15" w:type="dxa"/>
            </w:tcMar>
            <w:vAlign w:val="center"/>
          </w:tcPr>
          <w:p w14:paraId="3D05796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1341" w:type="pct"/>
            <w:tcBorders>
              <w:tl2br w:val="nil"/>
              <w:tr2bl w:val="nil"/>
            </w:tcBorders>
            <w:shd w:val="clear" w:color="auto" w:fill="auto"/>
            <w:noWrap/>
            <w:tcMar>
              <w:top w:w="15" w:type="dxa"/>
              <w:left w:w="15" w:type="dxa"/>
              <w:right w:w="15" w:type="dxa"/>
            </w:tcMar>
            <w:vAlign w:val="center"/>
          </w:tcPr>
          <w:p w14:paraId="02FFBE1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39D811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596</w:t>
            </w:r>
          </w:p>
        </w:tc>
      </w:tr>
      <w:tr w14:paraId="6DAC8F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57AFE8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335" w:type="pct"/>
            <w:tcBorders>
              <w:tl2br w:val="nil"/>
              <w:tr2bl w:val="nil"/>
            </w:tcBorders>
            <w:shd w:val="clear" w:color="auto" w:fill="auto"/>
            <w:noWrap/>
            <w:tcMar>
              <w:top w:w="15" w:type="dxa"/>
              <w:left w:w="15" w:type="dxa"/>
              <w:right w:w="15" w:type="dxa"/>
            </w:tcMar>
            <w:vAlign w:val="center"/>
          </w:tcPr>
          <w:p w14:paraId="0C61CE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1378" w:type="pct"/>
            <w:tcBorders>
              <w:tl2br w:val="nil"/>
              <w:tr2bl w:val="nil"/>
            </w:tcBorders>
            <w:shd w:val="clear" w:color="auto" w:fill="auto"/>
            <w:noWrap/>
            <w:tcMar>
              <w:top w:w="15" w:type="dxa"/>
              <w:left w:w="15" w:type="dxa"/>
              <w:right w:w="15" w:type="dxa"/>
            </w:tcMar>
            <w:vAlign w:val="center"/>
          </w:tcPr>
          <w:p w14:paraId="58B5AA4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41" w:type="pct"/>
            <w:tcBorders>
              <w:tl2br w:val="nil"/>
              <w:tr2bl w:val="nil"/>
            </w:tcBorders>
            <w:shd w:val="clear" w:color="auto" w:fill="auto"/>
            <w:noWrap/>
            <w:tcMar>
              <w:top w:w="15" w:type="dxa"/>
              <w:left w:w="15" w:type="dxa"/>
              <w:right w:w="15" w:type="dxa"/>
            </w:tcMar>
            <w:vAlign w:val="center"/>
          </w:tcPr>
          <w:p w14:paraId="52A762B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0C2AA0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617</w:t>
            </w:r>
          </w:p>
        </w:tc>
      </w:tr>
      <w:tr w14:paraId="217FAC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50F504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335" w:type="pct"/>
            <w:tcBorders>
              <w:tl2br w:val="nil"/>
              <w:tr2bl w:val="nil"/>
            </w:tcBorders>
            <w:shd w:val="clear" w:color="auto" w:fill="auto"/>
            <w:noWrap/>
            <w:tcMar>
              <w:top w:w="15" w:type="dxa"/>
              <w:left w:w="15" w:type="dxa"/>
              <w:right w:w="15" w:type="dxa"/>
            </w:tcMar>
            <w:vAlign w:val="center"/>
          </w:tcPr>
          <w:p w14:paraId="2CE94B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1378" w:type="pct"/>
            <w:tcBorders>
              <w:tl2br w:val="nil"/>
              <w:tr2bl w:val="nil"/>
            </w:tcBorders>
            <w:shd w:val="clear" w:color="auto" w:fill="auto"/>
            <w:noWrap/>
            <w:tcMar>
              <w:top w:w="15" w:type="dxa"/>
              <w:left w:w="15" w:type="dxa"/>
              <w:right w:w="15" w:type="dxa"/>
            </w:tcMar>
            <w:vAlign w:val="center"/>
          </w:tcPr>
          <w:p w14:paraId="0BB98E5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41" w:type="pct"/>
            <w:tcBorders>
              <w:tl2br w:val="nil"/>
              <w:tr2bl w:val="nil"/>
            </w:tcBorders>
            <w:shd w:val="clear" w:color="auto" w:fill="auto"/>
            <w:noWrap/>
            <w:tcMar>
              <w:top w:w="15" w:type="dxa"/>
              <w:left w:w="15" w:type="dxa"/>
              <w:right w:w="15" w:type="dxa"/>
            </w:tcMar>
            <w:vAlign w:val="center"/>
          </w:tcPr>
          <w:p w14:paraId="02CA1F3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1BADA2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511</w:t>
            </w:r>
          </w:p>
        </w:tc>
      </w:tr>
      <w:tr w14:paraId="329EB3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tcBorders>
              <w:tl2br w:val="nil"/>
              <w:tr2bl w:val="nil"/>
            </w:tcBorders>
            <w:shd w:val="clear" w:color="auto" w:fill="auto"/>
            <w:noWrap/>
            <w:tcMar>
              <w:top w:w="15" w:type="dxa"/>
              <w:left w:w="15" w:type="dxa"/>
              <w:right w:w="15" w:type="dxa"/>
            </w:tcMar>
            <w:vAlign w:val="center"/>
          </w:tcPr>
          <w:p w14:paraId="4673FF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1335" w:type="pct"/>
            <w:tcBorders>
              <w:tl2br w:val="nil"/>
              <w:tr2bl w:val="nil"/>
            </w:tcBorders>
            <w:shd w:val="clear" w:color="auto" w:fill="auto"/>
            <w:noWrap/>
            <w:tcMar>
              <w:top w:w="15" w:type="dxa"/>
              <w:left w:w="15" w:type="dxa"/>
              <w:right w:w="15" w:type="dxa"/>
            </w:tcMar>
            <w:vAlign w:val="center"/>
          </w:tcPr>
          <w:p w14:paraId="493A15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1378" w:type="pct"/>
            <w:tcBorders>
              <w:tl2br w:val="nil"/>
              <w:tr2bl w:val="nil"/>
            </w:tcBorders>
            <w:shd w:val="clear" w:color="auto" w:fill="auto"/>
            <w:noWrap/>
            <w:tcMar>
              <w:top w:w="15" w:type="dxa"/>
              <w:left w:w="15" w:type="dxa"/>
              <w:right w:w="15" w:type="dxa"/>
            </w:tcMar>
            <w:vAlign w:val="center"/>
          </w:tcPr>
          <w:p w14:paraId="1FD6398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1341" w:type="pct"/>
            <w:tcBorders>
              <w:tl2br w:val="nil"/>
              <w:tr2bl w:val="nil"/>
            </w:tcBorders>
            <w:shd w:val="clear" w:color="auto" w:fill="auto"/>
            <w:noWrap/>
            <w:tcMar>
              <w:top w:w="15" w:type="dxa"/>
              <w:left w:w="15" w:type="dxa"/>
              <w:right w:w="15" w:type="dxa"/>
            </w:tcMar>
            <w:vAlign w:val="center"/>
          </w:tcPr>
          <w:p w14:paraId="6EB32A6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474" w:type="pct"/>
            <w:tcBorders>
              <w:tl2br w:val="nil"/>
              <w:tr2bl w:val="nil"/>
            </w:tcBorders>
            <w:shd w:val="clear" w:color="auto" w:fill="auto"/>
            <w:noWrap/>
            <w:tcMar>
              <w:top w:w="15" w:type="dxa"/>
              <w:left w:w="15" w:type="dxa"/>
              <w:right w:w="15" w:type="dxa"/>
            </w:tcMar>
            <w:vAlign w:val="center"/>
          </w:tcPr>
          <w:p w14:paraId="2B1C3C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779</w:t>
            </w:r>
          </w:p>
        </w:tc>
      </w:tr>
      <w:tr w14:paraId="5B7E14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525" w:type="pct"/>
            <w:gridSpan w:val="4"/>
            <w:tcBorders>
              <w:tl2br w:val="nil"/>
              <w:tr2bl w:val="nil"/>
            </w:tcBorders>
            <w:shd w:val="clear" w:color="auto" w:fill="auto"/>
            <w:noWrap/>
            <w:tcMar>
              <w:top w:w="15" w:type="dxa"/>
              <w:left w:w="15" w:type="dxa"/>
              <w:right w:w="15" w:type="dxa"/>
            </w:tcMar>
            <w:vAlign w:val="center"/>
          </w:tcPr>
          <w:p w14:paraId="62FF4B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最大值</w:t>
            </w:r>
          </w:p>
        </w:tc>
        <w:tc>
          <w:tcPr>
            <w:tcW w:w="474" w:type="pct"/>
            <w:tcBorders>
              <w:tl2br w:val="nil"/>
              <w:tr2bl w:val="nil"/>
            </w:tcBorders>
            <w:shd w:val="clear" w:color="auto" w:fill="auto"/>
            <w:noWrap/>
            <w:tcMar>
              <w:top w:w="15" w:type="dxa"/>
              <w:left w:w="15" w:type="dxa"/>
              <w:right w:w="15" w:type="dxa"/>
            </w:tcMar>
            <w:vAlign w:val="center"/>
          </w:tcPr>
          <w:p w14:paraId="5CD1B9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779</w:t>
            </w:r>
          </w:p>
        </w:tc>
      </w:tr>
      <w:tr w14:paraId="3D39EA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525" w:type="pct"/>
            <w:gridSpan w:val="4"/>
            <w:tcBorders>
              <w:tl2br w:val="nil"/>
              <w:tr2bl w:val="nil"/>
            </w:tcBorders>
            <w:shd w:val="clear" w:color="auto" w:fill="auto"/>
            <w:noWrap/>
            <w:tcMar>
              <w:top w:w="15" w:type="dxa"/>
              <w:left w:w="15" w:type="dxa"/>
              <w:right w:w="15" w:type="dxa"/>
            </w:tcMar>
            <w:vAlign w:val="center"/>
          </w:tcPr>
          <w:p w14:paraId="029720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474" w:type="pct"/>
            <w:tcBorders>
              <w:tl2br w:val="nil"/>
              <w:tr2bl w:val="nil"/>
            </w:tcBorders>
            <w:shd w:val="clear" w:color="auto" w:fill="auto"/>
            <w:noWrap/>
            <w:tcMar>
              <w:top w:w="15" w:type="dxa"/>
              <w:left w:w="15" w:type="dxa"/>
              <w:right w:w="15" w:type="dxa"/>
            </w:tcMar>
            <w:vAlign w:val="center"/>
          </w:tcPr>
          <w:p w14:paraId="125D15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448</w:t>
            </w:r>
          </w:p>
        </w:tc>
      </w:tr>
      <w:tr w14:paraId="4FE793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525" w:type="pct"/>
            <w:gridSpan w:val="4"/>
            <w:tcBorders>
              <w:tl2br w:val="nil"/>
              <w:tr2bl w:val="nil"/>
            </w:tcBorders>
            <w:shd w:val="clear" w:color="auto" w:fill="auto"/>
            <w:noWrap/>
            <w:tcMar>
              <w:top w:w="15" w:type="dxa"/>
              <w:left w:w="15" w:type="dxa"/>
              <w:right w:w="15" w:type="dxa"/>
            </w:tcMar>
            <w:vAlign w:val="center"/>
          </w:tcPr>
          <w:p w14:paraId="37F182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474" w:type="pct"/>
            <w:tcBorders>
              <w:tl2br w:val="nil"/>
              <w:tr2bl w:val="nil"/>
            </w:tcBorders>
            <w:shd w:val="clear" w:color="auto" w:fill="auto"/>
            <w:noWrap/>
            <w:tcMar>
              <w:top w:w="15" w:type="dxa"/>
              <w:left w:w="15" w:type="dxa"/>
              <w:right w:w="15" w:type="dxa"/>
            </w:tcMar>
            <w:vAlign w:val="center"/>
          </w:tcPr>
          <w:p w14:paraId="273B22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563</w:t>
            </w:r>
          </w:p>
        </w:tc>
      </w:tr>
      <w:tr w14:paraId="6AB341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525" w:type="pct"/>
            <w:gridSpan w:val="4"/>
            <w:tcBorders>
              <w:tl2br w:val="nil"/>
              <w:tr2bl w:val="nil"/>
            </w:tcBorders>
            <w:shd w:val="clear" w:color="auto" w:fill="auto"/>
            <w:noWrap/>
            <w:tcMar>
              <w:top w:w="15" w:type="dxa"/>
              <w:left w:w="15" w:type="dxa"/>
              <w:right w:w="15" w:type="dxa"/>
            </w:tcMar>
            <w:vAlign w:val="center"/>
          </w:tcPr>
          <w:p w14:paraId="489ED7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检出率</w:t>
            </w:r>
          </w:p>
        </w:tc>
        <w:tc>
          <w:tcPr>
            <w:tcW w:w="474" w:type="pct"/>
            <w:tcBorders>
              <w:tl2br w:val="nil"/>
              <w:tr2bl w:val="nil"/>
            </w:tcBorders>
            <w:shd w:val="clear" w:color="auto" w:fill="auto"/>
            <w:noWrap/>
            <w:tcMar>
              <w:top w:w="15" w:type="dxa"/>
              <w:left w:w="15" w:type="dxa"/>
              <w:right w:w="15" w:type="dxa"/>
            </w:tcMar>
            <w:vAlign w:val="center"/>
          </w:tcPr>
          <w:p w14:paraId="6F41FC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r>
      <w:tr w14:paraId="10389E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vMerge w:val="restart"/>
            <w:tcBorders>
              <w:tl2br w:val="nil"/>
              <w:tr2bl w:val="nil"/>
            </w:tcBorders>
            <w:shd w:val="clear" w:color="auto" w:fill="auto"/>
            <w:noWrap/>
            <w:tcMar>
              <w:top w:w="15" w:type="dxa"/>
              <w:left w:w="15" w:type="dxa"/>
              <w:right w:w="15" w:type="dxa"/>
            </w:tcMar>
            <w:vAlign w:val="center"/>
          </w:tcPr>
          <w:p w14:paraId="3CABD7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评价标准</w:t>
            </w:r>
          </w:p>
        </w:tc>
        <w:tc>
          <w:tcPr>
            <w:tcW w:w="4054" w:type="pct"/>
            <w:gridSpan w:val="3"/>
            <w:tcBorders>
              <w:tl2br w:val="nil"/>
              <w:tr2bl w:val="nil"/>
            </w:tcBorders>
            <w:shd w:val="clear" w:color="auto" w:fill="auto"/>
            <w:noWrap/>
            <w:tcMar>
              <w:top w:w="15" w:type="dxa"/>
              <w:left w:w="15" w:type="dxa"/>
              <w:right w:w="15" w:type="dxa"/>
            </w:tcMar>
            <w:vAlign w:val="center"/>
          </w:tcPr>
          <w:p w14:paraId="01A295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建设用地第</w:t>
            </w:r>
            <w:r>
              <w:rPr>
                <w:rFonts w:hint="default" w:ascii="Times New Roman" w:hAnsi="Times New Roman" w:cs="Times New Roman"/>
                <w:i w:val="0"/>
                <w:color w:val="auto"/>
                <w:kern w:val="0"/>
                <w:sz w:val="21"/>
                <w:szCs w:val="21"/>
                <w:highlight w:val="none"/>
                <w:u w:val="none"/>
                <w:lang w:val="en-US" w:eastAsia="zh-CN" w:bidi="ar"/>
              </w:rPr>
              <w:t>一</w:t>
            </w:r>
            <w:r>
              <w:rPr>
                <w:rFonts w:hint="default" w:ascii="Times New Roman" w:hAnsi="Times New Roman" w:eastAsia="宋体" w:cs="Times New Roman"/>
                <w:i w:val="0"/>
                <w:color w:val="auto"/>
                <w:kern w:val="0"/>
                <w:sz w:val="21"/>
                <w:szCs w:val="21"/>
                <w:highlight w:val="none"/>
                <w:u w:val="none"/>
                <w:lang w:val="en-US" w:eastAsia="zh-CN" w:bidi="ar"/>
              </w:rPr>
              <w:t>类用地筛选值</w:t>
            </w:r>
          </w:p>
        </w:tc>
        <w:tc>
          <w:tcPr>
            <w:tcW w:w="474" w:type="pct"/>
            <w:tcBorders>
              <w:tl2br w:val="nil"/>
              <w:tr2bl w:val="nil"/>
            </w:tcBorders>
            <w:shd w:val="clear" w:color="auto" w:fill="auto"/>
            <w:noWrap/>
            <w:tcMar>
              <w:top w:w="15" w:type="dxa"/>
              <w:left w:w="15" w:type="dxa"/>
              <w:right w:w="15" w:type="dxa"/>
            </w:tcMar>
            <w:vAlign w:val="center"/>
          </w:tcPr>
          <w:p w14:paraId="71377E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1960</w:t>
            </w:r>
          </w:p>
        </w:tc>
      </w:tr>
      <w:tr w14:paraId="777944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70" w:type="pct"/>
            <w:vMerge w:val="continue"/>
            <w:tcBorders>
              <w:tl2br w:val="nil"/>
              <w:tr2bl w:val="nil"/>
            </w:tcBorders>
            <w:shd w:val="clear" w:color="auto" w:fill="auto"/>
            <w:noWrap/>
            <w:tcMar>
              <w:top w:w="15" w:type="dxa"/>
              <w:left w:w="15" w:type="dxa"/>
              <w:right w:w="15" w:type="dxa"/>
            </w:tcMar>
            <w:vAlign w:val="center"/>
          </w:tcPr>
          <w:p w14:paraId="349C98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p>
        </w:tc>
        <w:tc>
          <w:tcPr>
            <w:tcW w:w="4054" w:type="pct"/>
            <w:gridSpan w:val="3"/>
            <w:tcBorders>
              <w:tl2br w:val="nil"/>
              <w:tr2bl w:val="nil"/>
            </w:tcBorders>
            <w:shd w:val="clear" w:color="auto" w:fill="auto"/>
            <w:noWrap/>
            <w:tcMar>
              <w:top w:w="15" w:type="dxa"/>
              <w:left w:w="15" w:type="dxa"/>
              <w:right w:w="15" w:type="dxa"/>
            </w:tcMar>
            <w:vAlign w:val="center"/>
          </w:tcPr>
          <w:p w14:paraId="2BDE7D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建设用地第二类用地筛选值</w:t>
            </w:r>
          </w:p>
        </w:tc>
        <w:tc>
          <w:tcPr>
            <w:tcW w:w="474" w:type="pct"/>
            <w:tcBorders>
              <w:tl2br w:val="nil"/>
              <w:tr2bl w:val="nil"/>
            </w:tcBorders>
            <w:shd w:val="clear" w:color="auto" w:fill="auto"/>
            <w:noWrap/>
            <w:tcMar>
              <w:top w:w="15" w:type="dxa"/>
              <w:left w:w="15" w:type="dxa"/>
              <w:right w:w="15" w:type="dxa"/>
            </w:tcMar>
            <w:vAlign w:val="center"/>
          </w:tcPr>
          <w:p w14:paraId="655BD6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10000</w:t>
            </w:r>
          </w:p>
        </w:tc>
      </w:tr>
      <w:tr w14:paraId="3F5B37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525" w:type="pct"/>
            <w:gridSpan w:val="4"/>
            <w:tcBorders>
              <w:tl2br w:val="nil"/>
              <w:tr2bl w:val="nil"/>
            </w:tcBorders>
            <w:shd w:val="clear" w:color="auto" w:fill="auto"/>
            <w:noWrap/>
            <w:tcMar>
              <w:top w:w="15" w:type="dxa"/>
              <w:left w:w="15" w:type="dxa"/>
              <w:right w:w="15" w:type="dxa"/>
            </w:tcMar>
            <w:vAlign w:val="center"/>
          </w:tcPr>
          <w:p w14:paraId="3658F5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达标情况</w:t>
            </w:r>
          </w:p>
        </w:tc>
        <w:tc>
          <w:tcPr>
            <w:tcW w:w="474" w:type="pct"/>
            <w:tcBorders>
              <w:tl2br w:val="nil"/>
              <w:tr2bl w:val="nil"/>
            </w:tcBorders>
            <w:shd w:val="clear" w:color="auto" w:fill="auto"/>
            <w:noWrap/>
            <w:tcMar>
              <w:top w:w="15" w:type="dxa"/>
              <w:left w:w="15" w:type="dxa"/>
              <w:right w:w="15" w:type="dxa"/>
            </w:tcMar>
            <w:vAlign w:val="center"/>
          </w:tcPr>
          <w:p w14:paraId="2108C7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bl>
    <w:p w14:paraId="45F3772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eastAsia="zh-CN"/>
        </w:rPr>
        <w:t>①</w:t>
      </w:r>
      <w:r>
        <w:rPr>
          <w:rFonts w:hint="default" w:ascii="Times New Roman" w:hAnsi="Times New Roman" w:eastAsia="宋体" w:cs="Times New Roman"/>
          <w:b/>
          <w:bCs/>
          <w:sz w:val="18"/>
          <w:szCs w:val="18"/>
        </w:rPr>
        <w:t>表列参考标准选取依据详见5.1.1节表5-1-1相关内容</w:t>
      </w:r>
    </w:p>
    <w:p w14:paraId="65D1F38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各点位总氟化物监测浓度散点分布图如下：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3F35C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5DCB16E8">
            <w:pPr>
              <w:pStyle w:val="2"/>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2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6C0107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注：①各点位对应的参考标志均远大于监测浓度值，故不在分布图中展现，下同；</w:t>
            </w:r>
          </w:p>
          <w:p w14:paraId="77CE8DA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②已检出指标的检出限均远小于监测浓度值，故不在分布图中展现，下同。</w:t>
            </w:r>
          </w:p>
          <w:p w14:paraId="371AE6B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cs="Times New Roman"/>
                <w:b/>
                <w:bCs/>
                <w:color w:val="auto"/>
                <w:highlight w:val="none"/>
                <w:lang w:val="en-US" w:eastAsia="zh-CN"/>
              </w:rPr>
              <w:t>5-3-2</w:t>
            </w:r>
            <w:r>
              <w:rPr>
                <w:rFonts w:hint="default" w:ascii="Times New Roman" w:hAnsi="Times New Roman" w:eastAsia="宋体" w:cs="Times New Roman"/>
                <w:b/>
                <w:bCs/>
                <w:color w:val="auto"/>
                <w:highlight w:val="none"/>
                <w:lang w:val="en-US" w:eastAsia="zh-CN"/>
              </w:rPr>
              <w:t xml:space="preserve"> </w:t>
            </w:r>
            <w:r>
              <w:rPr>
                <w:rFonts w:hint="default" w:ascii="Times New Roman" w:hAnsi="Times New Roman" w:cs="Times New Roman"/>
                <w:b/>
                <w:bCs/>
                <w:color w:val="auto"/>
                <w:highlight w:val="none"/>
                <w:lang w:val="en-US" w:eastAsia="zh-CN"/>
              </w:rPr>
              <w:t>总氟化物</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分布情况图</w:t>
            </w:r>
          </w:p>
        </w:tc>
      </w:tr>
    </w:tbl>
    <w:p w14:paraId="6682DF3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由图可知，各点位总氟化物监测值</w:t>
      </w:r>
      <w:r>
        <w:rPr>
          <w:rFonts w:hint="default" w:ascii="Times New Roman" w:hAnsi="Times New Roman" w:cs="Times New Roman"/>
          <w:color w:val="auto"/>
          <w:highlight w:val="none"/>
          <w:lang w:eastAsia="zh-CN"/>
        </w:rPr>
        <w:t>差别较小，各</w:t>
      </w:r>
      <w:r>
        <w:rPr>
          <w:rFonts w:hint="default" w:ascii="Times New Roman" w:hAnsi="Times New Roman" w:cs="Times New Roman"/>
          <w:color w:val="auto"/>
          <w:highlight w:val="none"/>
        </w:rPr>
        <w:t>检测值与均值</w:t>
      </w:r>
      <w:r>
        <w:rPr>
          <w:rFonts w:hint="default" w:ascii="Times New Roman" w:hAnsi="Times New Roman" w:cs="Times New Roman"/>
          <w:color w:val="auto"/>
          <w:highlight w:val="none"/>
          <w:lang w:eastAsia="zh-CN"/>
        </w:rPr>
        <w:t>差别较小。</w:t>
      </w:r>
    </w:p>
    <w:p w14:paraId="0397C5C9">
      <w:pPr>
        <w:numPr>
          <w:ilvl w:val="0"/>
          <w:numId w:val="0"/>
        </w:numPr>
        <w:spacing w:line="360" w:lineRule="auto"/>
        <w:ind w:leftChars="0" w:firstLine="420" w:firstLineChars="0"/>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eastAsia="zh-CN"/>
        </w:rPr>
        <w:t>（</w:t>
      </w:r>
      <w:r>
        <w:rPr>
          <w:rFonts w:hint="eastAsia" w:cs="Times New Roman"/>
          <w:b/>
          <w:bCs/>
          <w:color w:val="auto"/>
          <w:sz w:val="24"/>
          <w:highlight w:val="none"/>
          <w:lang w:val="en-US" w:eastAsia="zh-CN"/>
        </w:rPr>
        <w:t>3</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二噁英</w:t>
      </w:r>
    </w:p>
    <w:p w14:paraId="05024B09">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点位SJG-</w:t>
      </w:r>
      <w:r>
        <w:rPr>
          <w:rFonts w:hint="eastAsia" w:cs="Times New Roman"/>
          <w:color w:val="auto"/>
          <w:sz w:val="24"/>
          <w:highlight w:val="none"/>
          <w:lang w:val="en-US" w:eastAsia="zh-CN"/>
        </w:rPr>
        <w:t>JJ-6</w:t>
      </w:r>
      <w:r>
        <w:rPr>
          <w:rFonts w:hint="default" w:ascii="Times New Roman" w:hAnsi="Times New Roman" w:cs="Times New Roman"/>
          <w:color w:val="auto"/>
          <w:sz w:val="24"/>
          <w:highlight w:val="none"/>
          <w:lang w:val="en-US" w:eastAsia="zh-CN"/>
        </w:rPr>
        <w:t>增测污染物项目二噁英，毒性当量为</w:t>
      </w:r>
      <w:r>
        <w:rPr>
          <w:rFonts w:hint="eastAsia" w:cs="Times New Roman"/>
          <w:color w:val="auto"/>
          <w:sz w:val="24"/>
          <w:highlight w:val="none"/>
          <w:lang w:val="en-US" w:eastAsia="zh-CN"/>
        </w:rPr>
        <w:t>0.36</w:t>
      </w:r>
      <w:r>
        <w:rPr>
          <w:rFonts w:hint="default" w:ascii="Times New Roman" w:hAnsi="Times New Roman" w:cs="Times New Roman"/>
          <w:color w:val="auto"/>
          <w:sz w:val="24"/>
          <w:highlight w:val="none"/>
          <w:lang w:val="en-US" w:eastAsia="zh-CN"/>
        </w:rPr>
        <w:t>ng/kg。具体监测值及对应标准情况见表5-3-</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lang w:val="en-US" w:eastAsia="zh-CN"/>
        </w:rPr>
        <w:t>。</w:t>
      </w:r>
    </w:p>
    <w:p w14:paraId="36E66F49">
      <w:pPr>
        <w:keepNext w:val="0"/>
        <w:keepLines w:val="0"/>
        <w:pageBreakBefore w:val="0"/>
        <w:widowControl w:val="0"/>
        <w:numPr>
          <w:ilvl w:val="0"/>
          <w:numId w:val="0"/>
        </w:numPr>
        <w:kinsoku/>
        <w:wordWrap/>
        <w:overflowPunct/>
        <w:topLinePunct w:val="0"/>
        <w:autoSpaceDE/>
        <w:autoSpaceDN/>
        <w:bidi w:val="0"/>
        <w:adjustRightInd/>
        <w:snapToGrid/>
        <w:spacing w:before="167" w:beforeLines="50" w:line="240" w:lineRule="auto"/>
        <w:ind w:leftChars="0" w:firstLine="420" w:firstLineChars="0"/>
        <w:jc w:val="center"/>
        <w:textAlignment w:val="auto"/>
        <w:rPr>
          <w:rFonts w:hint="default" w:ascii="Times New Roman" w:hAnsi="Times New Roman" w:eastAsia="黑体" w:cs="Times New Roman"/>
          <w:color w:val="auto"/>
          <w:highlight w:val="none"/>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eastAsia"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rPr>
        <w:t xml:space="preserve"> 土壤样品</w:t>
      </w:r>
      <w:r>
        <w:rPr>
          <w:rFonts w:hint="default" w:ascii="Times New Roman" w:hAnsi="Times New Roman" w:eastAsia="黑体" w:cs="Times New Roman"/>
          <w:b/>
          <w:bCs/>
          <w:color w:val="auto"/>
          <w:sz w:val="24"/>
          <w:highlight w:val="none"/>
          <w:lang w:val="en-US" w:eastAsia="zh-CN"/>
        </w:rPr>
        <w:t>二噁英</w:t>
      </w:r>
      <w:r>
        <w:rPr>
          <w:rFonts w:hint="default" w:ascii="Times New Roman" w:hAnsi="Times New Roman" w:eastAsia="黑体" w:cs="Times New Roman"/>
          <w:b/>
          <w:bCs/>
          <w:color w:val="auto"/>
          <w:sz w:val="24"/>
          <w:highlight w:val="none"/>
        </w:rPr>
        <w:t>监测值</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868"/>
        <w:gridCol w:w="2868"/>
        <w:gridCol w:w="3932"/>
      </w:tblGrid>
      <w:tr w14:paraId="4B75D0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jc w:val="center"/>
        </w:trPr>
        <w:tc>
          <w:tcPr>
            <w:tcW w:w="2868" w:type="dxa"/>
            <w:tcBorders>
              <w:bottom w:val="single" w:color="auto" w:sz="12" w:space="0"/>
            </w:tcBorders>
            <w:shd w:val="clear" w:color="auto" w:fill="auto"/>
            <w:noWrap/>
            <w:tcMar>
              <w:top w:w="15" w:type="dxa"/>
              <w:left w:w="15" w:type="dxa"/>
              <w:right w:w="15" w:type="dxa"/>
            </w:tcMar>
            <w:vAlign w:val="center"/>
          </w:tcPr>
          <w:p w14:paraId="784EAA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2868" w:type="dxa"/>
            <w:tcBorders>
              <w:bottom w:val="single" w:color="auto" w:sz="12" w:space="0"/>
            </w:tcBorders>
            <w:shd w:val="clear" w:color="auto" w:fill="auto"/>
            <w:noWrap/>
            <w:tcMar>
              <w:top w:w="15" w:type="dxa"/>
              <w:left w:w="15" w:type="dxa"/>
              <w:right w:w="15" w:type="dxa"/>
            </w:tcMar>
            <w:vAlign w:val="center"/>
          </w:tcPr>
          <w:p w14:paraId="3F8805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3932" w:type="dxa"/>
            <w:tcBorders>
              <w:bottom w:val="single" w:color="auto" w:sz="12" w:space="0"/>
            </w:tcBorders>
            <w:shd w:val="clear" w:color="auto" w:fill="auto"/>
            <w:noWrap/>
            <w:tcMar>
              <w:top w:w="15" w:type="dxa"/>
              <w:left w:w="15" w:type="dxa"/>
              <w:right w:w="15" w:type="dxa"/>
            </w:tcMar>
            <w:vAlign w:val="center"/>
          </w:tcPr>
          <w:p w14:paraId="480601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eastAsia="宋体" w:cs="Times New Roman"/>
                <w:b/>
                <w:i w:val="0"/>
                <w:color w:val="auto"/>
                <w:kern w:val="0"/>
                <w:sz w:val="21"/>
                <w:szCs w:val="21"/>
                <w:highlight w:val="none"/>
                <w:u w:val="none"/>
                <w:lang w:val="en-US" w:eastAsia="zh-CN" w:bidi="ar"/>
              </w:rPr>
              <w:t>二噁英（I-TEQ2)(ng/kg)</w:t>
            </w:r>
          </w:p>
        </w:tc>
      </w:tr>
      <w:tr w14:paraId="244364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2868" w:type="dxa"/>
            <w:tcBorders>
              <w:top w:val="single" w:color="auto" w:sz="12" w:space="0"/>
              <w:tl2br w:val="nil"/>
              <w:tr2bl w:val="nil"/>
            </w:tcBorders>
            <w:shd w:val="clear" w:color="auto" w:fill="auto"/>
            <w:noWrap/>
            <w:tcMar>
              <w:top w:w="15" w:type="dxa"/>
              <w:left w:w="15" w:type="dxa"/>
              <w:right w:w="15" w:type="dxa"/>
            </w:tcMar>
            <w:vAlign w:val="center"/>
          </w:tcPr>
          <w:p w14:paraId="55E466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868" w:type="dxa"/>
            <w:tcBorders>
              <w:top w:val="single" w:color="auto" w:sz="12" w:space="0"/>
              <w:tl2br w:val="nil"/>
              <w:tr2bl w:val="nil"/>
            </w:tcBorders>
            <w:shd w:val="clear" w:color="auto" w:fill="auto"/>
            <w:noWrap/>
            <w:tcMar>
              <w:top w:w="15" w:type="dxa"/>
              <w:left w:w="15" w:type="dxa"/>
              <w:right w:w="15" w:type="dxa"/>
            </w:tcMar>
            <w:vAlign w:val="center"/>
          </w:tcPr>
          <w:p w14:paraId="238686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SJG</w:t>
            </w: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JJ-6</w:t>
            </w:r>
          </w:p>
        </w:tc>
        <w:tc>
          <w:tcPr>
            <w:tcW w:w="3932" w:type="dxa"/>
            <w:tcBorders>
              <w:top w:val="single" w:color="auto" w:sz="12" w:space="0"/>
              <w:tl2br w:val="nil"/>
              <w:tr2bl w:val="nil"/>
            </w:tcBorders>
            <w:shd w:val="clear" w:color="auto" w:fill="auto"/>
            <w:noWrap/>
            <w:tcMar>
              <w:top w:w="15" w:type="dxa"/>
              <w:left w:w="15" w:type="dxa"/>
              <w:right w:w="15" w:type="dxa"/>
            </w:tcMar>
            <w:vAlign w:val="center"/>
          </w:tcPr>
          <w:p w14:paraId="5A1D86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eastAsia" w:cs="Times New Roman"/>
                <w:i w:val="0"/>
                <w:color w:val="auto"/>
                <w:kern w:val="0"/>
                <w:sz w:val="21"/>
                <w:szCs w:val="21"/>
                <w:highlight w:val="none"/>
                <w:u w:val="none"/>
                <w:lang w:val="en-US" w:eastAsia="zh-CN" w:bidi="ar"/>
              </w:rPr>
              <w:t>0.36</w:t>
            </w:r>
          </w:p>
        </w:tc>
      </w:tr>
      <w:tr w14:paraId="736861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5736" w:type="dxa"/>
            <w:gridSpan w:val="2"/>
            <w:tcBorders>
              <w:tl2br w:val="nil"/>
              <w:tr2bl w:val="nil"/>
            </w:tcBorders>
            <w:shd w:val="clear" w:color="auto" w:fill="auto"/>
            <w:noWrap/>
            <w:tcMar>
              <w:top w:w="15" w:type="dxa"/>
              <w:left w:w="15" w:type="dxa"/>
              <w:right w:w="15" w:type="dxa"/>
            </w:tcMar>
            <w:vAlign w:val="center"/>
          </w:tcPr>
          <w:p w14:paraId="33EDEF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第二类用地筛选值</w:t>
            </w:r>
          </w:p>
        </w:tc>
        <w:tc>
          <w:tcPr>
            <w:tcW w:w="3932" w:type="dxa"/>
            <w:tcBorders>
              <w:tl2br w:val="nil"/>
              <w:tr2bl w:val="nil"/>
            </w:tcBorders>
            <w:shd w:val="clear" w:color="auto" w:fill="auto"/>
            <w:noWrap/>
            <w:tcMar>
              <w:top w:w="15" w:type="dxa"/>
              <w:left w:w="15" w:type="dxa"/>
              <w:right w:w="15" w:type="dxa"/>
            </w:tcMar>
            <w:vAlign w:val="center"/>
          </w:tcPr>
          <w:p w14:paraId="1A170D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w:t>
            </w:r>
          </w:p>
        </w:tc>
      </w:tr>
      <w:tr w14:paraId="348884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jc w:val="center"/>
        </w:trPr>
        <w:tc>
          <w:tcPr>
            <w:tcW w:w="5736" w:type="dxa"/>
            <w:gridSpan w:val="2"/>
            <w:tcBorders>
              <w:tl2br w:val="nil"/>
              <w:tr2bl w:val="nil"/>
            </w:tcBorders>
            <w:shd w:val="clear" w:color="auto" w:fill="auto"/>
            <w:noWrap/>
            <w:tcMar>
              <w:top w:w="15" w:type="dxa"/>
              <w:left w:w="15" w:type="dxa"/>
              <w:right w:w="15" w:type="dxa"/>
            </w:tcMar>
            <w:vAlign w:val="center"/>
          </w:tcPr>
          <w:p w14:paraId="53734A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达标情况</w:t>
            </w:r>
          </w:p>
        </w:tc>
        <w:tc>
          <w:tcPr>
            <w:tcW w:w="3932" w:type="dxa"/>
            <w:tcBorders>
              <w:tl2br w:val="nil"/>
              <w:tr2bl w:val="nil"/>
            </w:tcBorders>
            <w:shd w:val="clear" w:color="auto" w:fill="auto"/>
            <w:noWrap/>
            <w:tcMar>
              <w:top w:w="15" w:type="dxa"/>
              <w:left w:w="15" w:type="dxa"/>
              <w:right w:w="15" w:type="dxa"/>
            </w:tcMar>
            <w:vAlign w:val="center"/>
          </w:tcPr>
          <w:p w14:paraId="3249B8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r>
    </w:tbl>
    <w:p w14:paraId="275FE47B">
      <w:pPr>
        <w:numPr>
          <w:ilvl w:val="0"/>
          <w:numId w:val="0"/>
        </w:numPr>
        <w:spacing w:line="360" w:lineRule="auto"/>
        <w:ind w:leftChars="0" w:firstLine="420" w:firstLineChars="0"/>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w:t>
      </w:r>
      <w:r>
        <w:rPr>
          <w:rFonts w:hint="eastAsia" w:cs="Times New Roman"/>
          <w:b/>
          <w:bCs/>
          <w:color w:val="auto"/>
          <w:sz w:val="24"/>
          <w:highlight w:val="none"/>
          <w:lang w:val="en-US" w:eastAsia="zh-CN"/>
        </w:rPr>
        <w:t>4</w:t>
      </w:r>
      <w:r>
        <w:rPr>
          <w:rFonts w:hint="default" w:ascii="Times New Roman" w:hAnsi="Times New Roman" w:cs="Times New Roman"/>
          <w:b/>
          <w:bCs/>
          <w:color w:val="auto"/>
          <w:sz w:val="24"/>
          <w:highlight w:val="none"/>
          <w:lang w:val="en-US" w:eastAsia="zh-CN"/>
        </w:rPr>
        <w:t>）石油烃（C</w:t>
      </w:r>
      <w:r>
        <w:rPr>
          <w:rFonts w:hint="default" w:ascii="Times New Roman" w:hAnsi="Times New Roman" w:cs="Times New Roman"/>
          <w:b/>
          <w:bCs/>
          <w:color w:val="auto"/>
          <w:sz w:val="24"/>
          <w:highlight w:val="none"/>
          <w:vertAlign w:val="subscript"/>
          <w:lang w:val="en-US" w:eastAsia="zh-CN"/>
        </w:rPr>
        <w:t>10</w:t>
      </w:r>
      <w:r>
        <w:rPr>
          <w:rFonts w:hint="default" w:ascii="Times New Roman" w:hAnsi="Times New Roman" w:cs="Times New Roman"/>
          <w:b/>
          <w:bCs/>
          <w:color w:val="auto"/>
          <w:sz w:val="24"/>
          <w:highlight w:val="none"/>
          <w:lang w:val="en-US" w:eastAsia="zh-CN"/>
        </w:rPr>
        <w:t>-C</w:t>
      </w:r>
      <w:r>
        <w:rPr>
          <w:rFonts w:hint="default" w:ascii="Times New Roman" w:hAnsi="Times New Roman" w:cs="Times New Roman"/>
          <w:b/>
          <w:bCs/>
          <w:color w:val="auto"/>
          <w:sz w:val="24"/>
          <w:highlight w:val="none"/>
          <w:vertAlign w:val="subscript"/>
          <w:lang w:val="en-US" w:eastAsia="zh-CN"/>
        </w:rPr>
        <w:t>40</w:t>
      </w:r>
      <w:r>
        <w:rPr>
          <w:rFonts w:hint="default" w:ascii="Times New Roman" w:hAnsi="Times New Roman" w:cs="Times New Roman"/>
          <w:b/>
          <w:bCs/>
          <w:color w:val="auto"/>
          <w:sz w:val="24"/>
          <w:highlight w:val="none"/>
          <w:lang w:val="en-US" w:eastAsia="zh-CN"/>
        </w:rPr>
        <w:t>）</w:t>
      </w:r>
    </w:p>
    <w:p w14:paraId="0722D53F">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检测结果显示，</w:t>
      </w:r>
      <w:r>
        <w:rPr>
          <w:rFonts w:hint="default" w:ascii="Times New Roman" w:hAnsi="Times New Roman" w:cs="Times New Roman"/>
          <w:color w:val="auto"/>
          <w:sz w:val="24"/>
          <w:highlight w:val="none"/>
          <w:lang w:eastAsia="zh-CN"/>
        </w:rPr>
        <w:t>园区内</w:t>
      </w:r>
      <w:r>
        <w:rPr>
          <w:rFonts w:hint="eastAsia" w:cs="Times New Roman"/>
          <w:color w:val="auto"/>
          <w:sz w:val="24"/>
          <w:highlight w:val="none"/>
          <w:lang w:val="en-US" w:eastAsia="zh-CN"/>
        </w:rPr>
        <w:t>16个土壤样品（不含质控样品）</w:t>
      </w:r>
      <w:r>
        <w:rPr>
          <w:rFonts w:hint="default" w:ascii="Times New Roman" w:hAnsi="Times New Roman" w:cs="Times New Roman"/>
          <w:color w:val="auto"/>
          <w:sz w:val="24"/>
          <w:highlight w:val="none"/>
          <w:lang w:eastAsia="zh-CN"/>
        </w:rPr>
        <w:t>中</w:t>
      </w:r>
      <w:r>
        <w:rPr>
          <w:rFonts w:hint="default" w:ascii="Times New Roman" w:hAnsi="Times New Roman" w:cs="Times New Roman"/>
          <w:color w:val="auto"/>
          <w:sz w:val="24"/>
          <w:highlight w:val="none"/>
          <w:lang w:val="en-US" w:eastAsia="zh-CN"/>
        </w:rPr>
        <w:t>SJG-1-75、SJG-1-200、SJG-2-75、SJG-2-200、SJG-4、SJG-JJ-1、SJG-JJ-3、SJG-JJ-4、SJG-JJ-6石油烃未检出，检出样品中石油烃指标最大值为100mg/kg。</w:t>
      </w:r>
      <w:r>
        <w:rPr>
          <w:rFonts w:hint="default" w:ascii="Times New Roman" w:hAnsi="Times New Roman" w:cs="Times New Roman"/>
          <w:color w:val="auto"/>
          <w:sz w:val="24"/>
          <w:szCs w:val="24"/>
          <w:highlight w:val="none"/>
        </w:rPr>
        <w:t>本次调查所有送检土壤样品</w:t>
      </w:r>
      <w:r>
        <w:rPr>
          <w:rFonts w:hint="default" w:ascii="Times New Roman" w:hAnsi="Times New Roman" w:cs="Times New Roman"/>
          <w:color w:val="auto"/>
          <w:sz w:val="24"/>
          <w:szCs w:val="24"/>
          <w:highlight w:val="none"/>
          <w:lang w:eastAsia="zh-CN"/>
        </w:rPr>
        <w:t>无机物污染项目</w:t>
      </w:r>
      <w:r>
        <w:rPr>
          <w:rFonts w:hint="default" w:ascii="Times New Roman" w:hAnsi="Times New Roman" w:cs="Times New Roman"/>
          <w:color w:val="auto"/>
          <w:sz w:val="24"/>
          <w:szCs w:val="24"/>
          <w:highlight w:val="none"/>
        </w:rPr>
        <w:t>检测值均低于</w:t>
      </w:r>
      <w:r>
        <w:rPr>
          <w:rFonts w:hint="default" w:ascii="Times New Roman" w:hAnsi="Times New Roman" w:cs="Times New Roman"/>
          <w:color w:val="auto"/>
          <w:sz w:val="24"/>
          <w:szCs w:val="24"/>
          <w:highlight w:val="none"/>
          <w:lang w:eastAsia="zh-CN"/>
        </w:rPr>
        <w:t>表</w:t>
      </w:r>
      <w:r>
        <w:rPr>
          <w:rFonts w:hint="default" w:ascii="Times New Roman" w:hAnsi="Times New Roman" w:cs="Times New Roman"/>
          <w:color w:val="auto"/>
          <w:sz w:val="24"/>
          <w:szCs w:val="24"/>
          <w:highlight w:val="none"/>
          <w:lang w:val="en-US" w:eastAsia="zh-CN"/>
        </w:rPr>
        <w:t>5-1-1中的参考标准值，</w:t>
      </w:r>
      <w:r>
        <w:rPr>
          <w:rFonts w:hint="default" w:ascii="Times New Roman" w:hAnsi="Times New Roman" w:cs="Times New Roman"/>
          <w:color w:val="auto"/>
          <w:sz w:val="24"/>
          <w:highlight w:val="none"/>
          <w:lang w:val="en-US" w:eastAsia="zh-CN"/>
        </w:rPr>
        <w:t>具体监测值见表5-3-</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w:t>
      </w:r>
    </w:p>
    <w:p w14:paraId="72136D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0"/>
        <w:jc w:val="center"/>
        <w:textAlignment w:val="auto"/>
        <w:rPr>
          <w:rFonts w:hint="default" w:ascii="Times New Roman" w:hAnsi="Times New Roman" w:eastAsia="黑体" w:cs="Times New Roman"/>
          <w:b/>
          <w:color w:val="auto"/>
          <w:highlight w:val="none"/>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default" w:ascii="Times New Roman" w:hAnsi="Times New Roman" w:eastAsia="黑体" w:cs="Times New Roman"/>
          <w:b/>
          <w:bCs/>
          <w:color w:val="auto"/>
          <w:sz w:val="24"/>
          <w:highlight w:val="none"/>
        </w:rPr>
        <w:t>-</w:t>
      </w:r>
      <w:r>
        <w:rPr>
          <w:rFonts w:hint="eastAsia" w:eastAsia="黑体" w:cs="Times New Roman"/>
          <w:b/>
          <w:bCs/>
          <w:color w:val="auto"/>
          <w:sz w:val="24"/>
          <w:highlight w:val="none"/>
          <w:lang w:val="en-US" w:eastAsia="zh-CN"/>
        </w:rPr>
        <w:t>4</w:t>
      </w:r>
      <w:r>
        <w:rPr>
          <w:rFonts w:hint="default" w:ascii="Times New Roman" w:hAnsi="Times New Roman" w:eastAsia="黑体" w:cs="Times New Roman"/>
          <w:b/>
          <w:bCs/>
          <w:color w:val="auto"/>
          <w:sz w:val="24"/>
          <w:highlight w:val="none"/>
        </w:rPr>
        <w:t xml:space="preserve"> </w:t>
      </w:r>
      <w:r>
        <w:rPr>
          <w:rFonts w:hint="default" w:ascii="Times New Roman" w:hAnsi="Times New Roman" w:eastAsia="黑体" w:cs="Times New Roman"/>
          <w:b/>
          <w:bCs/>
          <w:color w:val="auto"/>
          <w:sz w:val="24"/>
          <w:highlight w:val="none"/>
          <w:lang w:val="en-US" w:eastAsia="zh-CN"/>
        </w:rPr>
        <w:t>石油烃（C</w:t>
      </w:r>
      <w:r>
        <w:rPr>
          <w:rFonts w:hint="default" w:ascii="Times New Roman" w:hAnsi="Times New Roman" w:eastAsia="黑体" w:cs="Times New Roman"/>
          <w:b/>
          <w:bCs/>
          <w:color w:val="auto"/>
          <w:sz w:val="24"/>
          <w:highlight w:val="none"/>
          <w:vertAlign w:val="subscript"/>
          <w:lang w:val="en-US" w:eastAsia="zh-CN"/>
        </w:rPr>
        <w:t>10</w:t>
      </w:r>
      <w:r>
        <w:rPr>
          <w:rFonts w:hint="default" w:ascii="Times New Roman" w:hAnsi="Times New Roman" w:eastAsia="黑体" w:cs="Times New Roman"/>
          <w:b/>
          <w:bCs/>
          <w:color w:val="auto"/>
          <w:sz w:val="24"/>
          <w:highlight w:val="none"/>
          <w:lang w:val="en-US" w:eastAsia="zh-CN"/>
        </w:rPr>
        <w:t>-C</w:t>
      </w:r>
      <w:r>
        <w:rPr>
          <w:rFonts w:hint="default" w:ascii="Times New Roman" w:hAnsi="Times New Roman" w:eastAsia="黑体" w:cs="Times New Roman"/>
          <w:b/>
          <w:bCs/>
          <w:color w:val="auto"/>
          <w:sz w:val="24"/>
          <w:highlight w:val="none"/>
          <w:vertAlign w:val="subscript"/>
          <w:lang w:val="en-US" w:eastAsia="zh-CN"/>
        </w:rPr>
        <w:t>40</w:t>
      </w:r>
      <w:r>
        <w:rPr>
          <w:rFonts w:hint="default" w:ascii="Times New Roman" w:hAnsi="Times New Roman" w:eastAsia="黑体" w:cs="Times New Roman"/>
          <w:b/>
          <w:bCs/>
          <w:color w:val="auto"/>
          <w:sz w:val="24"/>
          <w:highlight w:val="none"/>
          <w:lang w:val="en-US" w:eastAsia="zh-CN"/>
        </w:rPr>
        <w:t>）</w:t>
      </w:r>
      <w:r>
        <w:rPr>
          <w:rFonts w:hint="default" w:ascii="Times New Roman" w:hAnsi="Times New Roman" w:eastAsia="黑体" w:cs="Times New Roman"/>
          <w:b/>
          <w:bCs/>
          <w:color w:val="auto"/>
          <w:sz w:val="24"/>
          <w:highlight w:val="none"/>
        </w:rPr>
        <w:t>监测值  （单位：mg/kg）</w:t>
      </w:r>
    </w:p>
    <w:tbl>
      <w:tblPr>
        <w:tblStyle w:val="21"/>
        <w:tblW w:w="499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436"/>
        <w:gridCol w:w="1450"/>
        <w:gridCol w:w="2451"/>
        <w:gridCol w:w="2585"/>
        <w:gridCol w:w="1730"/>
      </w:tblGrid>
      <w:tr w14:paraId="18C707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jc w:val="center"/>
        </w:trPr>
        <w:tc>
          <w:tcPr>
            <w:tcW w:w="744" w:type="pct"/>
            <w:tcBorders>
              <w:bottom w:val="single" w:color="auto" w:sz="12" w:space="0"/>
            </w:tcBorders>
            <w:shd w:val="clear" w:color="auto" w:fill="auto"/>
            <w:noWrap/>
            <w:tcMar>
              <w:top w:w="15" w:type="dxa"/>
              <w:left w:w="15" w:type="dxa"/>
              <w:right w:w="15" w:type="dxa"/>
            </w:tcMar>
            <w:vAlign w:val="center"/>
          </w:tcPr>
          <w:p w14:paraId="7D7F13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751" w:type="pct"/>
            <w:tcBorders>
              <w:bottom w:val="single" w:color="auto" w:sz="12" w:space="0"/>
            </w:tcBorders>
            <w:shd w:val="clear" w:color="auto" w:fill="auto"/>
            <w:noWrap/>
            <w:tcMar>
              <w:top w:w="15" w:type="dxa"/>
              <w:left w:w="15" w:type="dxa"/>
              <w:right w:w="15" w:type="dxa"/>
            </w:tcMar>
            <w:vAlign w:val="center"/>
          </w:tcPr>
          <w:p w14:paraId="699E2D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1269" w:type="pct"/>
            <w:tcBorders>
              <w:bottom w:val="single" w:color="auto" w:sz="12" w:space="0"/>
            </w:tcBorders>
            <w:shd w:val="clear" w:color="auto" w:fill="auto"/>
            <w:noWrap/>
            <w:tcMar>
              <w:top w:w="15" w:type="dxa"/>
              <w:left w:w="15" w:type="dxa"/>
              <w:right w:w="15" w:type="dxa"/>
            </w:tcMar>
            <w:vAlign w:val="center"/>
          </w:tcPr>
          <w:p w14:paraId="20DB5BA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点位位置</w:t>
            </w:r>
          </w:p>
        </w:tc>
        <w:tc>
          <w:tcPr>
            <w:tcW w:w="1338" w:type="pct"/>
            <w:tcBorders>
              <w:bottom w:val="single" w:color="auto" w:sz="12" w:space="0"/>
            </w:tcBorders>
            <w:shd w:val="clear" w:color="auto" w:fill="auto"/>
            <w:noWrap/>
            <w:tcMar>
              <w:top w:w="15" w:type="dxa"/>
              <w:left w:w="15" w:type="dxa"/>
              <w:right w:w="15" w:type="dxa"/>
            </w:tcMar>
            <w:vAlign w:val="center"/>
          </w:tcPr>
          <w:p w14:paraId="53615F9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参考标准</w:t>
            </w:r>
            <w:r>
              <w:rPr>
                <w:rFonts w:hint="default" w:ascii="Times New Roman" w:hAnsi="Times New Roman" w:cs="Times New Roman"/>
                <w:b/>
                <w:i w:val="0"/>
                <w:color w:val="auto"/>
                <w:kern w:val="0"/>
                <w:sz w:val="21"/>
                <w:szCs w:val="21"/>
                <w:highlight w:val="none"/>
                <w:u w:val="none"/>
                <w:vertAlign w:val="superscript"/>
                <w:lang w:val="en-US" w:eastAsia="zh-CN" w:bidi="ar"/>
              </w:rPr>
              <w:t>①</w:t>
            </w:r>
          </w:p>
        </w:tc>
        <w:tc>
          <w:tcPr>
            <w:tcW w:w="896" w:type="pct"/>
            <w:tcBorders>
              <w:bottom w:val="single" w:color="auto" w:sz="12" w:space="0"/>
            </w:tcBorders>
            <w:shd w:val="clear" w:color="auto" w:fill="auto"/>
            <w:noWrap/>
            <w:tcMar>
              <w:top w:w="15" w:type="dxa"/>
              <w:left w:w="15" w:type="dxa"/>
              <w:right w:w="15" w:type="dxa"/>
            </w:tcMar>
            <w:vAlign w:val="center"/>
          </w:tcPr>
          <w:p w14:paraId="6243F1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sz w:val="21"/>
                <w:szCs w:val="21"/>
                <w:highlight w:val="none"/>
                <w:u w:val="none"/>
              </w:rPr>
              <w:t>石油烃（C</w:t>
            </w:r>
            <w:r>
              <w:rPr>
                <w:rFonts w:hint="default" w:ascii="Times New Roman" w:hAnsi="Times New Roman" w:eastAsia="宋体" w:cs="Times New Roman"/>
                <w:b/>
                <w:i w:val="0"/>
                <w:color w:val="auto"/>
                <w:sz w:val="21"/>
                <w:szCs w:val="21"/>
                <w:highlight w:val="none"/>
                <w:u w:val="none"/>
                <w:vertAlign w:val="subscript"/>
              </w:rPr>
              <w:t>10</w:t>
            </w:r>
            <w:r>
              <w:rPr>
                <w:rFonts w:hint="default" w:ascii="Times New Roman" w:hAnsi="Times New Roman" w:eastAsia="宋体" w:cs="Times New Roman"/>
                <w:b/>
                <w:i w:val="0"/>
                <w:color w:val="auto"/>
                <w:sz w:val="21"/>
                <w:szCs w:val="21"/>
                <w:highlight w:val="none"/>
                <w:u w:val="none"/>
              </w:rPr>
              <w:t>-C</w:t>
            </w:r>
            <w:r>
              <w:rPr>
                <w:rFonts w:hint="default" w:ascii="Times New Roman" w:hAnsi="Times New Roman" w:eastAsia="宋体" w:cs="Times New Roman"/>
                <w:b/>
                <w:i w:val="0"/>
                <w:color w:val="auto"/>
                <w:sz w:val="21"/>
                <w:szCs w:val="21"/>
                <w:highlight w:val="none"/>
                <w:u w:val="none"/>
                <w:vertAlign w:val="subscript"/>
              </w:rPr>
              <w:t>40</w:t>
            </w:r>
            <w:r>
              <w:rPr>
                <w:rFonts w:hint="default" w:ascii="Times New Roman" w:hAnsi="Times New Roman" w:eastAsia="宋体" w:cs="Times New Roman"/>
                <w:b/>
                <w:i w:val="0"/>
                <w:color w:val="auto"/>
                <w:sz w:val="21"/>
                <w:szCs w:val="21"/>
                <w:highlight w:val="none"/>
                <w:u w:val="none"/>
              </w:rPr>
              <w:t>）</w:t>
            </w:r>
          </w:p>
        </w:tc>
      </w:tr>
      <w:tr w14:paraId="3F4EA9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44" w:type="pct"/>
            <w:tcBorders>
              <w:top w:val="single" w:color="auto" w:sz="12" w:space="0"/>
              <w:tl2br w:val="nil"/>
              <w:tr2bl w:val="nil"/>
            </w:tcBorders>
            <w:shd w:val="clear" w:color="auto" w:fill="auto"/>
            <w:noWrap/>
            <w:tcMar>
              <w:top w:w="15" w:type="dxa"/>
              <w:left w:w="15" w:type="dxa"/>
              <w:right w:w="15" w:type="dxa"/>
            </w:tcMar>
            <w:vAlign w:val="center"/>
          </w:tcPr>
          <w:p w14:paraId="6C2D69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751" w:type="pct"/>
            <w:tcBorders>
              <w:top w:val="single" w:color="auto" w:sz="12" w:space="0"/>
              <w:tl2br w:val="nil"/>
              <w:tr2bl w:val="nil"/>
            </w:tcBorders>
            <w:shd w:val="clear" w:color="auto" w:fill="auto"/>
            <w:noWrap/>
            <w:tcMar>
              <w:top w:w="15" w:type="dxa"/>
              <w:left w:w="15" w:type="dxa"/>
              <w:right w:w="15" w:type="dxa"/>
            </w:tcMar>
            <w:vAlign w:val="center"/>
          </w:tcPr>
          <w:p w14:paraId="4F830C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1269" w:type="pct"/>
            <w:tcBorders>
              <w:top w:val="single" w:color="auto" w:sz="12" w:space="0"/>
              <w:tl2br w:val="nil"/>
              <w:tr2bl w:val="nil"/>
            </w:tcBorders>
            <w:shd w:val="clear" w:color="auto" w:fill="auto"/>
            <w:noWrap/>
            <w:tcMar>
              <w:top w:w="15" w:type="dxa"/>
              <w:left w:w="15" w:type="dxa"/>
              <w:right w:w="15" w:type="dxa"/>
            </w:tcMar>
            <w:vAlign w:val="center"/>
          </w:tcPr>
          <w:p w14:paraId="413123D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园区边界西侧下风向75m</w:t>
            </w:r>
          </w:p>
        </w:tc>
        <w:tc>
          <w:tcPr>
            <w:tcW w:w="1338" w:type="pct"/>
            <w:tcBorders>
              <w:top w:val="single" w:color="auto" w:sz="12" w:space="0"/>
              <w:tl2br w:val="nil"/>
              <w:tr2bl w:val="nil"/>
            </w:tcBorders>
            <w:shd w:val="clear" w:color="auto" w:fill="auto"/>
            <w:noWrap/>
            <w:tcMar>
              <w:top w:w="15" w:type="dxa"/>
              <w:left w:w="15" w:type="dxa"/>
              <w:right w:w="15" w:type="dxa"/>
            </w:tcMar>
            <w:vAlign w:val="center"/>
          </w:tcPr>
          <w:p w14:paraId="22558C6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op w:val="single" w:color="auto" w:sz="12" w:space="0"/>
              <w:tl2br w:val="nil"/>
              <w:tr2bl w:val="nil"/>
            </w:tcBorders>
            <w:shd w:val="clear" w:color="auto" w:fill="auto"/>
            <w:noWrap/>
            <w:tcMar>
              <w:top w:w="15" w:type="dxa"/>
              <w:left w:w="15" w:type="dxa"/>
              <w:right w:w="15" w:type="dxa"/>
            </w:tcMar>
            <w:vAlign w:val="center"/>
          </w:tcPr>
          <w:p w14:paraId="71ED18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6982F9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09FFF0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751" w:type="pct"/>
            <w:tcBorders>
              <w:tl2br w:val="nil"/>
              <w:tr2bl w:val="nil"/>
            </w:tcBorders>
            <w:shd w:val="clear" w:color="auto" w:fill="auto"/>
            <w:noWrap/>
            <w:tcMar>
              <w:top w:w="15" w:type="dxa"/>
              <w:left w:w="15" w:type="dxa"/>
              <w:right w:w="15" w:type="dxa"/>
            </w:tcMar>
            <w:vAlign w:val="center"/>
          </w:tcPr>
          <w:p w14:paraId="01DCDE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1269" w:type="pct"/>
            <w:tcBorders>
              <w:tl2br w:val="nil"/>
              <w:tr2bl w:val="nil"/>
            </w:tcBorders>
            <w:shd w:val="clear" w:color="auto" w:fill="auto"/>
            <w:noWrap/>
            <w:tcMar>
              <w:top w:w="15" w:type="dxa"/>
              <w:left w:w="15" w:type="dxa"/>
              <w:right w:w="15" w:type="dxa"/>
            </w:tcMar>
            <w:vAlign w:val="center"/>
          </w:tcPr>
          <w:p w14:paraId="512C9F1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园区边界西侧下风向200m</w:t>
            </w:r>
          </w:p>
        </w:tc>
        <w:tc>
          <w:tcPr>
            <w:tcW w:w="1338" w:type="pct"/>
            <w:tcBorders>
              <w:tl2br w:val="nil"/>
              <w:tr2bl w:val="nil"/>
            </w:tcBorders>
            <w:shd w:val="clear" w:color="auto" w:fill="auto"/>
            <w:noWrap/>
            <w:tcMar>
              <w:top w:w="15" w:type="dxa"/>
              <w:left w:w="15" w:type="dxa"/>
              <w:right w:w="15" w:type="dxa"/>
            </w:tcMar>
            <w:vAlign w:val="center"/>
          </w:tcPr>
          <w:p w14:paraId="7921315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GB36600第一类用地筛选值</w:t>
            </w:r>
          </w:p>
        </w:tc>
        <w:tc>
          <w:tcPr>
            <w:tcW w:w="896" w:type="pct"/>
            <w:tcBorders>
              <w:tl2br w:val="nil"/>
              <w:tr2bl w:val="nil"/>
            </w:tcBorders>
            <w:shd w:val="clear" w:color="auto" w:fill="auto"/>
            <w:noWrap/>
            <w:tcMar>
              <w:top w:w="15" w:type="dxa"/>
              <w:left w:w="15" w:type="dxa"/>
              <w:right w:w="15" w:type="dxa"/>
            </w:tcMar>
            <w:vAlign w:val="center"/>
          </w:tcPr>
          <w:p w14:paraId="75B5CD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1A43F0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4CCE4C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751" w:type="pct"/>
            <w:tcBorders>
              <w:tl2br w:val="nil"/>
              <w:tr2bl w:val="nil"/>
            </w:tcBorders>
            <w:shd w:val="clear" w:color="auto" w:fill="auto"/>
            <w:noWrap/>
            <w:tcMar>
              <w:top w:w="15" w:type="dxa"/>
              <w:left w:w="15" w:type="dxa"/>
              <w:right w:w="15" w:type="dxa"/>
            </w:tcMar>
            <w:vAlign w:val="center"/>
          </w:tcPr>
          <w:p w14:paraId="6D2B90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1269" w:type="pct"/>
            <w:tcBorders>
              <w:tl2br w:val="nil"/>
              <w:tr2bl w:val="nil"/>
            </w:tcBorders>
            <w:shd w:val="clear" w:color="auto" w:fill="auto"/>
            <w:noWrap/>
            <w:tcMar>
              <w:top w:w="15" w:type="dxa"/>
              <w:left w:w="15" w:type="dxa"/>
              <w:right w:w="15" w:type="dxa"/>
            </w:tcMar>
            <w:vAlign w:val="center"/>
          </w:tcPr>
          <w:p w14:paraId="0196FAA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1338" w:type="pct"/>
            <w:tcBorders>
              <w:tl2br w:val="nil"/>
              <w:tr2bl w:val="nil"/>
            </w:tcBorders>
            <w:shd w:val="clear" w:color="auto" w:fill="auto"/>
            <w:noWrap/>
            <w:tcMar>
              <w:top w:w="15" w:type="dxa"/>
              <w:left w:w="15" w:type="dxa"/>
              <w:right w:w="15" w:type="dxa"/>
            </w:tcMar>
            <w:vAlign w:val="center"/>
          </w:tcPr>
          <w:p w14:paraId="373A5EF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0783E2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1AD86E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2B14EA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751" w:type="pct"/>
            <w:tcBorders>
              <w:tl2br w:val="nil"/>
              <w:tr2bl w:val="nil"/>
            </w:tcBorders>
            <w:shd w:val="clear" w:color="auto" w:fill="auto"/>
            <w:noWrap/>
            <w:tcMar>
              <w:top w:w="15" w:type="dxa"/>
              <w:left w:w="15" w:type="dxa"/>
              <w:right w:w="15" w:type="dxa"/>
            </w:tcMar>
            <w:vAlign w:val="center"/>
          </w:tcPr>
          <w:p w14:paraId="45198C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1269" w:type="pct"/>
            <w:tcBorders>
              <w:tl2br w:val="nil"/>
              <w:tr2bl w:val="nil"/>
            </w:tcBorders>
            <w:shd w:val="clear" w:color="auto" w:fill="auto"/>
            <w:noWrap/>
            <w:tcMar>
              <w:top w:w="15" w:type="dxa"/>
              <w:left w:w="15" w:type="dxa"/>
              <w:right w:w="15" w:type="dxa"/>
            </w:tcMar>
            <w:vAlign w:val="center"/>
          </w:tcPr>
          <w:p w14:paraId="363E062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1338" w:type="pct"/>
            <w:tcBorders>
              <w:tl2br w:val="nil"/>
              <w:tr2bl w:val="nil"/>
            </w:tcBorders>
            <w:shd w:val="clear" w:color="auto" w:fill="auto"/>
            <w:noWrap/>
            <w:tcMar>
              <w:top w:w="15" w:type="dxa"/>
              <w:left w:w="15" w:type="dxa"/>
              <w:right w:w="15" w:type="dxa"/>
            </w:tcMar>
            <w:vAlign w:val="center"/>
          </w:tcPr>
          <w:p w14:paraId="56ED10D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72912B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040D2D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5C2FB4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751" w:type="pct"/>
            <w:tcBorders>
              <w:tl2br w:val="nil"/>
              <w:tr2bl w:val="nil"/>
            </w:tcBorders>
            <w:shd w:val="clear" w:color="auto" w:fill="auto"/>
            <w:noWrap/>
            <w:tcMar>
              <w:top w:w="15" w:type="dxa"/>
              <w:left w:w="15" w:type="dxa"/>
              <w:right w:w="15" w:type="dxa"/>
            </w:tcMar>
            <w:vAlign w:val="center"/>
          </w:tcPr>
          <w:p w14:paraId="7CD129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1269" w:type="pct"/>
            <w:tcBorders>
              <w:tl2br w:val="nil"/>
              <w:tr2bl w:val="nil"/>
            </w:tcBorders>
            <w:shd w:val="clear" w:color="auto" w:fill="auto"/>
            <w:noWrap/>
            <w:tcMar>
              <w:top w:w="15" w:type="dxa"/>
              <w:left w:w="15" w:type="dxa"/>
              <w:right w:w="15" w:type="dxa"/>
            </w:tcMar>
            <w:vAlign w:val="center"/>
          </w:tcPr>
          <w:p w14:paraId="1B0EB75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1338" w:type="pct"/>
            <w:tcBorders>
              <w:tl2br w:val="nil"/>
              <w:tr2bl w:val="nil"/>
            </w:tcBorders>
            <w:shd w:val="clear" w:color="auto" w:fill="auto"/>
            <w:noWrap/>
            <w:tcMar>
              <w:top w:w="15" w:type="dxa"/>
              <w:left w:w="15" w:type="dxa"/>
              <w:right w:w="15" w:type="dxa"/>
            </w:tcMar>
            <w:vAlign w:val="center"/>
          </w:tcPr>
          <w:p w14:paraId="0C47EFC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5E47C6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r>
      <w:tr w14:paraId="6F3EA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0D8837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751" w:type="pct"/>
            <w:tcBorders>
              <w:tl2br w:val="nil"/>
              <w:tr2bl w:val="nil"/>
            </w:tcBorders>
            <w:shd w:val="clear" w:color="auto" w:fill="auto"/>
            <w:noWrap/>
            <w:tcMar>
              <w:top w:w="15" w:type="dxa"/>
              <w:left w:w="15" w:type="dxa"/>
              <w:right w:w="15" w:type="dxa"/>
            </w:tcMar>
            <w:vAlign w:val="center"/>
          </w:tcPr>
          <w:p w14:paraId="58BDC4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1269" w:type="pct"/>
            <w:tcBorders>
              <w:tl2br w:val="nil"/>
              <w:tr2bl w:val="nil"/>
            </w:tcBorders>
            <w:shd w:val="clear" w:color="auto" w:fill="auto"/>
            <w:noWrap/>
            <w:tcMar>
              <w:top w:w="15" w:type="dxa"/>
              <w:left w:w="15" w:type="dxa"/>
              <w:right w:w="15" w:type="dxa"/>
            </w:tcMar>
            <w:vAlign w:val="center"/>
          </w:tcPr>
          <w:p w14:paraId="493819B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园区边界东侧上风向</w:t>
            </w:r>
            <w:r>
              <w:rPr>
                <w:rStyle w:val="69"/>
                <w:rFonts w:hint="default" w:ascii="Times New Roman" w:hAnsi="Times New Roman" w:cs="Times New Roman"/>
                <w:color w:val="auto"/>
                <w:sz w:val="21"/>
                <w:szCs w:val="21"/>
                <w:highlight w:val="none"/>
                <w:lang w:val="en-US" w:eastAsia="zh-CN" w:bidi="ar"/>
              </w:rPr>
              <w:t>800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1338" w:type="pct"/>
            <w:tcBorders>
              <w:tl2br w:val="nil"/>
              <w:tr2bl w:val="nil"/>
            </w:tcBorders>
            <w:shd w:val="clear" w:color="auto" w:fill="auto"/>
            <w:noWrap/>
            <w:tcMar>
              <w:top w:w="15" w:type="dxa"/>
              <w:left w:w="15" w:type="dxa"/>
              <w:right w:w="15" w:type="dxa"/>
            </w:tcMar>
            <w:vAlign w:val="center"/>
          </w:tcPr>
          <w:p w14:paraId="4B1D4F7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0378B2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r>
      <w:tr w14:paraId="3E24CF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77D0E9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751" w:type="pct"/>
            <w:tcBorders>
              <w:tl2br w:val="nil"/>
              <w:tr2bl w:val="nil"/>
            </w:tcBorders>
            <w:shd w:val="clear" w:color="auto" w:fill="auto"/>
            <w:noWrap/>
            <w:tcMar>
              <w:top w:w="15" w:type="dxa"/>
              <w:left w:w="15" w:type="dxa"/>
              <w:right w:w="15" w:type="dxa"/>
            </w:tcMar>
            <w:vAlign w:val="center"/>
          </w:tcPr>
          <w:p w14:paraId="41F509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1269" w:type="pct"/>
            <w:tcBorders>
              <w:tl2br w:val="nil"/>
              <w:tr2bl w:val="nil"/>
            </w:tcBorders>
            <w:shd w:val="clear" w:color="auto" w:fill="auto"/>
            <w:noWrap/>
            <w:tcMar>
              <w:top w:w="15" w:type="dxa"/>
              <w:left w:w="15" w:type="dxa"/>
              <w:right w:w="15" w:type="dxa"/>
            </w:tcMar>
            <w:vAlign w:val="center"/>
          </w:tcPr>
          <w:p w14:paraId="4ABD921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园区边界北侧上风向</w:t>
            </w:r>
            <w:r>
              <w:rPr>
                <w:rStyle w:val="69"/>
                <w:rFonts w:hint="default" w:ascii="Times New Roman" w:hAnsi="Times New Roman" w:cs="Times New Roman"/>
                <w:color w:val="auto"/>
                <w:sz w:val="21"/>
                <w:szCs w:val="21"/>
                <w:highlight w:val="none"/>
                <w:lang w:val="en-US" w:eastAsia="zh-CN" w:bidi="ar"/>
              </w:rPr>
              <w:t>750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1338" w:type="pct"/>
            <w:tcBorders>
              <w:tl2br w:val="nil"/>
              <w:tr2bl w:val="nil"/>
            </w:tcBorders>
            <w:shd w:val="clear" w:color="auto" w:fill="auto"/>
            <w:noWrap/>
            <w:tcMar>
              <w:top w:w="15" w:type="dxa"/>
              <w:left w:w="15" w:type="dxa"/>
              <w:right w:w="15" w:type="dxa"/>
            </w:tcMar>
            <w:vAlign w:val="center"/>
          </w:tcPr>
          <w:p w14:paraId="1C77695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074574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3AE816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699103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751" w:type="pct"/>
            <w:tcBorders>
              <w:tl2br w:val="nil"/>
              <w:tr2bl w:val="nil"/>
            </w:tcBorders>
            <w:shd w:val="clear" w:color="auto" w:fill="auto"/>
            <w:noWrap/>
            <w:tcMar>
              <w:top w:w="15" w:type="dxa"/>
              <w:left w:w="15" w:type="dxa"/>
              <w:right w:w="15" w:type="dxa"/>
            </w:tcMar>
            <w:vAlign w:val="center"/>
          </w:tcPr>
          <w:p w14:paraId="63D79B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1269" w:type="pct"/>
            <w:tcBorders>
              <w:tl2br w:val="nil"/>
              <w:tr2bl w:val="nil"/>
            </w:tcBorders>
            <w:shd w:val="clear" w:color="auto" w:fill="auto"/>
            <w:noWrap/>
            <w:tcMar>
              <w:top w:w="15" w:type="dxa"/>
              <w:left w:w="15" w:type="dxa"/>
              <w:right w:w="15" w:type="dxa"/>
            </w:tcMar>
            <w:vAlign w:val="center"/>
          </w:tcPr>
          <w:p w14:paraId="243B290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38" w:type="pct"/>
            <w:tcBorders>
              <w:tl2br w:val="nil"/>
              <w:tr2bl w:val="nil"/>
            </w:tcBorders>
            <w:shd w:val="clear" w:color="auto" w:fill="auto"/>
            <w:noWrap/>
            <w:tcMar>
              <w:top w:w="15" w:type="dxa"/>
              <w:left w:w="15" w:type="dxa"/>
              <w:right w:w="15" w:type="dxa"/>
            </w:tcMar>
            <w:vAlign w:val="center"/>
          </w:tcPr>
          <w:p w14:paraId="46D55DF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40E6E2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6A735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583224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751" w:type="pct"/>
            <w:tcBorders>
              <w:tl2br w:val="nil"/>
              <w:tr2bl w:val="nil"/>
            </w:tcBorders>
            <w:shd w:val="clear" w:color="auto" w:fill="auto"/>
            <w:noWrap/>
            <w:tcMar>
              <w:top w:w="15" w:type="dxa"/>
              <w:left w:w="15" w:type="dxa"/>
              <w:right w:w="15" w:type="dxa"/>
            </w:tcMar>
            <w:vAlign w:val="center"/>
          </w:tcPr>
          <w:p w14:paraId="0B197A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1269" w:type="pct"/>
            <w:tcBorders>
              <w:tl2br w:val="nil"/>
              <w:tr2bl w:val="nil"/>
            </w:tcBorders>
            <w:shd w:val="clear" w:color="auto" w:fill="auto"/>
            <w:noWrap/>
            <w:tcMar>
              <w:top w:w="15" w:type="dxa"/>
              <w:left w:w="15" w:type="dxa"/>
              <w:right w:w="15" w:type="dxa"/>
            </w:tcMar>
            <w:vAlign w:val="center"/>
          </w:tcPr>
          <w:p w14:paraId="0665E36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38" w:type="pct"/>
            <w:tcBorders>
              <w:tl2br w:val="nil"/>
              <w:tr2bl w:val="nil"/>
            </w:tcBorders>
            <w:shd w:val="clear" w:color="auto" w:fill="auto"/>
            <w:noWrap/>
            <w:tcMar>
              <w:top w:w="15" w:type="dxa"/>
              <w:left w:w="15" w:type="dxa"/>
              <w:right w:w="15" w:type="dxa"/>
            </w:tcMar>
            <w:vAlign w:val="center"/>
          </w:tcPr>
          <w:p w14:paraId="2F4100E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GB36600第一类用地筛选值</w:t>
            </w:r>
          </w:p>
        </w:tc>
        <w:tc>
          <w:tcPr>
            <w:tcW w:w="896" w:type="pct"/>
            <w:tcBorders>
              <w:tl2br w:val="nil"/>
              <w:tr2bl w:val="nil"/>
            </w:tcBorders>
            <w:shd w:val="clear" w:color="auto" w:fill="auto"/>
            <w:noWrap/>
            <w:tcMar>
              <w:top w:w="15" w:type="dxa"/>
              <w:left w:w="15" w:type="dxa"/>
              <w:right w:w="15" w:type="dxa"/>
            </w:tcMar>
            <w:vAlign w:val="center"/>
          </w:tcPr>
          <w:p w14:paraId="5A74DD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r>
      <w:tr w14:paraId="4A9EC8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4D707B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751" w:type="pct"/>
            <w:tcBorders>
              <w:tl2br w:val="nil"/>
              <w:tr2bl w:val="nil"/>
            </w:tcBorders>
            <w:shd w:val="clear" w:color="auto" w:fill="auto"/>
            <w:noWrap/>
            <w:tcMar>
              <w:top w:w="15" w:type="dxa"/>
              <w:left w:w="15" w:type="dxa"/>
              <w:right w:w="15" w:type="dxa"/>
            </w:tcMar>
            <w:vAlign w:val="center"/>
          </w:tcPr>
          <w:p w14:paraId="513DCE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1269" w:type="pct"/>
            <w:tcBorders>
              <w:tl2br w:val="nil"/>
              <w:tr2bl w:val="nil"/>
            </w:tcBorders>
            <w:shd w:val="clear" w:color="auto" w:fill="auto"/>
            <w:noWrap/>
            <w:tcMar>
              <w:top w:w="15" w:type="dxa"/>
              <w:left w:w="15" w:type="dxa"/>
              <w:right w:w="15" w:type="dxa"/>
            </w:tcMar>
            <w:vAlign w:val="center"/>
          </w:tcPr>
          <w:p w14:paraId="305D333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1338" w:type="pct"/>
            <w:tcBorders>
              <w:tl2br w:val="nil"/>
              <w:tr2bl w:val="nil"/>
            </w:tcBorders>
            <w:shd w:val="clear" w:color="auto" w:fill="auto"/>
            <w:noWrap/>
            <w:tcMar>
              <w:top w:w="15" w:type="dxa"/>
              <w:left w:w="15" w:type="dxa"/>
              <w:right w:w="15" w:type="dxa"/>
            </w:tcMar>
            <w:vAlign w:val="center"/>
          </w:tcPr>
          <w:p w14:paraId="3FF617D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3E97AB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5CDA45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44" w:type="pct"/>
            <w:tcBorders>
              <w:tl2br w:val="nil"/>
              <w:tr2bl w:val="nil"/>
            </w:tcBorders>
            <w:shd w:val="clear" w:color="auto" w:fill="auto"/>
            <w:noWrap/>
            <w:tcMar>
              <w:top w:w="15" w:type="dxa"/>
              <w:left w:w="15" w:type="dxa"/>
              <w:right w:w="15" w:type="dxa"/>
            </w:tcMar>
            <w:vAlign w:val="center"/>
          </w:tcPr>
          <w:p w14:paraId="66A6F2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751" w:type="pct"/>
            <w:tcBorders>
              <w:tl2br w:val="nil"/>
              <w:tr2bl w:val="nil"/>
            </w:tcBorders>
            <w:shd w:val="clear" w:color="auto" w:fill="auto"/>
            <w:noWrap/>
            <w:tcMar>
              <w:top w:w="15" w:type="dxa"/>
              <w:left w:w="15" w:type="dxa"/>
              <w:right w:w="15" w:type="dxa"/>
            </w:tcMar>
            <w:vAlign w:val="center"/>
          </w:tcPr>
          <w:p w14:paraId="7B6C4C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1269" w:type="pct"/>
            <w:tcBorders>
              <w:tl2br w:val="nil"/>
              <w:tr2bl w:val="nil"/>
            </w:tcBorders>
            <w:shd w:val="clear" w:color="auto" w:fill="auto"/>
            <w:noWrap/>
            <w:tcMar>
              <w:top w:w="15" w:type="dxa"/>
              <w:left w:w="15" w:type="dxa"/>
              <w:right w:w="15" w:type="dxa"/>
            </w:tcMar>
            <w:vAlign w:val="center"/>
          </w:tcPr>
          <w:p w14:paraId="2EC9BA3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1338" w:type="pct"/>
            <w:tcBorders>
              <w:tl2br w:val="nil"/>
              <w:tr2bl w:val="nil"/>
            </w:tcBorders>
            <w:shd w:val="clear" w:color="auto" w:fill="auto"/>
            <w:noWrap/>
            <w:tcMar>
              <w:top w:w="15" w:type="dxa"/>
              <w:left w:w="15" w:type="dxa"/>
              <w:right w:w="15" w:type="dxa"/>
            </w:tcMar>
            <w:vAlign w:val="center"/>
          </w:tcPr>
          <w:p w14:paraId="2F1F28C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634229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384599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6D4235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751" w:type="pct"/>
            <w:tcBorders>
              <w:tl2br w:val="nil"/>
              <w:tr2bl w:val="nil"/>
            </w:tcBorders>
            <w:shd w:val="clear" w:color="auto" w:fill="auto"/>
            <w:noWrap/>
            <w:tcMar>
              <w:top w:w="15" w:type="dxa"/>
              <w:left w:w="15" w:type="dxa"/>
              <w:right w:w="15" w:type="dxa"/>
            </w:tcMar>
            <w:vAlign w:val="center"/>
          </w:tcPr>
          <w:p w14:paraId="2A1A5E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1269" w:type="pct"/>
            <w:tcBorders>
              <w:tl2br w:val="nil"/>
              <w:tr2bl w:val="nil"/>
            </w:tcBorders>
            <w:shd w:val="clear" w:color="auto" w:fill="auto"/>
            <w:noWrap/>
            <w:tcMar>
              <w:top w:w="15" w:type="dxa"/>
              <w:left w:w="15" w:type="dxa"/>
              <w:right w:w="15" w:type="dxa"/>
            </w:tcMar>
            <w:vAlign w:val="center"/>
          </w:tcPr>
          <w:p w14:paraId="6506BDC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1338" w:type="pct"/>
            <w:tcBorders>
              <w:tl2br w:val="nil"/>
              <w:tr2bl w:val="nil"/>
            </w:tcBorders>
            <w:shd w:val="clear" w:color="auto" w:fill="auto"/>
            <w:noWrap/>
            <w:tcMar>
              <w:top w:w="15" w:type="dxa"/>
              <w:left w:w="15" w:type="dxa"/>
              <w:right w:w="15" w:type="dxa"/>
            </w:tcMar>
            <w:vAlign w:val="center"/>
          </w:tcPr>
          <w:p w14:paraId="3A7C527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56F8F9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r>
      <w:tr w14:paraId="33E812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397EE6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751" w:type="pct"/>
            <w:tcBorders>
              <w:tl2br w:val="nil"/>
              <w:tr2bl w:val="nil"/>
            </w:tcBorders>
            <w:shd w:val="clear" w:color="auto" w:fill="auto"/>
            <w:noWrap/>
            <w:tcMar>
              <w:top w:w="15" w:type="dxa"/>
              <w:left w:w="15" w:type="dxa"/>
              <w:right w:w="15" w:type="dxa"/>
            </w:tcMar>
            <w:vAlign w:val="center"/>
          </w:tcPr>
          <w:p w14:paraId="7C161D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1269" w:type="pct"/>
            <w:tcBorders>
              <w:tl2br w:val="nil"/>
              <w:tr2bl w:val="nil"/>
            </w:tcBorders>
            <w:shd w:val="clear" w:color="auto" w:fill="auto"/>
            <w:noWrap/>
            <w:tcMar>
              <w:top w:w="15" w:type="dxa"/>
              <w:left w:w="15" w:type="dxa"/>
              <w:right w:w="15" w:type="dxa"/>
            </w:tcMar>
            <w:vAlign w:val="center"/>
          </w:tcPr>
          <w:p w14:paraId="29A1C4E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1338" w:type="pct"/>
            <w:tcBorders>
              <w:tl2br w:val="nil"/>
              <w:tr2bl w:val="nil"/>
            </w:tcBorders>
            <w:shd w:val="clear" w:color="auto" w:fill="auto"/>
            <w:noWrap/>
            <w:tcMar>
              <w:top w:w="15" w:type="dxa"/>
              <w:left w:w="15" w:type="dxa"/>
              <w:right w:w="15" w:type="dxa"/>
            </w:tcMar>
            <w:vAlign w:val="center"/>
          </w:tcPr>
          <w:p w14:paraId="761DC83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1D6A18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5B13E8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74CC11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751" w:type="pct"/>
            <w:tcBorders>
              <w:tl2br w:val="nil"/>
              <w:tr2bl w:val="nil"/>
            </w:tcBorders>
            <w:shd w:val="clear" w:color="auto" w:fill="auto"/>
            <w:noWrap/>
            <w:tcMar>
              <w:top w:w="15" w:type="dxa"/>
              <w:left w:w="15" w:type="dxa"/>
              <w:right w:w="15" w:type="dxa"/>
            </w:tcMar>
            <w:vAlign w:val="center"/>
          </w:tcPr>
          <w:p w14:paraId="0FB73D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1269" w:type="pct"/>
            <w:tcBorders>
              <w:tl2br w:val="nil"/>
              <w:tr2bl w:val="nil"/>
            </w:tcBorders>
            <w:shd w:val="clear" w:color="auto" w:fill="auto"/>
            <w:noWrap/>
            <w:tcMar>
              <w:top w:w="15" w:type="dxa"/>
              <w:left w:w="15" w:type="dxa"/>
              <w:right w:w="15" w:type="dxa"/>
            </w:tcMar>
            <w:vAlign w:val="center"/>
          </w:tcPr>
          <w:p w14:paraId="798905B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38" w:type="pct"/>
            <w:tcBorders>
              <w:tl2br w:val="nil"/>
              <w:tr2bl w:val="nil"/>
            </w:tcBorders>
            <w:shd w:val="clear" w:color="auto" w:fill="auto"/>
            <w:noWrap/>
            <w:tcMar>
              <w:top w:w="15" w:type="dxa"/>
              <w:left w:w="15" w:type="dxa"/>
              <w:right w:w="15" w:type="dxa"/>
            </w:tcMar>
            <w:vAlign w:val="center"/>
          </w:tcPr>
          <w:p w14:paraId="039A180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4367B3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r>
      <w:tr w14:paraId="7D1B90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30908E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751" w:type="pct"/>
            <w:tcBorders>
              <w:tl2br w:val="nil"/>
              <w:tr2bl w:val="nil"/>
            </w:tcBorders>
            <w:shd w:val="clear" w:color="auto" w:fill="auto"/>
            <w:noWrap/>
            <w:tcMar>
              <w:top w:w="15" w:type="dxa"/>
              <w:left w:w="15" w:type="dxa"/>
              <w:right w:w="15" w:type="dxa"/>
            </w:tcMar>
            <w:vAlign w:val="center"/>
          </w:tcPr>
          <w:p w14:paraId="66389D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1269" w:type="pct"/>
            <w:tcBorders>
              <w:tl2br w:val="nil"/>
              <w:tr2bl w:val="nil"/>
            </w:tcBorders>
            <w:shd w:val="clear" w:color="auto" w:fill="auto"/>
            <w:noWrap/>
            <w:tcMar>
              <w:top w:w="15" w:type="dxa"/>
              <w:left w:w="15" w:type="dxa"/>
              <w:right w:w="15" w:type="dxa"/>
            </w:tcMar>
            <w:vAlign w:val="center"/>
          </w:tcPr>
          <w:p w14:paraId="382A8AD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1338" w:type="pct"/>
            <w:tcBorders>
              <w:tl2br w:val="nil"/>
              <w:tr2bl w:val="nil"/>
            </w:tcBorders>
            <w:shd w:val="clear" w:color="auto" w:fill="auto"/>
            <w:noWrap/>
            <w:tcMar>
              <w:top w:w="15" w:type="dxa"/>
              <w:left w:w="15" w:type="dxa"/>
              <w:right w:w="15" w:type="dxa"/>
            </w:tcMar>
            <w:vAlign w:val="center"/>
          </w:tcPr>
          <w:p w14:paraId="45088F1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18524F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r>
      <w:tr w14:paraId="204C2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44" w:type="pct"/>
            <w:tcBorders>
              <w:tl2br w:val="nil"/>
              <w:tr2bl w:val="nil"/>
            </w:tcBorders>
            <w:shd w:val="clear" w:color="auto" w:fill="auto"/>
            <w:noWrap/>
            <w:tcMar>
              <w:top w:w="15" w:type="dxa"/>
              <w:left w:w="15" w:type="dxa"/>
              <w:right w:w="15" w:type="dxa"/>
            </w:tcMar>
            <w:vAlign w:val="center"/>
          </w:tcPr>
          <w:p w14:paraId="76DF81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751" w:type="pct"/>
            <w:tcBorders>
              <w:tl2br w:val="nil"/>
              <w:tr2bl w:val="nil"/>
            </w:tcBorders>
            <w:shd w:val="clear" w:color="auto" w:fill="auto"/>
            <w:noWrap/>
            <w:tcMar>
              <w:top w:w="15" w:type="dxa"/>
              <w:left w:w="15" w:type="dxa"/>
              <w:right w:w="15" w:type="dxa"/>
            </w:tcMar>
            <w:vAlign w:val="center"/>
          </w:tcPr>
          <w:p w14:paraId="788D6F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1269" w:type="pct"/>
            <w:tcBorders>
              <w:tl2br w:val="nil"/>
              <w:tr2bl w:val="nil"/>
            </w:tcBorders>
            <w:shd w:val="clear" w:color="auto" w:fill="auto"/>
            <w:noWrap/>
            <w:tcMar>
              <w:top w:w="15" w:type="dxa"/>
              <w:left w:w="15" w:type="dxa"/>
              <w:right w:w="15" w:type="dxa"/>
            </w:tcMar>
            <w:vAlign w:val="center"/>
          </w:tcPr>
          <w:p w14:paraId="650D01A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1338" w:type="pct"/>
            <w:tcBorders>
              <w:tl2br w:val="nil"/>
              <w:tr2bl w:val="nil"/>
            </w:tcBorders>
            <w:shd w:val="clear" w:color="auto" w:fill="auto"/>
            <w:noWrap/>
            <w:tcMar>
              <w:top w:w="15" w:type="dxa"/>
              <w:left w:w="15" w:type="dxa"/>
              <w:right w:w="15" w:type="dxa"/>
            </w:tcMar>
            <w:vAlign w:val="center"/>
          </w:tcPr>
          <w:p w14:paraId="1B164F6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GB36600第二类用地筛选值</w:t>
            </w:r>
          </w:p>
        </w:tc>
        <w:tc>
          <w:tcPr>
            <w:tcW w:w="896" w:type="pct"/>
            <w:tcBorders>
              <w:tl2br w:val="nil"/>
              <w:tr2bl w:val="nil"/>
            </w:tcBorders>
            <w:shd w:val="clear" w:color="auto" w:fill="auto"/>
            <w:noWrap/>
            <w:tcMar>
              <w:top w:w="15" w:type="dxa"/>
              <w:left w:w="15" w:type="dxa"/>
              <w:right w:w="15" w:type="dxa"/>
            </w:tcMar>
            <w:vAlign w:val="center"/>
          </w:tcPr>
          <w:p w14:paraId="417523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41</w:t>
            </w:r>
          </w:p>
        </w:tc>
      </w:tr>
      <w:tr w14:paraId="2627BB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20"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69E602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最大值</w:t>
            </w:r>
          </w:p>
        </w:tc>
        <w:tc>
          <w:tcPr>
            <w:tcW w:w="896" w:type="pct"/>
            <w:tcBorders>
              <w:tl2br w:val="nil"/>
              <w:tr2bl w:val="nil"/>
            </w:tcBorders>
            <w:shd w:val="clear" w:color="auto" w:fill="auto"/>
            <w:noWrap/>
            <w:tcMar>
              <w:top w:w="15" w:type="dxa"/>
              <w:left w:w="15" w:type="dxa"/>
              <w:right w:w="15" w:type="dxa"/>
            </w:tcMar>
            <w:vAlign w:val="center"/>
          </w:tcPr>
          <w:p w14:paraId="43D26D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r>
      <w:tr w14:paraId="383EDC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63B3D8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最小值</w:t>
            </w:r>
          </w:p>
        </w:tc>
        <w:tc>
          <w:tcPr>
            <w:tcW w:w="896" w:type="pct"/>
            <w:tcBorders>
              <w:tl2br w:val="nil"/>
              <w:tr2bl w:val="nil"/>
            </w:tcBorders>
            <w:shd w:val="clear" w:color="auto" w:fill="auto"/>
            <w:noWrap/>
            <w:tcMar>
              <w:top w:w="15" w:type="dxa"/>
              <w:left w:w="15" w:type="dxa"/>
              <w:right w:w="15" w:type="dxa"/>
            </w:tcMar>
            <w:vAlign w:val="center"/>
          </w:tcPr>
          <w:p w14:paraId="07F7AD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&lt;6</w:t>
            </w:r>
          </w:p>
        </w:tc>
      </w:tr>
      <w:tr w14:paraId="5595F3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36B713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平均值</w:t>
            </w:r>
          </w:p>
        </w:tc>
        <w:tc>
          <w:tcPr>
            <w:tcW w:w="896" w:type="pct"/>
            <w:tcBorders>
              <w:tl2br w:val="nil"/>
              <w:tr2bl w:val="nil"/>
            </w:tcBorders>
            <w:shd w:val="clear" w:color="auto" w:fill="auto"/>
            <w:noWrap/>
            <w:tcMar>
              <w:top w:w="15" w:type="dxa"/>
              <w:left w:w="15" w:type="dxa"/>
              <w:right w:w="15" w:type="dxa"/>
            </w:tcMar>
            <w:vAlign w:val="center"/>
          </w:tcPr>
          <w:p w14:paraId="60C460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14</w:t>
            </w:r>
          </w:p>
        </w:tc>
      </w:tr>
      <w:tr w14:paraId="04336F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6DF7D2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检出率</w:t>
            </w:r>
          </w:p>
        </w:tc>
        <w:tc>
          <w:tcPr>
            <w:tcW w:w="896" w:type="pct"/>
            <w:tcBorders>
              <w:tl2br w:val="nil"/>
              <w:tr2bl w:val="nil"/>
            </w:tcBorders>
            <w:shd w:val="clear" w:color="auto" w:fill="auto"/>
            <w:noWrap/>
            <w:tcMar>
              <w:top w:w="15" w:type="dxa"/>
              <w:left w:w="15" w:type="dxa"/>
              <w:right w:w="15" w:type="dxa"/>
            </w:tcMar>
            <w:vAlign w:val="center"/>
          </w:tcPr>
          <w:p w14:paraId="7D9AD2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44</w:t>
            </w:r>
            <w:r>
              <w:rPr>
                <w:rFonts w:hint="default" w:ascii="Times New Roman" w:hAnsi="Times New Roman" w:cs="Times New Roman"/>
                <w:i w:val="0"/>
                <w:color w:val="auto"/>
                <w:kern w:val="0"/>
                <w:sz w:val="21"/>
                <w:szCs w:val="21"/>
                <w:highlight w:val="none"/>
                <w:u w:val="none"/>
                <w:lang w:val="en-US" w:eastAsia="zh-CN" w:bidi="ar"/>
              </w:rPr>
              <w:t>%</w:t>
            </w:r>
          </w:p>
        </w:tc>
      </w:tr>
      <w:tr w14:paraId="06B3AC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690646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第一类用地筛选值</w:t>
            </w:r>
          </w:p>
        </w:tc>
        <w:tc>
          <w:tcPr>
            <w:tcW w:w="896" w:type="pct"/>
            <w:tcBorders>
              <w:tl2br w:val="nil"/>
              <w:tr2bl w:val="nil"/>
            </w:tcBorders>
            <w:shd w:val="clear" w:color="auto" w:fill="auto"/>
            <w:noWrap/>
            <w:tcMar>
              <w:top w:w="15" w:type="dxa"/>
              <w:left w:w="15" w:type="dxa"/>
              <w:right w:w="15" w:type="dxa"/>
            </w:tcMar>
            <w:vAlign w:val="center"/>
          </w:tcPr>
          <w:p w14:paraId="500240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826</w:t>
            </w:r>
          </w:p>
        </w:tc>
      </w:tr>
      <w:tr w14:paraId="2FA659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0033D4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第二类用地筛选值</w:t>
            </w:r>
          </w:p>
        </w:tc>
        <w:tc>
          <w:tcPr>
            <w:tcW w:w="896" w:type="pct"/>
            <w:tcBorders>
              <w:tl2br w:val="nil"/>
              <w:tr2bl w:val="nil"/>
            </w:tcBorders>
            <w:shd w:val="clear" w:color="auto" w:fill="auto"/>
            <w:noWrap/>
            <w:tcMar>
              <w:top w:w="15" w:type="dxa"/>
              <w:left w:w="15" w:type="dxa"/>
              <w:right w:w="15" w:type="dxa"/>
            </w:tcMar>
            <w:vAlign w:val="center"/>
          </w:tcPr>
          <w:p w14:paraId="334726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4500</w:t>
            </w:r>
          </w:p>
        </w:tc>
      </w:tr>
      <w:tr w14:paraId="639F70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4103" w:type="pct"/>
            <w:gridSpan w:val="4"/>
            <w:tcBorders>
              <w:tl2br w:val="nil"/>
              <w:tr2bl w:val="nil"/>
            </w:tcBorders>
            <w:shd w:val="clear" w:color="auto" w:fill="auto"/>
            <w:noWrap/>
            <w:tcMar>
              <w:top w:w="15" w:type="dxa"/>
              <w:left w:w="15" w:type="dxa"/>
              <w:right w:w="15" w:type="dxa"/>
            </w:tcMar>
            <w:vAlign w:val="center"/>
          </w:tcPr>
          <w:p w14:paraId="0576A8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达标情况</w:t>
            </w:r>
          </w:p>
        </w:tc>
        <w:tc>
          <w:tcPr>
            <w:tcW w:w="896" w:type="pct"/>
            <w:tcBorders>
              <w:tl2br w:val="nil"/>
              <w:tr2bl w:val="nil"/>
            </w:tcBorders>
            <w:shd w:val="clear" w:color="auto" w:fill="auto"/>
            <w:noWrap/>
            <w:tcMar>
              <w:top w:w="15" w:type="dxa"/>
              <w:left w:w="15" w:type="dxa"/>
              <w:right w:w="15" w:type="dxa"/>
            </w:tcMar>
            <w:vAlign w:val="center"/>
          </w:tcPr>
          <w:p w14:paraId="4D8EAC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r>
    </w:tbl>
    <w:p w14:paraId="3B9182E1">
      <w:pPr>
        <w:pStyle w:val="2"/>
        <w:rPr>
          <w:rFonts w:hint="default"/>
          <w:lang w:eastAsia="zh-CN"/>
        </w:rPr>
      </w:pPr>
    </w:p>
    <w:p w14:paraId="6CDDEED2">
      <w:pPr>
        <w:spacing w:before="156" w:beforeLines="50"/>
        <w:ind w:firstLine="420" w:firstLineChars="0"/>
        <w:rPr>
          <w:rFonts w:hint="default" w:ascii="Times New Roman" w:hAnsi="Times New Roman" w:eastAsia="宋体" w:cs="Times New Roman"/>
          <w:b/>
          <w:bCs/>
          <w:color w:val="auto"/>
          <w:sz w:val="24"/>
          <w:highlight w:val="none"/>
          <w:lang w:eastAsia="zh-CN"/>
        </w:rPr>
      </w:pPr>
      <w:r>
        <w:rPr>
          <w:rStyle w:val="64"/>
          <w:rFonts w:hint="default" w:ascii="Times New Roman" w:hAnsi="Times New Roman" w:eastAsia="黑体" w:cs="Times New Roman"/>
          <w:color w:val="auto"/>
          <w:highlight w:val="none"/>
          <w:lang w:eastAsia="zh-CN"/>
        </w:rPr>
        <w:t>（</w:t>
      </w:r>
      <w:r>
        <w:rPr>
          <w:rStyle w:val="64"/>
          <w:rFonts w:hint="eastAsia" w:eastAsia="黑体" w:cs="Times New Roman"/>
          <w:color w:val="auto"/>
          <w:highlight w:val="none"/>
          <w:lang w:val="en-US" w:eastAsia="zh-CN"/>
        </w:rPr>
        <w:t>5</w:t>
      </w:r>
      <w:r>
        <w:rPr>
          <w:rStyle w:val="64"/>
          <w:rFonts w:hint="default" w:ascii="Times New Roman" w:hAnsi="Times New Roman" w:eastAsia="黑体" w:cs="Times New Roman"/>
          <w:color w:val="auto"/>
          <w:highlight w:val="none"/>
          <w:lang w:eastAsia="zh-CN"/>
        </w:rPr>
        <w:t>）</w:t>
      </w:r>
      <w:r>
        <w:rPr>
          <w:rFonts w:hint="default" w:ascii="Times New Roman" w:hAnsi="Times New Roman" w:cs="Times New Roman"/>
          <w:b/>
          <w:bCs/>
          <w:color w:val="auto"/>
          <w:highlight w:val="none"/>
        </w:rPr>
        <w:t>重金属</w:t>
      </w:r>
    </w:p>
    <w:p w14:paraId="26CC1E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w:t>
      </w:r>
      <w:r>
        <w:rPr>
          <w:rFonts w:hint="eastAsia" w:cs="Times New Roman"/>
          <w:color w:val="auto"/>
          <w:sz w:val="24"/>
          <w:highlight w:val="none"/>
          <w:lang w:val="en-US" w:eastAsia="zh-CN"/>
        </w:rPr>
        <w:t>16个土壤样品（不含质控样品）</w:t>
      </w:r>
      <w:r>
        <w:rPr>
          <w:rFonts w:hint="default" w:ascii="Times New Roman" w:hAnsi="Times New Roman" w:cs="Times New Roman"/>
          <w:color w:val="auto"/>
          <w:sz w:val="24"/>
          <w:highlight w:val="none"/>
        </w:rPr>
        <w:t>重金属测试项目除</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以外均有检出</w:t>
      </w:r>
      <w:r>
        <w:rPr>
          <w:rFonts w:hint="default" w:ascii="Times New Roman" w:hAnsi="Times New Roman" w:cs="Times New Roman"/>
          <w:color w:val="auto"/>
          <w:sz w:val="24"/>
          <w:highlight w:val="none"/>
          <w:lang w:eastAsia="zh-CN"/>
        </w:rPr>
        <w:t>，锑检出率为</w:t>
      </w:r>
      <w:r>
        <w:rPr>
          <w:rFonts w:hint="eastAsia" w:cs="Times New Roman"/>
          <w:color w:val="auto"/>
          <w:sz w:val="24"/>
          <w:highlight w:val="none"/>
          <w:lang w:val="en-US" w:eastAsia="zh-CN"/>
        </w:rPr>
        <w:t>81</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镉</w:t>
      </w:r>
      <w:r>
        <w:rPr>
          <w:rFonts w:hint="default" w:ascii="Times New Roman" w:hAnsi="Times New Roman" w:cs="Times New Roman"/>
          <w:color w:val="auto"/>
          <w:sz w:val="24"/>
          <w:highlight w:val="none"/>
          <w:lang w:eastAsia="zh-CN"/>
        </w:rPr>
        <w:t>检出率为</w:t>
      </w:r>
      <w:r>
        <w:rPr>
          <w:rFonts w:hint="eastAsia" w:cs="Times New Roman"/>
          <w:color w:val="auto"/>
          <w:sz w:val="24"/>
          <w:highlight w:val="none"/>
          <w:lang w:val="en-US" w:eastAsia="zh-CN"/>
        </w:rPr>
        <w:t>94</w:t>
      </w:r>
      <w:r>
        <w:rPr>
          <w:rFonts w:hint="default" w:ascii="Times New Roman" w:hAnsi="Times New Roman" w:cs="Times New Roman"/>
          <w:color w:val="auto"/>
          <w:sz w:val="24"/>
          <w:highlight w:val="none"/>
          <w:lang w:val="en-US" w:eastAsia="zh-CN"/>
        </w:rPr>
        <w:t>%，其余污染物指标</w:t>
      </w:r>
      <w:r>
        <w:rPr>
          <w:rFonts w:hint="default" w:ascii="Times New Roman" w:hAnsi="Times New Roman" w:cs="Times New Roman"/>
          <w:color w:val="auto"/>
          <w:sz w:val="24"/>
          <w:highlight w:val="none"/>
          <w:lang w:eastAsia="zh-CN"/>
        </w:rPr>
        <w:t>检出率</w:t>
      </w:r>
      <w:r>
        <w:rPr>
          <w:rFonts w:hint="default" w:ascii="Times New Roman" w:hAnsi="Times New Roman" w:cs="Times New Roman"/>
          <w:color w:val="auto"/>
          <w:sz w:val="24"/>
          <w:highlight w:val="none"/>
          <w:lang w:val="en-US" w:eastAsia="zh-CN"/>
        </w:rPr>
        <w:t>100%</w:t>
      </w:r>
      <w:r>
        <w:rPr>
          <w:rFonts w:hint="default" w:ascii="Times New Roman" w:hAnsi="Times New Roman" w:cs="Times New Roman"/>
          <w:color w:val="auto"/>
          <w:sz w:val="24"/>
          <w:highlight w:val="none"/>
          <w:lang w:eastAsia="zh-CN"/>
        </w:rPr>
        <w:t>。</w:t>
      </w:r>
    </w:p>
    <w:p w14:paraId="7FB2F9C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eastAsia="zh-CN"/>
        </w:rPr>
        <w:t>各点位检出的</w:t>
      </w:r>
      <w:r>
        <w:rPr>
          <w:rFonts w:hint="default" w:ascii="Times New Roman" w:hAnsi="Times New Roman" w:cs="Times New Roman"/>
          <w:color w:val="auto"/>
          <w:highlight w:val="none"/>
        </w:rPr>
        <w:t>重金属</w:t>
      </w:r>
      <w:r>
        <w:rPr>
          <w:rFonts w:hint="default" w:ascii="Times New Roman" w:hAnsi="Times New Roman" w:cs="Times New Roman"/>
          <w:color w:val="auto"/>
          <w:highlight w:val="none"/>
          <w:lang w:eastAsia="zh-CN"/>
        </w:rPr>
        <w:t>浓度均未超过对应的</w:t>
      </w:r>
      <w:r>
        <w:rPr>
          <w:rFonts w:hint="default" w:ascii="Times New Roman" w:hAnsi="Times New Roman" w:cs="Times New Roman"/>
          <w:color w:val="auto"/>
          <w:sz w:val="24"/>
          <w:szCs w:val="24"/>
          <w:highlight w:val="none"/>
          <w:lang w:val="en-US" w:eastAsia="zh-CN"/>
        </w:rPr>
        <w:t>参考标准值，各点位重金属监测结果均达标</w:t>
      </w:r>
      <w:r>
        <w:rPr>
          <w:rFonts w:hint="default" w:ascii="Times New Roman" w:hAnsi="Times New Roman" w:cs="Times New Roman"/>
          <w:color w:val="auto"/>
          <w:highlight w:val="none"/>
          <w:lang w:val="en-US" w:eastAsia="zh-CN"/>
        </w:rPr>
        <w:t>。</w:t>
      </w:r>
    </w:p>
    <w:p w14:paraId="68CF50B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eastAsia" w:eastAsia="黑体" w:cs="Times New Roman"/>
          <w:b/>
          <w:bCs/>
          <w:color w:val="auto"/>
          <w:sz w:val="24"/>
          <w:highlight w:val="none"/>
          <w:lang w:val="en-US" w:eastAsia="zh-CN"/>
        </w:rPr>
        <w:t>5</w:t>
      </w:r>
      <w:r>
        <w:rPr>
          <w:rFonts w:hint="default" w:ascii="Times New Roman" w:hAnsi="Times New Roman" w:eastAsia="黑体" w:cs="Times New Roman"/>
          <w:b/>
          <w:bCs/>
          <w:color w:val="auto"/>
          <w:sz w:val="24"/>
          <w:highlight w:val="none"/>
        </w:rPr>
        <w:t xml:space="preserve">  土壤样品</w:t>
      </w:r>
      <w:r>
        <w:rPr>
          <w:rFonts w:hint="default" w:ascii="Times New Roman" w:hAnsi="Times New Roman" w:eastAsia="黑体" w:cs="Times New Roman"/>
          <w:b/>
          <w:bCs/>
          <w:color w:val="auto"/>
          <w:sz w:val="24"/>
          <w:highlight w:val="none"/>
          <w:lang w:eastAsia="zh-CN"/>
        </w:rPr>
        <w:t>检出</w:t>
      </w:r>
      <w:r>
        <w:rPr>
          <w:rFonts w:hint="default" w:ascii="Times New Roman" w:hAnsi="Times New Roman" w:eastAsia="黑体" w:cs="Times New Roman"/>
          <w:b/>
          <w:bCs/>
          <w:color w:val="auto"/>
          <w:sz w:val="24"/>
          <w:highlight w:val="none"/>
        </w:rPr>
        <w:t>重金属</w:t>
      </w:r>
      <w:r>
        <w:rPr>
          <w:rFonts w:hint="default" w:ascii="Times New Roman" w:hAnsi="Times New Roman" w:eastAsia="黑体" w:cs="Times New Roman"/>
          <w:b/>
          <w:bCs/>
          <w:color w:val="auto"/>
          <w:sz w:val="24"/>
          <w:highlight w:val="none"/>
          <w:lang w:eastAsia="zh-CN"/>
        </w:rPr>
        <w:t>指标</w:t>
      </w:r>
      <w:r>
        <w:rPr>
          <w:rFonts w:hint="default" w:ascii="Times New Roman" w:hAnsi="Times New Roman" w:eastAsia="黑体" w:cs="Times New Roman"/>
          <w:b/>
          <w:bCs/>
          <w:color w:val="auto"/>
          <w:sz w:val="24"/>
          <w:highlight w:val="none"/>
        </w:rPr>
        <w:t>监测值</w:t>
      </w:r>
      <w:r>
        <w:rPr>
          <w:rFonts w:hint="default" w:ascii="Times New Roman" w:hAnsi="Times New Roman" w:eastAsia="黑体" w:cs="Times New Roman"/>
          <w:b/>
          <w:bCs/>
          <w:color w:val="auto"/>
          <w:sz w:val="24"/>
          <w:highlight w:val="none"/>
          <w:lang w:eastAsia="zh-CN"/>
        </w:rPr>
        <w:t>（建设用地标准）</w:t>
      </w:r>
      <w:r>
        <w:rPr>
          <w:rFonts w:hint="default" w:ascii="Times New Roman" w:hAnsi="Times New Roman" w:eastAsia="黑体" w:cs="Times New Roman"/>
          <w:b/>
          <w:bCs/>
          <w:color w:val="auto"/>
          <w:sz w:val="24"/>
          <w:highlight w:val="none"/>
        </w:rPr>
        <w:t xml:space="preserve">  （单位：mg/kg）</w:t>
      </w:r>
    </w:p>
    <w:tbl>
      <w:tblPr>
        <w:tblStyle w:val="21"/>
        <w:tblW w:w="505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42"/>
        <w:gridCol w:w="1000"/>
        <w:gridCol w:w="1376"/>
        <w:gridCol w:w="1367"/>
        <w:gridCol w:w="568"/>
        <w:gridCol w:w="568"/>
        <w:gridCol w:w="568"/>
        <w:gridCol w:w="568"/>
        <w:gridCol w:w="568"/>
        <w:gridCol w:w="568"/>
        <w:gridCol w:w="568"/>
        <w:gridCol w:w="568"/>
        <w:gridCol w:w="568"/>
        <w:gridCol w:w="574"/>
      </w:tblGrid>
      <w:tr w14:paraId="4A8A54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175" w:type="pct"/>
            <w:tcBorders>
              <w:bottom w:val="single" w:color="auto" w:sz="12" w:space="0"/>
              <w:tl2br w:val="nil"/>
              <w:tr2bl w:val="nil"/>
            </w:tcBorders>
            <w:shd w:val="clear" w:color="auto" w:fill="auto"/>
            <w:noWrap/>
            <w:tcMar>
              <w:top w:w="15" w:type="dxa"/>
              <w:left w:w="15" w:type="dxa"/>
              <w:right w:w="15" w:type="dxa"/>
            </w:tcMar>
            <w:vAlign w:val="center"/>
          </w:tcPr>
          <w:p w14:paraId="098FCE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val="en-US"/>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511" w:type="pct"/>
            <w:tcBorders>
              <w:bottom w:val="single" w:color="auto" w:sz="12" w:space="0"/>
              <w:tl2br w:val="nil"/>
              <w:tr2bl w:val="nil"/>
            </w:tcBorders>
            <w:shd w:val="clear" w:color="auto" w:fill="auto"/>
            <w:noWrap/>
            <w:tcMar>
              <w:top w:w="15" w:type="dxa"/>
              <w:left w:w="15" w:type="dxa"/>
              <w:right w:w="15" w:type="dxa"/>
            </w:tcMar>
            <w:vAlign w:val="center"/>
          </w:tcPr>
          <w:p w14:paraId="686326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样品</w:t>
            </w:r>
            <w:r>
              <w:rPr>
                <w:rFonts w:hint="default" w:ascii="Times New Roman" w:hAnsi="Times New Roman" w:eastAsia="宋体" w:cs="Times New Roman"/>
                <w:b/>
                <w:i w:val="0"/>
                <w:color w:val="auto"/>
                <w:kern w:val="0"/>
                <w:sz w:val="21"/>
                <w:szCs w:val="21"/>
                <w:highlight w:val="none"/>
                <w:u w:val="none"/>
                <w:lang w:val="en-US" w:eastAsia="zh-CN" w:bidi="ar"/>
              </w:rPr>
              <w:t>编号</w:t>
            </w:r>
          </w:p>
        </w:tc>
        <w:tc>
          <w:tcPr>
            <w:tcW w:w="704" w:type="pct"/>
            <w:tcBorders>
              <w:bottom w:val="single" w:color="auto" w:sz="12" w:space="0"/>
              <w:tl2br w:val="nil"/>
              <w:tr2bl w:val="nil"/>
            </w:tcBorders>
            <w:shd w:val="clear" w:color="auto" w:fill="auto"/>
            <w:noWrap/>
            <w:tcMar>
              <w:top w:w="15" w:type="dxa"/>
              <w:left w:w="15" w:type="dxa"/>
              <w:right w:w="15" w:type="dxa"/>
            </w:tcMar>
            <w:vAlign w:val="center"/>
          </w:tcPr>
          <w:p w14:paraId="55B64CE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点位位置</w:t>
            </w:r>
          </w:p>
        </w:tc>
        <w:tc>
          <w:tcPr>
            <w:tcW w:w="699" w:type="pct"/>
            <w:tcBorders>
              <w:bottom w:val="single" w:color="auto" w:sz="12" w:space="0"/>
              <w:tl2br w:val="nil"/>
              <w:tr2bl w:val="nil"/>
            </w:tcBorders>
            <w:shd w:val="clear" w:color="auto" w:fill="auto"/>
            <w:noWrap/>
            <w:tcMar>
              <w:top w:w="15" w:type="dxa"/>
              <w:left w:w="15" w:type="dxa"/>
              <w:right w:w="15" w:type="dxa"/>
            </w:tcMar>
            <w:vAlign w:val="center"/>
          </w:tcPr>
          <w:p w14:paraId="70ED484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参考标准</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720658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铅</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5F230D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汞</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58C78F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钴</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6AC004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镉</w:t>
            </w:r>
            <w:r>
              <w:rPr>
                <w:rFonts w:hint="default" w:ascii="Times New Roman" w:hAnsi="Times New Roman" w:cs="Times New Roman"/>
                <w:b/>
                <w:i w:val="0"/>
                <w:color w:val="auto"/>
                <w:kern w:val="0"/>
                <w:sz w:val="21"/>
                <w:szCs w:val="21"/>
                <w:highlight w:val="none"/>
                <w:u w:val="none"/>
                <w:vertAlign w:val="superscript"/>
                <w:lang w:val="en-US" w:eastAsia="zh-CN" w:bidi="ar"/>
              </w:rPr>
              <w:t>①</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38D622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铜</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4D77CB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镍</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6595AA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铬</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19EFA3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砷</w:t>
            </w:r>
          </w:p>
        </w:tc>
        <w:tc>
          <w:tcPr>
            <w:tcW w:w="290" w:type="pct"/>
            <w:tcBorders>
              <w:bottom w:val="single" w:color="auto" w:sz="12" w:space="0"/>
              <w:tl2br w:val="nil"/>
              <w:tr2bl w:val="nil"/>
            </w:tcBorders>
            <w:shd w:val="clear" w:color="auto" w:fill="auto"/>
            <w:noWrap/>
            <w:tcMar>
              <w:top w:w="15" w:type="dxa"/>
              <w:left w:w="15" w:type="dxa"/>
              <w:right w:w="15" w:type="dxa"/>
            </w:tcMar>
            <w:vAlign w:val="center"/>
          </w:tcPr>
          <w:p w14:paraId="649D56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钼</w:t>
            </w:r>
          </w:p>
        </w:tc>
        <w:tc>
          <w:tcPr>
            <w:tcW w:w="293" w:type="pct"/>
            <w:tcBorders>
              <w:bottom w:val="single" w:color="auto" w:sz="12" w:space="0"/>
              <w:tl2br w:val="nil"/>
              <w:tr2bl w:val="nil"/>
            </w:tcBorders>
            <w:shd w:val="clear" w:color="auto" w:fill="auto"/>
            <w:noWrap/>
            <w:tcMar>
              <w:top w:w="15" w:type="dxa"/>
              <w:left w:w="15" w:type="dxa"/>
              <w:right w:w="15" w:type="dxa"/>
            </w:tcMar>
            <w:vAlign w:val="center"/>
          </w:tcPr>
          <w:p w14:paraId="526E46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锑</w:t>
            </w:r>
            <w:r>
              <w:rPr>
                <w:rFonts w:hint="eastAsia" w:cs="Times New Roman"/>
                <w:b/>
                <w:i w:val="0"/>
                <w:color w:val="auto"/>
                <w:kern w:val="0"/>
                <w:sz w:val="21"/>
                <w:szCs w:val="21"/>
                <w:highlight w:val="none"/>
                <w:u w:val="none"/>
                <w:vertAlign w:val="superscript"/>
                <w:lang w:val="en-US" w:eastAsia="zh-CN" w:bidi="ar"/>
              </w:rPr>
              <w:t>①</w:t>
            </w:r>
          </w:p>
        </w:tc>
      </w:tr>
      <w:tr w14:paraId="3F791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op w:val="single" w:color="auto" w:sz="12" w:space="0"/>
              <w:tl2br w:val="nil"/>
              <w:tr2bl w:val="nil"/>
            </w:tcBorders>
            <w:shd w:val="clear" w:color="auto" w:fill="auto"/>
            <w:noWrap/>
            <w:tcMar>
              <w:top w:w="15" w:type="dxa"/>
              <w:left w:w="15" w:type="dxa"/>
              <w:right w:w="15" w:type="dxa"/>
            </w:tcMar>
            <w:vAlign w:val="center"/>
          </w:tcPr>
          <w:p w14:paraId="45BC36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511" w:type="pct"/>
            <w:tcBorders>
              <w:top w:val="single" w:color="auto" w:sz="12" w:space="0"/>
              <w:tl2br w:val="nil"/>
              <w:tr2bl w:val="nil"/>
            </w:tcBorders>
            <w:shd w:val="clear" w:color="auto" w:fill="auto"/>
            <w:noWrap/>
            <w:tcMar>
              <w:top w:w="15" w:type="dxa"/>
              <w:left w:w="15" w:type="dxa"/>
              <w:right w:w="15" w:type="dxa"/>
            </w:tcMar>
            <w:vAlign w:val="center"/>
          </w:tcPr>
          <w:p w14:paraId="330165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704" w:type="pct"/>
            <w:tcBorders>
              <w:top w:val="single" w:color="auto" w:sz="12" w:space="0"/>
              <w:tl2br w:val="nil"/>
              <w:tr2bl w:val="nil"/>
            </w:tcBorders>
            <w:shd w:val="clear" w:color="auto" w:fill="auto"/>
            <w:noWrap/>
            <w:tcMar>
              <w:top w:w="15" w:type="dxa"/>
              <w:left w:w="15" w:type="dxa"/>
              <w:right w:w="15" w:type="dxa"/>
            </w:tcMar>
            <w:vAlign w:val="center"/>
          </w:tcPr>
          <w:p w14:paraId="5361545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园区边界西侧下风向75m</w:t>
            </w:r>
          </w:p>
        </w:tc>
        <w:tc>
          <w:tcPr>
            <w:tcW w:w="699" w:type="pct"/>
            <w:tcBorders>
              <w:top w:val="single" w:color="auto" w:sz="12" w:space="0"/>
              <w:tl2br w:val="nil"/>
              <w:tr2bl w:val="nil"/>
            </w:tcBorders>
            <w:shd w:val="clear" w:color="auto" w:fill="auto"/>
            <w:noWrap/>
            <w:tcMar>
              <w:top w:w="15" w:type="dxa"/>
              <w:left w:w="15" w:type="dxa"/>
              <w:right w:w="15" w:type="dxa"/>
            </w:tcMar>
            <w:vAlign w:val="center"/>
          </w:tcPr>
          <w:p w14:paraId="5569512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6CE1FD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24.7</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4978C1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09E71E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3887D9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1A2B3B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7F4C02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325CFA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58</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314B14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7.3</w:t>
            </w:r>
          </w:p>
        </w:tc>
        <w:tc>
          <w:tcPr>
            <w:tcW w:w="290" w:type="pct"/>
            <w:tcBorders>
              <w:top w:val="single" w:color="auto" w:sz="12" w:space="0"/>
              <w:tl2br w:val="nil"/>
              <w:tr2bl w:val="nil"/>
            </w:tcBorders>
            <w:shd w:val="clear" w:color="auto" w:fill="auto"/>
            <w:noWrap/>
            <w:tcMar>
              <w:top w:w="15" w:type="dxa"/>
              <w:left w:w="15" w:type="dxa"/>
              <w:right w:w="15" w:type="dxa"/>
            </w:tcMar>
            <w:vAlign w:val="center"/>
          </w:tcPr>
          <w:p w14:paraId="2AF6EC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293" w:type="pct"/>
            <w:tcBorders>
              <w:top w:val="single" w:color="auto" w:sz="12" w:space="0"/>
              <w:tl2br w:val="nil"/>
              <w:tr2bl w:val="nil"/>
            </w:tcBorders>
            <w:shd w:val="clear" w:color="auto" w:fill="auto"/>
            <w:noWrap/>
            <w:tcMar>
              <w:top w:w="15" w:type="dxa"/>
              <w:left w:w="15" w:type="dxa"/>
              <w:right w:w="15" w:type="dxa"/>
            </w:tcMar>
            <w:vAlign w:val="center"/>
          </w:tcPr>
          <w:p w14:paraId="4EF4A4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&lt;0.3</w:t>
            </w:r>
          </w:p>
        </w:tc>
      </w:tr>
      <w:tr w14:paraId="3FE35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4E10F0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511" w:type="pct"/>
            <w:tcBorders>
              <w:tl2br w:val="nil"/>
              <w:tr2bl w:val="nil"/>
            </w:tcBorders>
            <w:shd w:val="clear" w:color="auto" w:fill="auto"/>
            <w:noWrap/>
            <w:tcMar>
              <w:top w:w="15" w:type="dxa"/>
              <w:left w:w="15" w:type="dxa"/>
              <w:right w:w="15" w:type="dxa"/>
            </w:tcMar>
            <w:vAlign w:val="center"/>
          </w:tcPr>
          <w:p w14:paraId="76D430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704" w:type="pct"/>
            <w:tcBorders>
              <w:tl2br w:val="nil"/>
              <w:tr2bl w:val="nil"/>
            </w:tcBorders>
            <w:shd w:val="clear" w:color="auto" w:fill="auto"/>
            <w:noWrap/>
            <w:tcMar>
              <w:top w:w="15" w:type="dxa"/>
              <w:left w:w="15" w:type="dxa"/>
              <w:right w:w="15" w:type="dxa"/>
            </w:tcMar>
            <w:vAlign w:val="center"/>
          </w:tcPr>
          <w:p w14:paraId="6F966E1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园区边界西侧下风向200m</w:t>
            </w:r>
          </w:p>
        </w:tc>
        <w:tc>
          <w:tcPr>
            <w:tcW w:w="699" w:type="pct"/>
            <w:tcBorders>
              <w:tl2br w:val="nil"/>
              <w:tr2bl w:val="nil"/>
            </w:tcBorders>
            <w:shd w:val="clear" w:color="auto" w:fill="auto"/>
            <w:noWrap/>
            <w:tcMar>
              <w:top w:w="15" w:type="dxa"/>
              <w:left w:w="15" w:type="dxa"/>
              <w:right w:w="15" w:type="dxa"/>
            </w:tcMar>
            <w:vAlign w:val="center"/>
          </w:tcPr>
          <w:p w14:paraId="644ACEC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第一类用地筛选值</w:t>
            </w:r>
          </w:p>
        </w:tc>
        <w:tc>
          <w:tcPr>
            <w:tcW w:w="290" w:type="pct"/>
            <w:tcBorders>
              <w:tl2br w:val="nil"/>
              <w:tr2bl w:val="nil"/>
            </w:tcBorders>
            <w:shd w:val="clear" w:color="auto" w:fill="auto"/>
            <w:noWrap/>
            <w:tcMar>
              <w:top w:w="15" w:type="dxa"/>
              <w:left w:w="15" w:type="dxa"/>
              <w:right w:w="15" w:type="dxa"/>
            </w:tcMar>
            <w:vAlign w:val="center"/>
          </w:tcPr>
          <w:p w14:paraId="66D179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19.4</w:t>
            </w:r>
          </w:p>
        </w:tc>
        <w:tc>
          <w:tcPr>
            <w:tcW w:w="290" w:type="pct"/>
            <w:tcBorders>
              <w:tl2br w:val="nil"/>
              <w:tr2bl w:val="nil"/>
            </w:tcBorders>
            <w:shd w:val="clear" w:color="auto" w:fill="auto"/>
            <w:noWrap/>
            <w:tcMar>
              <w:top w:w="15" w:type="dxa"/>
              <w:left w:w="15" w:type="dxa"/>
              <w:right w:w="15" w:type="dxa"/>
            </w:tcMar>
            <w:vAlign w:val="center"/>
          </w:tcPr>
          <w:p w14:paraId="1FD4E6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w:t>
            </w:r>
          </w:p>
        </w:tc>
        <w:tc>
          <w:tcPr>
            <w:tcW w:w="290" w:type="pct"/>
            <w:tcBorders>
              <w:tl2br w:val="nil"/>
              <w:tr2bl w:val="nil"/>
            </w:tcBorders>
            <w:shd w:val="clear" w:color="auto" w:fill="auto"/>
            <w:noWrap/>
            <w:tcMar>
              <w:top w:w="15" w:type="dxa"/>
              <w:left w:w="15" w:type="dxa"/>
              <w:right w:w="15" w:type="dxa"/>
            </w:tcMar>
            <w:vAlign w:val="center"/>
          </w:tcPr>
          <w:p w14:paraId="1597BB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12</w:t>
            </w:r>
            <w:r>
              <w:rPr>
                <w:rFonts w:hint="default" w:ascii="Times New Roman" w:hAnsi="Times New Roman" w:cs="Times New Roman"/>
                <w:i w:val="0"/>
                <w:color w:val="auto"/>
                <w:kern w:val="0"/>
                <w:sz w:val="21"/>
                <w:szCs w:val="21"/>
                <w:highlight w:val="none"/>
                <w:u w:val="none"/>
                <w:lang w:val="en-US" w:eastAsia="zh-CN" w:bidi="ar"/>
              </w:rPr>
              <w:t>.0</w:t>
            </w:r>
          </w:p>
        </w:tc>
        <w:tc>
          <w:tcPr>
            <w:tcW w:w="290" w:type="pct"/>
            <w:tcBorders>
              <w:tl2br w:val="nil"/>
              <w:tr2bl w:val="nil"/>
            </w:tcBorders>
            <w:shd w:val="clear" w:color="auto" w:fill="auto"/>
            <w:noWrap/>
            <w:tcMar>
              <w:top w:w="15" w:type="dxa"/>
              <w:left w:w="15" w:type="dxa"/>
              <w:right w:w="15" w:type="dxa"/>
            </w:tcMar>
            <w:vAlign w:val="center"/>
          </w:tcPr>
          <w:p w14:paraId="7E4A99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w:t>
            </w:r>
          </w:p>
        </w:tc>
        <w:tc>
          <w:tcPr>
            <w:tcW w:w="290" w:type="pct"/>
            <w:tcBorders>
              <w:tl2br w:val="nil"/>
              <w:tr2bl w:val="nil"/>
            </w:tcBorders>
            <w:shd w:val="clear" w:color="auto" w:fill="auto"/>
            <w:noWrap/>
            <w:tcMar>
              <w:top w:w="15" w:type="dxa"/>
              <w:left w:w="15" w:type="dxa"/>
              <w:right w:w="15" w:type="dxa"/>
            </w:tcMar>
            <w:vAlign w:val="center"/>
          </w:tcPr>
          <w:p w14:paraId="0ACAD6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90" w:type="pct"/>
            <w:tcBorders>
              <w:tl2br w:val="nil"/>
              <w:tr2bl w:val="nil"/>
            </w:tcBorders>
            <w:shd w:val="clear" w:color="auto" w:fill="auto"/>
            <w:noWrap/>
            <w:tcMar>
              <w:top w:w="15" w:type="dxa"/>
              <w:left w:w="15" w:type="dxa"/>
              <w:right w:w="15" w:type="dxa"/>
            </w:tcMar>
            <w:vAlign w:val="center"/>
          </w:tcPr>
          <w:p w14:paraId="6A0A97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290" w:type="pct"/>
            <w:tcBorders>
              <w:tl2br w:val="nil"/>
              <w:tr2bl w:val="nil"/>
            </w:tcBorders>
            <w:shd w:val="clear" w:color="auto" w:fill="auto"/>
            <w:noWrap/>
            <w:tcMar>
              <w:top w:w="15" w:type="dxa"/>
              <w:left w:w="15" w:type="dxa"/>
              <w:right w:w="15" w:type="dxa"/>
            </w:tcMar>
            <w:vAlign w:val="center"/>
          </w:tcPr>
          <w:p w14:paraId="18D1AB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61</w:t>
            </w:r>
          </w:p>
        </w:tc>
        <w:tc>
          <w:tcPr>
            <w:tcW w:w="290" w:type="pct"/>
            <w:tcBorders>
              <w:tl2br w:val="nil"/>
              <w:tr2bl w:val="nil"/>
            </w:tcBorders>
            <w:shd w:val="clear" w:color="auto" w:fill="auto"/>
            <w:noWrap/>
            <w:tcMar>
              <w:top w:w="15" w:type="dxa"/>
              <w:left w:w="15" w:type="dxa"/>
              <w:right w:w="15" w:type="dxa"/>
            </w:tcMar>
            <w:vAlign w:val="center"/>
          </w:tcPr>
          <w:p w14:paraId="68EEFF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9.9</w:t>
            </w:r>
          </w:p>
        </w:tc>
        <w:tc>
          <w:tcPr>
            <w:tcW w:w="290" w:type="pct"/>
            <w:tcBorders>
              <w:tl2br w:val="nil"/>
              <w:tr2bl w:val="nil"/>
            </w:tcBorders>
            <w:shd w:val="clear" w:color="auto" w:fill="auto"/>
            <w:noWrap/>
            <w:tcMar>
              <w:top w:w="15" w:type="dxa"/>
              <w:left w:w="15" w:type="dxa"/>
              <w:right w:w="15" w:type="dxa"/>
            </w:tcMar>
            <w:vAlign w:val="center"/>
          </w:tcPr>
          <w:p w14:paraId="3901C3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c>
          <w:tcPr>
            <w:tcW w:w="293" w:type="pct"/>
            <w:tcBorders>
              <w:tl2br w:val="nil"/>
              <w:tr2bl w:val="nil"/>
            </w:tcBorders>
            <w:shd w:val="clear" w:color="auto" w:fill="auto"/>
            <w:noWrap/>
            <w:tcMar>
              <w:top w:w="15" w:type="dxa"/>
              <w:left w:w="15" w:type="dxa"/>
              <w:right w:w="15" w:type="dxa"/>
            </w:tcMar>
            <w:vAlign w:val="center"/>
          </w:tcPr>
          <w:p w14:paraId="377A0F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r>
      <w:tr w14:paraId="6BE2AD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16BFC9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511" w:type="pct"/>
            <w:tcBorders>
              <w:tl2br w:val="nil"/>
              <w:tr2bl w:val="nil"/>
            </w:tcBorders>
            <w:shd w:val="clear" w:color="auto" w:fill="auto"/>
            <w:noWrap/>
            <w:tcMar>
              <w:top w:w="15" w:type="dxa"/>
              <w:left w:w="15" w:type="dxa"/>
              <w:right w:w="15" w:type="dxa"/>
            </w:tcMar>
            <w:vAlign w:val="center"/>
          </w:tcPr>
          <w:p w14:paraId="15FA34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704" w:type="pct"/>
            <w:tcBorders>
              <w:tl2br w:val="nil"/>
              <w:tr2bl w:val="nil"/>
            </w:tcBorders>
            <w:shd w:val="clear" w:color="auto" w:fill="auto"/>
            <w:noWrap/>
            <w:tcMar>
              <w:top w:w="15" w:type="dxa"/>
              <w:left w:w="15" w:type="dxa"/>
              <w:right w:w="15" w:type="dxa"/>
            </w:tcMar>
            <w:vAlign w:val="center"/>
          </w:tcPr>
          <w:p w14:paraId="1B27DC5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园区边界南侧下风向75m</w:t>
            </w:r>
          </w:p>
        </w:tc>
        <w:tc>
          <w:tcPr>
            <w:tcW w:w="699" w:type="pct"/>
            <w:tcBorders>
              <w:tl2br w:val="nil"/>
              <w:tr2bl w:val="nil"/>
            </w:tcBorders>
            <w:shd w:val="clear" w:color="auto" w:fill="auto"/>
            <w:noWrap/>
            <w:tcMar>
              <w:top w:w="15" w:type="dxa"/>
              <w:left w:w="15" w:type="dxa"/>
              <w:right w:w="15" w:type="dxa"/>
            </w:tcMar>
            <w:vAlign w:val="center"/>
          </w:tcPr>
          <w:p w14:paraId="4EB599E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3E7C02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18.8</w:t>
            </w:r>
          </w:p>
        </w:tc>
        <w:tc>
          <w:tcPr>
            <w:tcW w:w="290" w:type="pct"/>
            <w:tcBorders>
              <w:tl2br w:val="nil"/>
              <w:tr2bl w:val="nil"/>
            </w:tcBorders>
            <w:shd w:val="clear" w:color="auto" w:fill="auto"/>
            <w:noWrap/>
            <w:tcMar>
              <w:top w:w="15" w:type="dxa"/>
              <w:left w:w="15" w:type="dxa"/>
              <w:right w:w="15" w:type="dxa"/>
            </w:tcMar>
            <w:vAlign w:val="center"/>
          </w:tcPr>
          <w:p w14:paraId="0C6006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0.07</w:t>
            </w:r>
          </w:p>
        </w:tc>
        <w:tc>
          <w:tcPr>
            <w:tcW w:w="290" w:type="pct"/>
            <w:tcBorders>
              <w:tl2br w:val="nil"/>
              <w:tr2bl w:val="nil"/>
            </w:tcBorders>
            <w:shd w:val="clear" w:color="auto" w:fill="auto"/>
            <w:noWrap/>
            <w:tcMar>
              <w:top w:w="15" w:type="dxa"/>
              <w:left w:w="15" w:type="dxa"/>
              <w:right w:w="15" w:type="dxa"/>
            </w:tcMar>
            <w:vAlign w:val="center"/>
          </w:tcPr>
          <w:p w14:paraId="69F9C3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7.82</w:t>
            </w:r>
          </w:p>
        </w:tc>
        <w:tc>
          <w:tcPr>
            <w:tcW w:w="290" w:type="pct"/>
            <w:tcBorders>
              <w:tl2br w:val="nil"/>
              <w:tr2bl w:val="nil"/>
            </w:tcBorders>
            <w:shd w:val="clear" w:color="auto" w:fill="auto"/>
            <w:noWrap/>
            <w:tcMar>
              <w:top w:w="15" w:type="dxa"/>
              <w:left w:w="15" w:type="dxa"/>
              <w:right w:w="15" w:type="dxa"/>
            </w:tcMar>
            <w:vAlign w:val="center"/>
          </w:tcPr>
          <w:p w14:paraId="0361EB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&lt;0.01</w:t>
            </w:r>
          </w:p>
        </w:tc>
        <w:tc>
          <w:tcPr>
            <w:tcW w:w="290" w:type="pct"/>
            <w:tcBorders>
              <w:tl2br w:val="nil"/>
              <w:tr2bl w:val="nil"/>
            </w:tcBorders>
            <w:shd w:val="clear" w:color="auto" w:fill="auto"/>
            <w:noWrap/>
            <w:tcMar>
              <w:top w:w="15" w:type="dxa"/>
              <w:left w:w="15" w:type="dxa"/>
              <w:right w:w="15" w:type="dxa"/>
            </w:tcMar>
            <w:vAlign w:val="center"/>
          </w:tcPr>
          <w:p w14:paraId="416A09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290" w:type="pct"/>
            <w:tcBorders>
              <w:tl2br w:val="nil"/>
              <w:tr2bl w:val="nil"/>
            </w:tcBorders>
            <w:shd w:val="clear" w:color="auto" w:fill="auto"/>
            <w:noWrap/>
            <w:tcMar>
              <w:top w:w="15" w:type="dxa"/>
              <w:left w:w="15" w:type="dxa"/>
              <w:right w:w="15" w:type="dxa"/>
            </w:tcMar>
            <w:vAlign w:val="center"/>
          </w:tcPr>
          <w:p w14:paraId="525841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49</w:t>
            </w:r>
          </w:p>
        </w:tc>
        <w:tc>
          <w:tcPr>
            <w:tcW w:w="290" w:type="pct"/>
            <w:tcBorders>
              <w:tl2br w:val="nil"/>
              <w:tr2bl w:val="nil"/>
            </w:tcBorders>
            <w:shd w:val="clear" w:color="auto" w:fill="auto"/>
            <w:noWrap/>
            <w:tcMar>
              <w:top w:w="15" w:type="dxa"/>
              <w:left w:w="15" w:type="dxa"/>
              <w:right w:w="15" w:type="dxa"/>
            </w:tcMar>
            <w:vAlign w:val="center"/>
          </w:tcPr>
          <w:p w14:paraId="260C36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692EBD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9.4</w:t>
            </w:r>
          </w:p>
        </w:tc>
        <w:tc>
          <w:tcPr>
            <w:tcW w:w="290" w:type="pct"/>
            <w:tcBorders>
              <w:tl2br w:val="nil"/>
              <w:tr2bl w:val="nil"/>
            </w:tcBorders>
            <w:shd w:val="clear" w:color="auto" w:fill="auto"/>
            <w:noWrap/>
            <w:tcMar>
              <w:top w:w="15" w:type="dxa"/>
              <w:left w:w="15" w:type="dxa"/>
              <w:right w:w="15" w:type="dxa"/>
            </w:tcMar>
            <w:vAlign w:val="center"/>
          </w:tcPr>
          <w:p w14:paraId="1F2B82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293" w:type="pct"/>
            <w:tcBorders>
              <w:tl2br w:val="nil"/>
              <w:tr2bl w:val="nil"/>
            </w:tcBorders>
            <w:shd w:val="clear" w:color="auto" w:fill="auto"/>
            <w:noWrap/>
            <w:tcMar>
              <w:top w:w="15" w:type="dxa"/>
              <w:left w:w="15" w:type="dxa"/>
              <w:right w:w="15" w:type="dxa"/>
            </w:tcMar>
            <w:vAlign w:val="center"/>
          </w:tcPr>
          <w:p w14:paraId="3502FB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0.6</w:t>
            </w:r>
          </w:p>
        </w:tc>
      </w:tr>
      <w:tr w14:paraId="5BFD1E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347AAB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511" w:type="pct"/>
            <w:tcBorders>
              <w:tl2br w:val="nil"/>
              <w:tr2bl w:val="nil"/>
            </w:tcBorders>
            <w:shd w:val="clear" w:color="auto" w:fill="auto"/>
            <w:noWrap/>
            <w:tcMar>
              <w:top w:w="15" w:type="dxa"/>
              <w:left w:w="15" w:type="dxa"/>
              <w:right w:w="15" w:type="dxa"/>
            </w:tcMar>
            <w:vAlign w:val="center"/>
          </w:tcPr>
          <w:p w14:paraId="6BF42A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704" w:type="pct"/>
            <w:tcBorders>
              <w:tl2br w:val="nil"/>
              <w:tr2bl w:val="nil"/>
            </w:tcBorders>
            <w:shd w:val="clear" w:color="auto" w:fill="auto"/>
            <w:noWrap/>
            <w:tcMar>
              <w:top w:w="15" w:type="dxa"/>
              <w:left w:w="15" w:type="dxa"/>
              <w:right w:w="15" w:type="dxa"/>
            </w:tcMar>
            <w:vAlign w:val="center"/>
          </w:tcPr>
          <w:p w14:paraId="053484E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699" w:type="pct"/>
            <w:tcBorders>
              <w:tl2br w:val="nil"/>
              <w:tr2bl w:val="nil"/>
            </w:tcBorders>
            <w:shd w:val="clear" w:color="auto" w:fill="auto"/>
            <w:noWrap/>
            <w:tcMar>
              <w:top w:w="15" w:type="dxa"/>
              <w:left w:w="15" w:type="dxa"/>
              <w:right w:w="15" w:type="dxa"/>
            </w:tcMar>
            <w:vAlign w:val="center"/>
          </w:tcPr>
          <w:p w14:paraId="7C97BDC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4B1A9E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19.4</w:t>
            </w:r>
          </w:p>
        </w:tc>
        <w:tc>
          <w:tcPr>
            <w:tcW w:w="290" w:type="pct"/>
            <w:tcBorders>
              <w:tl2br w:val="nil"/>
              <w:tr2bl w:val="nil"/>
            </w:tcBorders>
            <w:shd w:val="clear" w:color="auto" w:fill="auto"/>
            <w:noWrap/>
            <w:tcMar>
              <w:top w:w="15" w:type="dxa"/>
              <w:left w:w="15" w:type="dxa"/>
              <w:right w:w="15" w:type="dxa"/>
            </w:tcMar>
            <w:vAlign w:val="center"/>
          </w:tcPr>
          <w:p w14:paraId="653D5E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0B421A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8</w:t>
            </w:r>
            <w:r>
              <w:rPr>
                <w:rFonts w:hint="default" w:ascii="Times New Roman" w:hAnsi="Times New Roman" w:cs="Times New Roman"/>
                <w:i w:val="0"/>
                <w:color w:val="auto"/>
                <w:kern w:val="0"/>
                <w:sz w:val="21"/>
                <w:szCs w:val="21"/>
                <w:highlight w:val="none"/>
                <w:u w:val="none"/>
                <w:lang w:val="en-US" w:eastAsia="zh-CN" w:bidi="ar"/>
              </w:rPr>
              <w:t>.00</w:t>
            </w:r>
          </w:p>
        </w:tc>
        <w:tc>
          <w:tcPr>
            <w:tcW w:w="290" w:type="pct"/>
            <w:tcBorders>
              <w:tl2br w:val="nil"/>
              <w:tr2bl w:val="nil"/>
            </w:tcBorders>
            <w:shd w:val="clear" w:color="auto" w:fill="auto"/>
            <w:noWrap/>
            <w:tcMar>
              <w:top w:w="15" w:type="dxa"/>
              <w:left w:w="15" w:type="dxa"/>
              <w:right w:w="15" w:type="dxa"/>
            </w:tcMar>
            <w:vAlign w:val="center"/>
          </w:tcPr>
          <w:p w14:paraId="2A9299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w:t>
            </w:r>
          </w:p>
        </w:tc>
        <w:tc>
          <w:tcPr>
            <w:tcW w:w="290" w:type="pct"/>
            <w:tcBorders>
              <w:tl2br w:val="nil"/>
              <w:tr2bl w:val="nil"/>
            </w:tcBorders>
            <w:shd w:val="clear" w:color="auto" w:fill="auto"/>
            <w:noWrap/>
            <w:tcMar>
              <w:top w:w="15" w:type="dxa"/>
              <w:left w:w="15" w:type="dxa"/>
              <w:right w:w="15" w:type="dxa"/>
            </w:tcMar>
            <w:vAlign w:val="center"/>
          </w:tcPr>
          <w:p w14:paraId="011D3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90" w:type="pct"/>
            <w:tcBorders>
              <w:tl2br w:val="nil"/>
              <w:tr2bl w:val="nil"/>
            </w:tcBorders>
            <w:shd w:val="clear" w:color="auto" w:fill="auto"/>
            <w:noWrap/>
            <w:tcMar>
              <w:top w:w="15" w:type="dxa"/>
              <w:left w:w="15" w:type="dxa"/>
              <w:right w:w="15" w:type="dxa"/>
            </w:tcMar>
            <w:vAlign w:val="center"/>
          </w:tcPr>
          <w:p w14:paraId="7DEED3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36</w:t>
            </w:r>
          </w:p>
        </w:tc>
        <w:tc>
          <w:tcPr>
            <w:tcW w:w="290" w:type="pct"/>
            <w:tcBorders>
              <w:tl2br w:val="nil"/>
              <w:tr2bl w:val="nil"/>
            </w:tcBorders>
            <w:shd w:val="clear" w:color="auto" w:fill="auto"/>
            <w:noWrap/>
            <w:tcMar>
              <w:top w:w="15" w:type="dxa"/>
              <w:left w:w="15" w:type="dxa"/>
              <w:right w:w="15" w:type="dxa"/>
            </w:tcMar>
            <w:vAlign w:val="center"/>
          </w:tcPr>
          <w:p w14:paraId="62121A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85</w:t>
            </w:r>
          </w:p>
        </w:tc>
        <w:tc>
          <w:tcPr>
            <w:tcW w:w="290" w:type="pct"/>
            <w:tcBorders>
              <w:tl2br w:val="nil"/>
              <w:tr2bl w:val="nil"/>
            </w:tcBorders>
            <w:shd w:val="clear" w:color="auto" w:fill="auto"/>
            <w:noWrap/>
            <w:tcMar>
              <w:top w:w="15" w:type="dxa"/>
              <w:left w:w="15" w:type="dxa"/>
              <w:right w:w="15" w:type="dxa"/>
            </w:tcMar>
            <w:vAlign w:val="center"/>
          </w:tcPr>
          <w:p w14:paraId="366F95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9.8</w:t>
            </w:r>
          </w:p>
        </w:tc>
        <w:tc>
          <w:tcPr>
            <w:tcW w:w="290" w:type="pct"/>
            <w:tcBorders>
              <w:tl2br w:val="nil"/>
              <w:tr2bl w:val="nil"/>
            </w:tcBorders>
            <w:shd w:val="clear" w:color="auto" w:fill="auto"/>
            <w:noWrap/>
            <w:tcMar>
              <w:top w:w="15" w:type="dxa"/>
              <w:left w:w="15" w:type="dxa"/>
              <w:right w:w="15" w:type="dxa"/>
            </w:tcMar>
            <w:vAlign w:val="center"/>
          </w:tcPr>
          <w:p w14:paraId="47FA92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c>
          <w:tcPr>
            <w:tcW w:w="293" w:type="pct"/>
            <w:tcBorders>
              <w:tl2br w:val="nil"/>
              <w:tr2bl w:val="nil"/>
            </w:tcBorders>
            <w:shd w:val="clear" w:color="auto" w:fill="auto"/>
            <w:noWrap/>
            <w:tcMar>
              <w:top w:w="15" w:type="dxa"/>
              <w:left w:w="15" w:type="dxa"/>
              <w:right w:w="15" w:type="dxa"/>
            </w:tcMar>
            <w:vAlign w:val="center"/>
          </w:tcPr>
          <w:p w14:paraId="55E0B9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r>
      <w:tr w14:paraId="4FDD09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183D9F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511" w:type="pct"/>
            <w:tcBorders>
              <w:tl2br w:val="nil"/>
              <w:tr2bl w:val="nil"/>
            </w:tcBorders>
            <w:shd w:val="clear" w:color="auto" w:fill="auto"/>
            <w:noWrap/>
            <w:tcMar>
              <w:top w:w="15" w:type="dxa"/>
              <w:left w:w="15" w:type="dxa"/>
              <w:right w:w="15" w:type="dxa"/>
            </w:tcMar>
            <w:vAlign w:val="center"/>
          </w:tcPr>
          <w:p w14:paraId="5D0C57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704" w:type="pct"/>
            <w:tcBorders>
              <w:tl2br w:val="nil"/>
              <w:tr2bl w:val="nil"/>
            </w:tcBorders>
            <w:shd w:val="clear" w:color="auto" w:fill="auto"/>
            <w:noWrap/>
            <w:tcMar>
              <w:top w:w="15" w:type="dxa"/>
              <w:left w:w="15" w:type="dxa"/>
              <w:right w:w="15" w:type="dxa"/>
            </w:tcMar>
            <w:vAlign w:val="center"/>
          </w:tcPr>
          <w:p w14:paraId="652AD4A8">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园区边界南侧下风向400m</w:t>
            </w:r>
          </w:p>
        </w:tc>
        <w:tc>
          <w:tcPr>
            <w:tcW w:w="699" w:type="pct"/>
            <w:tcBorders>
              <w:tl2br w:val="nil"/>
              <w:tr2bl w:val="nil"/>
            </w:tcBorders>
            <w:shd w:val="clear" w:color="auto" w:fill="auto"/>
            <w:noWrap/>
            <w:tcMar>
              <w:top w:w="15" w:type="dxa"/>
              <w:left w:w="15" w:type="dxa"/>
              <w:right w:w="15" w:type="dxa"/>
            </w:tcMar>
            <w:vAlign w:val="center"/>
          </w:tcPr>
          <w:p w14:paraId="795685C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770DBD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22</w:t>
            </w:r>
            <w:r>
              <w:rPr>
                <w:rFonts w:hint="default" w:ascii="Times New Roman" w:hAnsi="Times New Roman" w:cs="Times New Roman"/>
                <w:i w:val="0"/>
                <w:color w:val="auto"/>
                <w:kern w:val="0"/>
                <w:sz w:val="21"/>
                <w:szCs w:val="21"/>
                <w:highlight w:val="none"/>
                <w:u w:val="none"/>
                <w:lang w:val="en-US" w:eastAsia="zh-CN" w:bidi="ar"/>
              </w:rPr>
              <w:t>.0</w:t>
            </w:r>
          </w:p>
        </w:tc>
        <w:tc>
          <w:tcPr>
            <w:tcW w:w="290" w:type="pct"/>
            <w:tcBorders>
              <w:tl2br w:val="nil"/>
              <w:tr2bl w:val="nil"/>
            </w:tcBorders>
            <w:shd w:val="clear" w:color="auto" w:fill="auto"/>
            <w:noWrap/>
            <w:tcMar>
              <w:top w:w="15" w:type="dxa"/>
              <w:left w:w="15" w:type="dxa"/>
              <w:right w:w="15" w:type="dxa"/>
            </w:tcMar>
            <w:vAlign w:val="center"/>
          </w:tcPr>
          <w:p w14:paraId="31DBA4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60D440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7.9</w:t>
            </w:r>
            <w:r>
              <w:rPr>
                <w:rFonts w:hint="default" w:ascii="Times New Roman" w:hAnsi="Times New Roman" w:cs="Times New Roman"/>
                <w:i w:val="0"/>
                <w:color w:val="auto"/>
                <w:kern w:val="0"/>
                <w:sz w:val="21"/>
                <w:szCs w:val="21"/>
                <w:highlight w:val="none"/>
                <w:u w:val="none"/>
                <w:lang w:val="en-US" w:eastAsia="zh-CN" w:bidi="ar"/>
              </w:rPr>
              <w:t>0</w:t>
            </w:r>
          </w:p>
        </w:tc>
        <w:tc>
          <w:tcPr>
            <w:tcW w:w="290" w:type="pct"/>
            <w:tcBorders>
              <w:tl2br w:val="nil"/>
              <w:tr2bl w:val="nil"/>
            </w:tcBorders>
            <w:shd w:val="clear" w:color="auto" w:fill="auto"/>
            <w:noWrap/>
            <w:tcMar>
              <w:top w:w="15" w:type="dxa"/>
              <w:left w:w="15" w:type="dxa"/>
              <w:right w:w="15" w:type="dxa"/>
            </w:tcMar>
            <w:vAlign w:val="center"/>
          </w:tcPr>
          <w:p w14:paraId="47408E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w:t>
            </w:r>
          </w:p>
        </w:tc>
        <w:tc>
          <w:tcPr>
            <w:tcW w:w="290" w:type="pct"/>
            <w:tcBorders>
              <w:tl2br w:val="nil"/>
              <w:tr2bl w:val="nil"/>
            </w:tcBorders>
            <w:shd w:val="clear" w:color="auto" w:fill="auto"/>
            <w:noWrap/>
            <w:tcMar>
              <w:top w:w="15" w:type="dxa"/>
              <w:left w:w="15" w:type="dxa"/>
              <w:right w:w="15" w:type="dxa"/>
            </w:tcMar>
            <w:vAlign w:val="center"/>
          </w:tcPr>
          <w:p w14:paraId="78C4A3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290" w:type="pct"/>
            <w:tcBorders>
              <w:tl2br w:val="nil"/>
              <w:tr2bl w:val="nil"/>
            </w:tcBorders>
            <w:shd w:val="clear" w:color="auto" w:fill="auto"/>
            <w:noWrap/>
            <w:tcMar>
              <w:top w:w="15" w:type="dxa"/>
              <w:left w:w="15" w:type="dxa"/>
              <w:right w:w="15" w:type="dxa"/>
            </w:tcMar>
            <w:vAlign w:val="center"/>
          </w:tcPr>
          <w:p w14:paraId="24F6DA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38</w:t>
            </w:r>
          </w:p>
        </w:tc>
        <w:tc>
          <w:tcPr>
            <w:tcW w:w="290" w:type="pct"/>
            <w:tcBorders>
              <w:tl2br w:val="nil"/>
              <w:tr2bl w:val="nil"/>
            </w:tcBorders>
            <w:shd w:val="clear" w:color="auto" w:fill="auto"/>
            <w:noWrap/>
            <w:tcMar>
              <w:top w:w="15" w:type="dxa"/>
              <w:left w:w="15" w:type="dxa"/>
              <w:right w:w="15" w:type="dxa"/>
            </w:tcMar>
            <w:vAlign w:val="center"/>
          </w:tcPr>
          <w:p w14:paraId="2E9877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86</w:t>
            </w:r>
          </w:p>
        </w:tc>
        <w:tc>
          <w:tcPr>
            <w:tcW w:w="290" w:type="pct"/>
            <w:tcBorders>
              <w:tl2br w:val="nil"/>
              <w:tr2bl w:val="nil"/>
            </w:tcBorders>
            <w:shd w:val="clear" w:color="auto" w:fill="auto"/>
            <w:noWrap/>
            <w:tcMar>
              <w:top w:w="15" w:type="dxa"/>
              <w:left w:w="15" w:type="dxa"/>
              <w:right w:w="15" w:type="dxa"/>
            </w:tcMar>
            <w:vAlign w:val="center"/>
          </w:tcPr>
          <w:p w14:paraId="4034A2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11.5</w:t>
            </w:r>
          </w:p>
        </w:tc>
        <w:tc>
          <w:tcPr>
            <w:tcW w:w="290" w:type="pct"/>
            <w:tcBorders>
              <w:tl2br w:val="nil"/>
              <w:tr2bl w:val="nil"/>
            </w:tcBorders>
            <w:shd w:val="clear" w:color="auto" w:fill="auto"/>
            <w:noWrap/>
            <w:tcMar>
              <w:top w:w="15" w:type="dxa"/>
              <w:left w:w="15" w:type="dxa"/>
              <w:right w:w="15" w:type="dxa"/>
            </w:tcMar>
            <w:vAlign w:val="center"/>
          </w:tcPr>
          <w:p w14:paraId="29F0B5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c>
          <w:tcPr>
            <w:tcW w:w="293" w:type="pct"/>
            <w:tcBorders>
              <w:tl2br w:val="nil"/>
              <w:tr2bl w:val="nil"/>
            </w:tcBorders>
            <w:shd w:val="clear" w:color="auto" w:fill="auto"/>
            <w:noWrap/>
            <w:tcMar>
              <w:top w:w="15" w:type="dxa"/>
              <w:left w:w="15" w:type="dxa"/>
              <w:right w:w="15" w:type="dxa"/>
            </w:tcMar>
            <w:vAlign w:val="center"/>
          </w:tcPr>
          <w:p w14:paraId="5C766D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r>
      <w:tr w14:paraId="337A40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360EB8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511" w:type="pct"/>
            <w:tcBorders>
              <w:tl2br w:val="nil"/>
              <w:tr2bl w:val="nil"/>
            </w:tcBorders>
            <w:shd w:val="clear" w:color="auto" w:fill="auto"/>
            <w:noWrap/>
            <w:tcMar>
              <w:top w:w="15" w:type="dxa"/>
              <w:left w:w="15" w:type="dxa"/>
              <w:right w:w="15" w:type="dxa"/>
            </w:tcMar>
            <w:vAlign w:val="center"/>
          </w:tcPr>
          <w:p w14:paraId="6BD500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704" w:type="pct"/>
            <w:tcBorders>
              <w:tl2br w:val="nil"/>
              <w:tr2bl w:val="nil"/>
            </w:tcBorders>
            <w:shd w:val="clear" w:color="auto" w:fill="auto"/>
            <w:noWrap/>
            <w:tcMar>
              <w:top w:w="15" w:type="dxa"/>
              <w:left w:w="15" w:type="dxa"/>
              <w:right w:w="15" w:type="dxa"/>
            </w:tcMar>
            <w:vAlign w:val="center"/>
          </w:tcPr>
          <w:p w14:paraId="1A06F36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园区边界东侧上风向</w:t>
            </w:r>
            <w:r>
              <w:rPr>
                <w:rStyle w:val="69"/>
                <w:rFonts w:hint="default" w:ascii="Times New Roman" w:hAnsi="Times New Roman" w:cs="Times New Roman"/>
                <w:color w:val="auto"/>
                <w:sz w:val="21"/>
                <w:szCs w:val="21"/>
                <w:highlight w:val="none"/>
                <w:lang w:val="en-US" w:eastAsia="zh-CN" w:bidi="ar"/>
              </w:rPr>
              <w:t>800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699" w:type="pct"/>
            <w:tcBorders>
              <w:tl2br w:val="nil"/>
              <w:tr2bl w:val="nil"/>
            </w:tcBorders>
            <w:shd w:val="clear" w:color="auto" w:fill="auto"/>
            <w:noWrap/>
            <w:tcMar>
              <w:top w:w="15" w:type="dxa"/>
              <w:left w:w="15" w:type="dxa"/>
              <w:right w:w="15" w:type="dxa"/>
            </w:tcMar>
            <w:vAlign w:val="center"/>
          </w:tcPr>
          <w:p w14:paraId="3D32DBF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1954F0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26.3</w:t>
            </w:r>
          </w:p>
        </w:tc>
        <w:tc>
          <w:tcPr>
            <w:tcW w:w="290" w:type="pct"/>
            <w:tcBorders>
              <w:tl2br w:val="nil"/>
              <w:tr2bl w:val="nil"/>
            </w:tcBorders>
            <w:shd w:val="clear" w:color="auto" w:fill="auto"/>
            <w:noWrap/>
            <w:tcMar>
              <w:top w:w="15" w:type="dxa"/>
              <w:left w:w="15" w:type="dxa"/>
              <w:right w:w="15" w:type="dxa"/>
            </w:tcMar>
            <w:vAlign w:val="center"/>
          </w:tcPr>
          <w:p w14:paraId="290A50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w:t>
            </w:r>
          </w:p>
        </w:tc>
        <w:tc>
          <w:tcPr>
            <w:tcW w:w="290" w:type="pct"/>
            <w:tcBorders>
              <w:tl2br w:val="nil"/>
              <w:tr2bl w:val="nil"/>
            </w:tcBorders>
            <w:shd w:val="clear" w:color="auto" w:fill="auto"/>
            <w:noWrap/>
            <w:tcMar>
              <w:top w:w="15" w:type="dxa"/>
              <w:left w:w="15" w:type="dxa"/>
              <w:right w:w="15" w:type="dxa"/>
            </w:tcMar>
            <w:vAlign w:val="center"/>
          </w:tcPr>
          <w:p w14:paraId="380E3F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12.1</w:t>
            </w:r>
          </w:p>
        </w:tc>
        <w:tc>
          <w:tcPr>
            <w:tcW w:w="290" w:type="pct"/>
            <w:tcBorders>
              <w:tl2br w:val="nil"/>
              <w:tr2bl w:val="nil"/>
            </w:tcBorders>
            <w:shd w:val="clear" w:color="auto" w:fill="auto"/>
            <w:noWrap/>
            <w:tcMar>
              <w:top w:w="15" w:type="dxa"/>
              <w:left w:w="15" w:type="dxa"/>
              <w:right w:w="15" w:type="dxa"/>
            </w:tcMar>
            <w:vAlign w:val="center"/>
          </w:tcPr>
          <w:p w14:paraId="7320F9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0.19</w:t>
            </w:r>
          </w:p>
        </w:tc>
        <w:tc>
          <w:tcPr>
            <w:tcW w:w="290" w:type="pct"/>
            <w:tcBorders>
              <w:tl2br w:val="nil"/>
              <w:tr2bl w:val="nil"/>
            </w:tcBorders>
            <w:shd w:val="clear" w:color="auto" w:fill="auto"/>
            <w:noWrap/>
            <w:tcMar>
              <w:top w:w="15" w:type="dxa"/>
              <w:left w:w="15" w:type="dxa"/>
              <w:right w:w="15" w:type="dxa"/>
            </w:tcMar>
            <w:vAlign w:val="center"/>
          </w:tcPr>
          <w:p w14:paraId="389DC0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41</w:t>
            </w:r>
          </w:p>
        </w:tc>
        <w:tc>
          <w:tcPr>
            <w:tcW w:w="290" w:type="pct"/>
            <w:tcBorders>
              <w:tl2br w:val="nil"/>
              <w:tr2bl w:val="nil"/>
            </w:tcBorders>
            <w:shd w:val="clear" w:color="auto" w:fill="auto"/>
            <w:noWrap/>
            <w:tcMar>
              <w:top w:w="15" w:type="dxa"/>
              <w:left w:w="15" w:type="dxa"/>
              <w:right w:w="15" w:type="dxa"/>
            </w:tcMar>
            <w:vAlign w:val="center"/>
          </w:tcPr>
          <w:p w14:paraId="439F43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39</w:t>
            </w:r>
          </w:p>
        </w:tc>
        <w:tc>
          <w:tcPr>
            <w:tcW w:w="290" w:type="pct"/>
            <w:tcBorders>
              <w:tl2br w:val="nil"/>
              <w:tr2bl w:val="nil"/>
            </w:tcBorders>
            <w:shd w:val="clear" w:color="auto" w:fill="auto"/>
            <w:noWrap/>
            <w:tcMar>
              <w:top w:w="15" w:type="dxa"/>
              <w:left w:w="15" w:type="dxa"/>
              <w:right w:w="15" w:type="dxa"/>
            </w:tcMar>
            <w:vAlign w:val="center"/>
          </w:tcPr>
          <w:p w14:paraId="4E46E4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37</w:t>
            </w:r>
          </w:p>
        </w:tc>
        <w:tc>
          <w:tcPr>
            <w:tcW w:w="290" w:type="pct"/>
            <w:tcBorders>
              <w:tl2br w:val="nil"/>
              <w:tr2bl w:val="nil"/>
            </w:tcBorders>
            <w:shd w:val="clear" w:color="auto" w:fill="auto"/>
            <w:noWrap/>
            <w:tcMar>
              <w:top w:w="15" w:type="dxa"/>
              <w:left w:w="15" w:type="dxa"/>
              <w:right w:w="15" w:type="dxa"/>
            </w:tcMar>
            <w:vAlign w:val="center"/>
          </w:tcPr>
          <w:p w14:paraId="770006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9.7</w:t>
            </w:r>
          </w:p>
        </w:tc>
        <w:tc>
          <w:tcPr>
            <w:tcW w:w="290" w:type="pct"/>
            <w:tcBorders>
              <w:tl2br w:val="nil"/>
              <w:tr2bl w:val="nil"/>
            </w:tcBorders>
            <w:shd w:val="clear" w:color="auto" w:fill="auto"/>
            <w:noWrap/>
            <w:tcMar>
              <w:top w:w="15" w:type="dxa"/>
              <w:left w:w="15" w:type="dxa"/>
              <w:right w:w="15" w:type="dxa"/>
            </w:tcMar>
            <w:vAlign w:val="center"/>
          </w:tcPr>
          <w:p w14:paraId="64B5E7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0.9</w:t>
            </w:r>
          </w:p>
        </w:tc>
        <w:tc>
          <w:tcPr>
            <w:tcW w:w="293" w:type="pct"/>
            <w:tcBorders>
              <w:tl2br w:val="nil"/>
              <w:tr2bl w:val="nil"/>
            </w:tcBorders>
            <w:shd w:val="clear" w:color="auto" w:fill="auto"/>
            <w:noWrap/>
            <w:tcMar>
              <w:top w:w="15" w:type="dxa"/>
              <w:left w:w="15" w:type="dxa"/>
              <w:right w:w="15" w:type="dxa"/>
            </w:tcMar>
            <w:vAlign w:val="center"/>
          </w:tcPr>
          <w:p w14:paraId="7DDBEF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r>
      <w:tr w14:paraId="06C68B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5863CC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511" w:type="pct"/>
            <w:tcBorders>
              <w:tl2br w:val="nil"/>
              <w:tr2bl w:val="nil"/>
            </w:tcBorders>
            <w:shd w:val="clear" w:color="auto" w:fill="auto"/>
            <w:noWrap/>
            <w:tcMar>
              <w:top w:w="15" w:type="dxa"/>
              <w:left w:w="15" w:type="dxa"/>
              <w:right w:w="15" w:type="dxa"/>
            </w:tcMar>
            <w:vAlign w:val="center"/>
          </w:tcPr>
          <w:p w14:paraId="778D90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704" w:type="pct"/>
            <w:tcBorders>
              <w:tl2br w:val="nil"/>
              <w:tr2bl w:val="nil"/>
            </w:tcBorders>
            <w:shd w:val="clear" w:color="auto" w:fill="auto"/>
            <w:noWrap/>
            <w:tcMar>
              <w:top w:w="15" w:type="dxa"/>
              <w:left w:w="15" w:type="dxa"/>
              <w:right w:w="15" w:type="dxa"/>
            </w:tcMar>
            <w:vAlign w:val="center"/>
          </w:tcPr>
          <w:p w14:paraId="0A40D03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园区边界北侧上风向</w:t>
            </w:r>
            <w:r>
              <w:rPr>
                <w:rStyle w:val="69"/>
                <w:rFonts w:hint="default" w:ascii="Times New Roman" w:hAnsi="Times New Roman" w:cs="Times New Roman"/>
                <w:color w:val="auto"/>
                <w:sz w:val="21"/>
                <w:szCs w:val="21"/>
                <w:highlight w:val="none"/>
                <w:lang w:val="en-US" w:eastAsia="zh-CN" w:bidi="ar"/>
              </w:rPr>
              <w:t>750</w:t>
            </w:r>
            <w:r>
              <w:rPr>
                <w:rFonts w:hint="default" w:ascii="Times New Roman" w:hAnsi="Times New Roman" w:eastAsia="宋体" w:cs="Times New Roman"/>
                <w:i w:val="0"/>
                <w:color w:val="auto"/>
                <w:kern w:val="0"/>
                <w:sz w:val="21"/>
                <w:szCs w:val="21"/>
                <w:highlight w:val="none"/>
                <w:u w:val="none"/>
                <w:lang w:val="en-US" w:eastAsia="zh-CN" w:bidi="ar"/>
              </w:rPr>
              <w:t>m</w:t>
            </w:r>
          </w:p>
        </w:tc>
        <w:tc>
          <w:tcPr>
            <w:tcW w:w="699" w:type="pct"/>
            <w:tcBorders>
              <w:tl2br w:val="nil"/>
              <w:tr2bl w:val="nil"/>
            </w:tcBorders>
            <w:shd w:val="clear" w:color="auto" w:fill="auto"/>
            <w:noWrap/>
            <w:tcMar>
              <w:top w:w="15" w:type="dxa"/>
              <w:left w:w="15" w:type="dxa"/>
              <w:right w:w="15" w:type="dxa"/>
            </w:tcMar>
            <w:vAlign w:val="center"/>
          </w:tcPr>
          <w:p w14:paraId="2CF306CF">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6B3364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20</w:t>
            </w:r>
            <w:r>
              <w:rPr>
                <w:rFonts w:hint="default" w:ascii="Times New Roman" w:hAnsi="Times New Roman" w:cs="Times New Roman"/>
                <w:i w:val="0"/>
                <w:color w:val="auto"/>
                <w:kern w:val="0"/>
                <w:sz w:val="21"/>
                <w:szCs w:val="21"/>
                <w:highlight w:val="none"/>
                <w:u w:val="none"/>
                <w:lang w:val="en-US" w:eastAsia="zh-CN" w:bidi="ar"/>
              </w:rPr>
              <w:t>.0</w:t>
            </w:r>
          </w:p>
        </w:tc>
        <w:tc>
          <w:tcPr>
            <w:tcW w:w="290" w:type="pct"/>
            <w:tcBorders>
              <w:tl2br w:val="nil"/>
              <w:tr2bl w:val="nil"/>
            </w:tcBorders>
            <w:shd w:val="clear" w:color="auto" w:fill="auto"/>
            <w:noWrap/>
            <w:tcMar>
              <w:top w:w="15" w:type="dxa"/>
              <w:left w:w="15" w:type="dxa"/>
              <w:right w:w="15" w:type="dxa"/>
            </w:tcMar>
            <w:vAlign w:val="center"/>
          </w:tcPr>
          <w:p w14:paraId="3C791A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w:t>
            </w:r>
          </w:p>
        </w:tc>
        <w:tc>
          <w:tcPr>
            <w:tcW w:w="290" w:type="pct"/>
            <w:tcBorders>
              <w:tl2br w:val="nil"/>
              <w:tr2bl w:val="nil"/>
            </w:tcBorders>
            <w:shd w:val="clear" w:color="auto" w:fill="auto"/>
            <w:noWrap/>
            <w:tcMar>
              <w:top w:w="15" w:type="dxa"/>
              <w:left w:w="15" w:type="dxa"/>
              <w:right w:w="15" w:type="dxa"/>
            </w:tcMar>
            <w:vAlign w:val="center"/>
          </w:tcPr>
          <w:p w14:paraId="787E02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10.7</w:t>
            </w:r>
          </w:p>
        </w:tc>
        <w:tc>
          <w:tcPr>
            <w:tcW w:w="290" w:type="pct"/>
            <w:tcBorders>
              <w:tl2br w:val="nil"/>
              <w:tr2bl w:val="nil"/>
            </w:tcBorders>
            <w:shd w:val="clear" w:color="auto" w:fill="auto"/>
            <w:noWrap/>
            <w:tcMar>
              <w:top w:w="15" w:type="dxa"/>
              <w:left w:w="15" w:type="dxa"/>
              <w:right w:w="15" w:type="dxa"/>
            </w:tcMar>
            <w:vAlign w:val="center"/>
          </w:tcPr>
          <w:p w14:paraId="30D65B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w:t>
            </w:r>
          </w:p>
        </w:tc>
        <w:tc>
          <w:tcPr>
            <w:tcW w:w="290" w:type="pct"/>
            <w:tcBorders>
              <w:tl2br w:val="nil"/>
              <w:tr2bl w:val="nil"/>
            </w:tcBorders>
            <w:shd w:val="clear" w:color="auto" w:fill="auto"/>
            <w:noWrap/>
            <w:tcMar>
              <w:top w:w="15" w:type="dxa"/>
              <w:left w:w="15" w:type="dxa"/>
              <w:right w:w="15" w:type="dxa"/>
            </w:tcMar>
            <w:vAlign w:val="center"/>
          </w:tcPr>
          <w:p w14:paraId="700556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290" w:type="pct"/>
            <w:tcBorders>
              <w:tl2br w:val="nil"/>
              <w:tr2bl w:val="nil"/>
            </w:tcBorders>
            <w:shd w:val="clear" w:color="auto" w:fill="auto"/>
            <w:noWrap/>
            <w:tcMar>
              <w:top w:w="15" w:type="dxa"/>
              <w:left w:w="15" w:type="dxa"/>
              <w:right w:w="15" w:type="dxa"/>
            </w:tcMar>
            <w:vAlign w:val="center"/>
          </w:tcPr>
          <w:p w14:paraId="73F99A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32</w:t>
            </w:r>
          </w:p>
        </w:tc>
        <w:tc>
          <w:tcPr>
            <w:tcW w:w="290" w:type="pct"/>
            <w:tcBorders>
              <w:tl2br w:val="nil"/>
              <w:tr2bl w:val="nil"/>
            </w:tcBorders>
            <w:shd w:val="clear" w:color="auto" w:fill="auto"/>
            <w:noWrap/>
            <w:tcMar>
              <w:top w:w="15" w:type="dxa"/>
              <w:left w:w="15" w:type="dxa"/>
              <w:right w:w="15" w:type="dxa"/>
            </w:tcMar>
            <w:vAlign w:val="center"/>
          </w:tcPr>
          <w:p w14:paraId="6C8557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45</w:t>
            </w:r>
          </w:p>
        </w:tc>
        <w:tc>
          <w:tcPr>
            <w:tcW w:w="290" w:type="pct"/>
            <w:tcBorders>
              <w:tl2br w:val="nil"/>
              <w:tr2bl w:val="nil"/>
            </w:tcBorders>
            <w:shd w:val="clear" w:color="auto" w:fill="auto"/>
            <w:noWrap/>
            <w:tcMar>
              <w:top w:w="15" w:type="dxa"/>
              <w:left w:w="15" w:type="dxa"/>
              <w:right w:w="15" w:type="dxa"/>
            </w:tcMar>
            <w:vAlign w:val="center"/>
          </w:tcPr>
          <w:p w14:paraId="55BD03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w:t>
            </w:r>
            <w:r>
              <w:rPr>
                <w:rFonts w:hint="default" w:ascii="Times New Roman" w:hAnsi="Times New Roman" w:cs="Times New Roman"/>
                <w:i w:val="0"/>
                <w:color w:val="000000"/>
                <w:kern w:val="0"/>
                <w:sz w:val="21"/>
                <w:szCs w:val="21"/>
                <w:highlight w:val="none"/>
                <w:u w:val="none"/>
                <w:lang w:val="en-US" w:eastAsia="zh-CN" w:bidi="ar"/>
              </w:rPr>
              <w:t>.0</w:t>
            </w:r>
          </w:p>
        </w:tc>
        <w:tc>
          <w:tcPr>
            <w:tcW w:w="290" w:type="pct"/>
            <w:tcBorders>
              <w:tl2br w:val="nil"/>
              <w:tr2bl w:val="nil"/>
            </w:tcBorders>
            <w:shd w:val="clear" w:color="auto" w:fill="auto"/>
            <w:noWrap/>
            <w:tcMar>
              <w:top w:w="15" w:type="dxa"/>
              <w:left w:w="15" w:type="dxa"/>
              <w:right w:w="15" w:type="dxa"/>
            </w:tcMar>
            <w:vAlign w:val="center"/>
          </w:tcPr>
          <w:p w14:paraId="43068D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c>
          <w:tcPr>
            <w:tcW w:w="293" w:type="pct"/>
            <w:tcBorders>
              <w:tl2br w:val="nil"/>
              <w:tr2bl w:val="nil"/>
            </w:tcBorders>
            <w:shd w:val="clear" w:color="auto" w:fill="auto"/>
            <w:noWrap/>
            <w:tcMar>
              <w:top w:w="15" w:type="dxa"/>
              <w:left w:w="15" w:type="dxa"/>
              <w:right w:w="15" w:type="dxa"/>
            </w:tcMar>
            <w:vAlign w:val="center"/>
          </w:tcPr>
          <w:p w14:paraId="3E1126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0.5</w:t>
            </w:r>
          </w:p>
        </w:tc>
      </w:tr>
      <w:tr w14:paraId="34E03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5F3F4A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511" w:type="pct"/>
            <w:tcBorders>
              <w:tl2br w:val="nil"/>
              <w:tr2bl w:val="nil"/>
            </w:tcBorders>
            <w:shd w:val="clear" w:color="auto" w:fill="auto"/>
            <w:noWrap/>
            <w:tcMar>
              <w:top w:w="15" w:type="dxa"/>
              <w:left w:w="15" w:type="dxa"/>
              <w:right w:w="15" w:type="dxa"/>
            </w:tcMar>
            <w:vAlign w:val="center"/>
          </w:tcPr>
          <w:p w14:paraId="6BA1D6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704" w:type="pct"/>
            <w:tcBorders>
              <w:tl2br w:val="nil"/>
              <w:tr2bl w:val="nil"/>
            </w:tcBorders>
            <w:shd w:val="clear" w:color="auto" w:fill="auto"/>
            <w:noWrap/>
            <w:tcMar>
              <w:top w:w="15" w:type="dxa"/>
              <w:left w:w="15" w:type="dxa"/>
              <w:right w:w="15" w:type="dxa"/>
            </w:tcMar>
            <w:vAlign w:val="center"/>
          </w:tcPr>
          <w:p w14:paraId="7B42701C">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699" w:type="pct"/>
            <w:tcBorders>
              <w:tl2br w:val="nil"/>
              <w:tr2bl w:val="nil"/>
            </w:tcBorders>
            <w:shd w:val="clear" w:color="auto" w:fill="auto"/>
            <w:noWrap/>
            <w:tcMar>
              <w:top w:w="15" w:type="dxa"/>
              <w:left w:w="15" w:type="dxa"/>
              <w:right w:w="15" w:type="dxa"/>
            </w:tcMar>
            <w:vAlign w:val="center"/>
          </w:tcPr>
          <w:p w14:paraId="7996398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2A53AE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17.5</w:t>
            </w:r>
          </w:p>
        </w:tc>
        <w:tc>
          <w:tcPr>
            <w:tcW w:w="290" w:type="pct"/>
            <w:tcBorders>
              <w:tl2br w:val="nil"/>
              <w:tr2bl w:val="nil"/>
            </w:tcBorders>
            <w:shd w:val="clear" w:color="auto" w:fill="auto"/>
            <w:noWrap/>
            <w:tcMar>
              <w:top w:w="15" w:type="dxa"/>
              <w:left w:w="15" w:type="dxa"/>
              <w:right w:w="15" w:type="dxa"/>
            </w:tcMar>
            <w:vAlign w:val="center"/>
          </w:tcPr>
          <w:p w14:paraId="7E78EB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5A9FB9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12.2</w:t>
            </w:r>
          </w:p>
        </w:tc>
        <w:tc>
          <w:tcPr>
            <w:tcW w:w="290" w:type="pct"/>
            <w:tcBorders>
              <w:tl2br w:val="nil"/>
              <w:tr2bl w:val="nil"/>
            </w:tcBorders>
            <w:shd w:val="clear" w:color="auto" w:fill="auto"/>
            <w:noWrap/>
            <w:tcMar>
              <w:top w:w="15" w:type="dxa"/>
              <w:left w:w="15" w:type="dxa"/>
              <w:right w:w="15" w:type="dxa"/>
            </w:tcMar>
            <w:vAlign w:val="center"/>
          </w:tcPr>
          <w:p w14:paraId="40E6A9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w:t>
            </w:r>
          </w:p>
        </w:tc>
        <w:tc>
          <w:tcPr>
            <w:tcW w:w="290" w:type="pct"/>
            <w:tcBorders>
              <w:tl2br w:val="nil"/>
              <w:tr2bl w:val="nil"/>
            </w:tcBorders>
            <w:shd w:val="clear" w:color="auto" w:fill="auto"/>
            <w:noWrap/>
            <w:tcMar>
              <w:top w:w="15" w:type="dxa"/>
              <w:left w:w="15" w:type="dxa"/>
              <w:right w:w="15" w:type="dxa"/>
            </w:tcMar>
            <w:vAlign w:val="center"/>
          </w:tcPr>
          <w:p w14:paraId="358552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90" w:type="pct"/>
            <w:tcBorders>
              <w:tl2br w:val="nil"/>
              <w:tr2bl w:val="nil"/>
            </w:tcBorders>
            <w:shd w:val="clear" w:color="auto" w:fill="auto"/>
            <w:noWrap/>
            <w:tcMar>
              <w:top w:w="15" w:type="dxa"/>
              <w:left w:w="15" w:type="dxa"/>
              <w:right w:w="15" w:type="dxa"/>
            </w:tcMar>
            <w:vAlign w:val="center"/>
          </w:tcPr>
          <w:p w14:paraId="5F2D74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36</w:t>
            </w:r>
          </w:p>
        </w:tc>
        <w:tc>
          <w:tcPr>
            <w:tcW w:w="290" w:type="pct"/>
            <w:tcBorders>
              <w:tl2br w:val="nil"/>
              <w:tr2bl w:val="nil"/>
            </w:tcBorders>
            <w:shd w:val="clear" w:color="auto" w:fill="auto"/>
            <w:noWrap/>
            <w:tcMar>
              <w:top w:w="15" w:type="dxa"/>
              <w:left w:w="15" w:type="dxa"/>
              <w:right w:w="15" w:type="dxa"/>
            </w:tcMar>
            <w:vAlign w:val="center"/>
          </w:tcPr>
          <w:p w14:paraId="34137C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68</w:t>
            </w:r>
          </w:p>
        </w:tc>
        <w:tc>
          <w:tcPr>
            <w:tcW w:w="290" w:type="pct"/>
            <w:tcBorders>
              <w:tl2br w:val="nil"/>
              <w:tr2bl w:val="nil"/>
            </w:tcBorders>
            <w:shd w:val="clear" w:color="auto" w:fill="auto"/>
            <w:noWrap/>
            <w:tcMar>
              <w:top w:w="15" w:type="dxa"/>
              <w:left w:w="15" w:type="dxa"/>
              <w:right w:w="15" w:type="dxa"/>
            </w:tcMar>
            <w:vAlign w:val="center"/>
          </w:tcPr>
          <w:p w14:paraId="53D5CA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290" w:type="pct"/>
            <w:tcBorders>
              <w:tl2br w:val="nil"/>
              <w:tr2bl w:val="nil"/>
            </w:tcBorders>
            <w:shd w:val="clear" w:color="auto" w:fill="auto"/>
            <w:noWrap/>
            <w:tcMar>
              <w:top w:w="15" w:type="dxa"/>
              <w:left w:w="15" w:type="dxa"/>
              <w:right w:w="15" w:type="dxa"/>
            </w:tcMar>
            <w:vAlign w:val="center"/>
          </w:tcPr>
          <w:p w14:paraId="7F9ABE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0.5</w:t>
            </w:r>
          </w:p>
        </w:tc>
        <w:tc>
          <w:tcPr>
            <w:tcW w:w="293" w:type="pct"/>
            <w:tcBorders>
              <w:tl2br w:val="nil"/>
              <w:tr2bl w:val="nil"/>
            </w:tcBorders>
            <w:shd w:val="clear" w:color="auto" w:fill="auto"/>
            <w:noWrap/>
            <w:tcMar>
              <w:top w:w="15" w:type="dxa"/>
              <w:left w:w="15" w:type="dxa"/>
              <w:right w:w="15" w:type="dxa"/>
            </w:tcMar>
            <w:vAlign w:val="center"/>
          </w:tcPr>
          <w:p w14:paraId="5BD58F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0.5</w:t>
            </w:r>
          </w:p>
        </w:tc>
      </w:tr>
      <w:tr w14:paraId="6B791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69A56F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511" w:type="pct"/>
            <w:tcBorders>
              <w:tl2br w:val="nil"/>
              <w:tr2bl w:val="nil"/>
            </w:tcBorders>
            <w:shd w:val="clear" w:color="auto" w:fill="auto"/>
            <w:noWrap/>
            <w:tcMar>
              <w:top w:w="15" w:type="dxa"/>
              <w:left w:w="15" w:type="dxa"/>
              <w:right w:w="15" w:type="dxa"/>
            </w:tcMar>
            <w:vAlign w:val="center"/>
          </w:tcPr>
          <w:p w14:paraId="720651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704" w:type="pct"/>
            <w:tcBorders>
              <w:tl2br w:val="nil"/>
              <w:tr2bl w:val="nil"/>
            </w:tcBorders>
            <w:shd w:val="clear" w:color="auto" w:fill="auto"/>
            <w:noWrap/>
            <w:tcMar>
              <w:top w:w="15" w:type="dxa"/>
              <w:left w:w="15" w:type="dxa"/>
              <w:right w:w="15" w:type="dxa"/>
            </w:tcMar>
            <w:vAlign w:val="center"/>
          </w:tcPr>
          <w:p w14:paraId="1E035B2A">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699" w:type="pct"/>
            <w:tcBorders>
              <w:tl2br w:val="nil"/>
              <w:tr2bl w:val="nil"/>
            </w:tcBorders>
            <w:shd w:val="clear" w:color="auto" w:fill="auto"/>
            <w:noWrap/>
            <w:tcMar>
              <w:top w:w="15" w:type="dxa"/>
              <w:left w:w="15" w:type="dxa"/>
              <w:right w:w="15" w:type="dxa"/>
            </w:tcMar>
            <w:vAlign w:val="center"/>
          </w:tcPr>
          <w:p w14:paraId="178485F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第一类用地筛选值</w:t>
            </w:r>
          </w:p>
        </w:tc>
        <w:tc>
          <w:tcPr>
            <w:tcW w:w="290" w:type="pct"/>
            <w:tcBorders>
              <w:tl2br w:val="nil"/>
              <w:tr2bl w:val="nil"/>
            </w:tcBorders>
            <w:shd w:val="clear" w:color="auto" w:fill="auto"/>
            <w:noWrap/>
            <w:tcMar>
              <w:top w:w="15" w:type="dxa"/>
              <w:left w:w="15" w:type="dxa"/>
              <w:right w:w="15" w:type="dxa"/>
            </w:tcMar>
            <w:vAlign w:val="center"/>
          </w:tcPr>
          <w:p w14:paraId="089C2C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25.8</w:t>
            </w:r>
          </w:p>
        </w:tc>
        <w:tc>
          <w:tcPr>
            <w:tcW w:w="290" w:type="pct"/>
            <w:tcBorders>
              <w:tl2br w:val="nil"/>
              <w:tr2bl w:val="nil"/>
            </w:tcBorders>
            <w:shd w:val="clear" w:color="auto" w:fill="auto"/>
            <w:noWrap/>
            <w:tcMar>
              <w:top w:w="15" w:type="dxa"/>
              <w:left w:w="15" w:type="dxa"/>
              <w:right w:w="15" w:type="dxa"/>
            </w:tcMar>
            <w:vAlign w:val="center"/>
          </w:tcPr>
          <w:p w14:paraId="22CCAD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1CC382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10.1</w:t>
            </w:r>
          </w:p>
        </w:tc>
        <w:tc>
          <w:tcPr>
            <w:tcW w:w="290" w:type="pct"/>
            <w:tcBorders>
              <w:tl2br w:val="nil"/>
              <w:tr2bl w:val="nil"/>
            </w:tcBorders>
            <w:shd w:val="clear" w:color="auto" w:fill="auto"/>
            <w:noWrap/>
            <w:tcMar>
              <w:top w:w="15" w:type="dxa"/>
              <w:left w:w="15" w:type="dxa"/>
              <w:right w:w="15" w:type="dxa"/>
            </w:tcMar>
            <w:vAlign w:val="center"/>
          </w:tcPr>
          <w:p w14:paraId="3B1E1E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w:t>
            </w:r>
          </w:p>
        </w:tc>
        <w:tc>
          <w:tcPr>
            <w:tcW w:w="290" w:type="pct"/>
            <w:tcBorders>
              <w:tl2br w:val="nil"/>
              <w:tr2bl w:val="nil"/>
            </w:tcBorders>
            <w:shd w:val="clear" w:color="auto" w:fill="auto"/>
            <w:noWrap/>
            <w:tcMar>
              <w:top w:w="15" w:type="dxa"/>
              <w:left w:w="15" w:type="dxa"/>
              <w:right w:w="15" w:type="dxa"/>
            </w:tcMar>
            <w:vAlign w:val="center"/>
          </w:tcPr>
          <w:p w14:paraId="67B220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90" w:type="pct"/>
            <w:tcBorders>
              <w:tl2br w:val="nil"/>
              <w:tr2bl w:val="nil"/>
            </w:tcBorders>
            <w:shd w:val="clear" w:color="auto" w:fill="auto"/>
            <w:noWrap/>
            <w:tcMar>
              <w:top w:w="15" w:type="dxa"/>
              <w:left w:w="15" w:type="dxa"/>
              <w:right w:w="15" w:type="dxa"/>
            </w:tcMar>
            <w:vAlign w:val="center"/>
          </w:tcPr>
          <w:p w14:paraId="67FA2B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290" w:type="pct"/>
            <w:tcBorders>
              <w:tl2br w:val="nil"/>
              <w:tr2bl w:val="nil"/>
            </w:tcBorders>
            <w:shd w:val="clear" w:color="auto" w:fill="auto"/>
            <w:noWrap/>
            <w:tcMar>
              <w:top w:w="15" w:type="dxa"/>
              <w:left w:w="15" w:type="dxa"/>
              <w:right w:w="15" w:type="dxa"/>
            </w:tcMar>
            <w:vAlign w:val="center"/>
          </w:tcPr>
          <w:p w14:paraId="7BE826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w:t>
            </w:r>
          </w:p>
        </w:tc>
        <w:tc>
          <w:tcPr>
            <w:tcW w:w="290" w:type="pct"/>
            <w:tcBorders>
              <w:tl2br w:val="nil"/>
              <w:tr2bl w:val="nil"/>
            </w:tcBorders>
            <w:shd w:val="clear" w:color="auto" w:fill="auto"/>
            <w:noWrap/>
            <w:tcMar>
              <w:top w:w="15" w:type="dxa"/>
              <w:left w:w="15" w:type="dxa"/>
              <w:right w:w="15" w:type="dxa"/>
            </w:tcMar>
            <w:vAlign w:val="center"/>
          </w:tcPr>
          <w:p w14:paraId="6A03EC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9.6</w:t>
            </w:r>
          </w:p>
        </w:tc>
        <w:tc>
          <w:tcPr>
            <w:tcW w:w="290" w:type="pct"/>
            <w:tcBorders>
              <w:tl2br w:val="nil"/>
              <w:tr2bl w:val="nil"/>
            </w:tcBorders>
            <w:shd w:val="clear" w:color="auto" w:fill="auto"/>
            <w:noWrap/>
            <w:tcMar>
              <w:top w:w="15" w:type="dxa"/>
              <w:left w:w="15" w:type="dxa"/>
              <w:right w:w="15" w:type="dxa"/>
            </w:tcMar>
            <w:vAlign w:val="center"/>
          </w:tcPr>
          <w:p w14:paraId="708A11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0.5</w:t>
            </w:r>
          </w:p>
        </w:tc>
        <w:tc>
          <w:tcPr>
            <w:tcW w:w="293" w:type="pct"/>
            <w:tcBorders>
              <w:tl2br w:val="nil"/>
              <w:tr2bl w:val="nil"/>
            </w:tcBorders>
            <w:shd w:val="clear" w:color="auto" w:fill="auto"/>
            <w:noWrap/>
            <w:tcMar>
              <w:top w:w="15" w:type="dxa"/>
              <w:left w:w="15" w:type="dxa"/>
              <w:right w:w="15" w:type="dxa"/>
            </w:tcMar>
            <w:vAlign w:val="center"/>
          </w:tcPr>
          <w:p w14:paraId="62A1FD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0.6</w:t>
            </w:r>
          </w:p>
        </w:tc>
      </w:tr>
      <w:tr w14:paraId="180480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48E3E8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511" w:type="pct"/>
            <w:tcBorders>
              <w:tl2br w:val="nil"/>
              <w:tr2bl w:val="nil"/>
            </w:tcBorders>
            <w:shd w:val="clear" w:color="auto" w:fill="auto"/>
            <w:noWrap/>
            <w:tcMar>
              <w:top w:w="15" w:type="dxa"/>
              <w:left w:w="15" w:type="dxa"/>
              <w:right w:w="15" w:type="dxa"/>
            </w:tcMar>
            <w:vAlign w:val="center"/>
          </w:tcPr>
          <w:p w14:paraId="46E264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704" w:type="pct"/>
            <w:tcBorders>
              <w:tl2br w:val="nil"/>
              <w:tr2bl w:val="nil"/>
            </w:tcBorders>
            <w:shd w:val="clear" w:color="auto" w:fill="auto"/>
            <w:noWrap/>
            <w:tcMar>
              <w:top w:w="15" w:type="dxa"/>
              <w:left w:w="15" w:type="dxa"/>
              <w:right w:w="15" w:type="dxa"/>
            </w:tcMar>
            <w:vAlign w:val="center"/>
          </w:tcPr>
          <w:p w14:paraId="6AF0B5E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699" w:type="pct"/>
            <w:tcBorders>
              <w:tl2br w:val="nil"/>
              <w:tr2bl w:val="nil"/>
            </w:tcBorders>
            <w:shd w:val="clear" w:color="auto" w:fill="auto"/>
            <w:noWrap/>
            <w:tcMar>
              <w:top w:w="15" w:type="dxa"/>
              <w:left w:w="15" w:type="dxa"/>
              <w:right w:w="15" w:type="dxa"/>
            </w:tcMar>
            <w:vAlign w:val="center"/>
          </w:tcPr>
          <w:p w14:paraId="21286BC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7323E9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17.1</w:t>
            </w:r>
          </w:p>
        </w:tc>
        <w:tc>
          <w:tcPr>
            <w:tcW w:w="290" w:type="pct"/>
            <w:tcBorders>
              <w:tl2br w:val="nil"/>
              <w:tr2bl w:val="nil"/>
            </w:tcBorders>
            <w:shd w:val="clear" w:color="auto" w:fill="auto"/>
            <w:noWrap/>
            <w:tcMar>
              <w:top w:w="15" w:type="dxa"/>
              <w:left w:w="15" w:type="dxa"/>
              <w:right w:w="15" w:type="dxa"/>
            </w:tcMar>
            <w:vAlign w:val="center"/>
          </w:tcPr>
          <w:p w14:paraId="230D48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w:t>
            </w:r>
          </w:p>
        </w:tc>
        <w:tc>
          <w:tcPr>
            <w:tcW w:w="290" w:type="pct"/>
            <w:tcBorders>
              <w:tl2br w:val="nil"/>
              <w:tr2bl w:val="nil"/>
            </w:tcBorders>
            <w:shd w:val="clear" w:color="auto" w:fill="auto"/>
            <w:noWrap/>
            <w:tcMar>
              <w:top w:w="15" w:type="dxa"/>
              <w:left w:w="15" w:type="dxa"/>
              <w:right w:w="15" w:type="dxa"/>
            </w:tcMar>
            <w:vAlign w:val="center"/>
          </w:tcPr>
          <w:p w14:paraId="004A81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8.86</w:t>
            </w:r>
          </w:p>
        </w:tc>
        <w:tc>
          <w:tcPr>
            <w:tcW w:w="290" w:type="pct"/>
            <w:tcBorders>
              <w:tl2br w:val="nil"/>
              <w:tr2bl w:val="nil"/>
            </w:tcBorders>
            <w:shd w:val="clear" w:color="auto" w:fill="auto"/>
            <w:noWrap/>
            <w:tcMar>
              <w:top w:w="15" w:type="dxa"/>
              <w:left w:w="15" w:type="dxa"/>
              <w:right w:w="15" w:type="dxa"/>
            </w:tcMar>
            <w:vAlign w:val="center"/>
          </w:tcPr>
          <w:p w14:paraId="201D94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w:t>
            </w:r>
          </w:p>
        </w:tc>
        <w:tc>
          <w:tcPr>
            <w:tcW w:w="290" w:type="pct"/>
            <w:tcBorders>
              <w:tl2br w:val="nil"/>
              <w:tr2bl w:val="nil"/>
            </w:tcBorders>
            <w:shd w:val="clear" w:color="auto" w:fill="auto"/>
            <w:noWrap/>
            <w:tcMar>
              <w:top w:w="15" w:type="dxa"/>
              <w:left w:w="15" w:type="dxa"/>
              <w:right w:w="15" w:type="dxa"/>
            </w:tcMar>
            <w:vAlign w:val="center"/>
          </w:tcPr>
          <w:p w14:paraId="0B5C66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90" w:type="pct"/>
            <w:tcBorders>
              <w:tl2br w:val="nil"/>
              <w:tr2bl w:val="nil"/>
            </w:tcBorders>
            <w:shd w:val="clear" w:color="auto" w:fill="auto"/>
            <w:noWrap/>
            <w:tcMar>
              <w:top w:w="15" w:type="dxa"/>
              <w:left w:w="15" w:type="dxa"/>
              <w:right w:w="15" w:type="dxa"/>
            </w:tcMar>
            <w:vAlign w:val="center"/>
          </w:tcPr>
          <w:p w14:paraId="595DC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290" w:type="pct"/>
            <w:tcBorders>
              <w:tl2br w:val="nil"/>
              <w:tr2bl w:val="nil"/>
            </w:tcBorders>
            <w:shd w:val="clear" w:color="auto" w:fill="auto"/>
            <w:noWrap/>
            <w:tcMar>
              <w:top w:w="15" w:type="dxa"/>
              <w:left w:w="15" w:type="dxa"/>
              <w:right w:w="15" w:type="dxa"/>
            </w:tcMar>
            <w:vAlign w:val="center"/>
          </w:tcPr>
          <w:p w14:paraId="0B19F7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57</w:t>
            </w:r>
          </w:p>
        </w:tc>
        <w:tc>
          <w:tcPr>
            <w:tcW w:w="290" w:type="pct"/>
            <w:tcBorders>
              <w:tl2br w:val="nil"/>
              <w:tr2bl w:val="nil"/>
            </w:tcBorders>
            <w:shd w:val="clear" w:color="auto" w:fill="auto"/>
            <w:noWrap/>
            <w:tcMar>
              <w:top w:w="15" w:type="dxa"/>
              <w:left w:w="15" w:type="dxa"/>
              <w:right w:w="15" w:type="dxa"/>
            </w:tcMar>
            <w:vAlign w:val="center"/>
          </w:tcPr>
          <w:p w14:paraId="39E4DA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8.2</w:t>
            </w:r>
          </w:p>
        </w:tc>
        <w:tc>
          <w:tcPr>
            <w:tcW w:w="290" w:type="pct"/>
            <w:tcBorders>
              <w:tl2br w:val="nil"/>
              <w:tr2bl w:val="nil"/>
            </w:tcBorders>
            <w:shd w:val="clear" w:color="auto" w:fill="auto"/>
            <w:noWrap/>
            <w:tcMar>
              <w:top w:w="15" w:type="dxa"/>
              <w:left w:w="15" w:type="dxa"/>
              <w:right w:w="15" w:type="dxa"/>
            </w:tcMar>
            <w:vAlign w:val="center"/>
          </w:tcPr>
          <w:p w14:paraId="5AD347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c>
          <w:tcPr>
            <w:tcW w:w="293" w:type="pct"/>
            <w:tcBorders>
              <w:tl2br w:val="nil"/>
              <w:tr2bl w:val="nil"/>
            </w:tcBorders>
            <w:shd w:val="clear" w:color="auto" w:fill="auto"/>
            <w:noWrap/>
            <w:tcMar>
              <w:top w:w="15" w:type="dxa"/>
              <w:left w:w="15" w:type="dxa"/>
              <w:right w:w="15" w:type="dxa"/>
            </w:tcMar>
            <w:vAlign w:val="center"/>
          </w:tcPr>
          <w:p w14:paraId="44525B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r>
      <w:tr w14:paraId="4E86D6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04250D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511" w:type="pct"/>
            <w:tcBorders>
              <w:tl2br w:val="nil"/>
              <w:tr2bl w:val="nil"/>
            </w:tcBorders>
            <w:shd w:val="clear" w:color="auto" w:fill="auto"/>
            <w:noWrap/>
            <w:tcMar>
              <w:top w:w="15" w:type="dxa"/>
              <w:left w:w="15" w:type="dxa"/>
              <w:right w:w="15" w:type="dxa"/>
            </w:tcMar>
            <w:vAlign w:val="center"/>
          </w:tcPr>
          <w:p w14:paraId="7B4DA1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704" w:type="pct"/>
            <w:tcBorders>
              <w:tl2br w:val="nil"/>
              <w:tr2bl w:val="nil"/>
            </w:tcBorders>
            <w:shd w:val="clear" w:color="auto" w:fill="auto"/>
            <w:noWrap/>
            <w:tcMar>
              <w:top w:w="15" w:type="dxa"/>
              <w:left w:w="15" w:type="dxa"/>
              <w:right w:w="15" w:type="dxa"/>
            </w:tcMar>
            <w:vAlign w:val="center"/>
          </w:tcPr>
          <w:p w14:paraId="211D9F7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699" w:type="pct"/>
            <w:tcBorders>
              <w:tl2br w:val="nil"/>
              <w:tr2bl w:val="nil"/>
            </w:tcBorders>
            <w:shd w:val="clear" w:color="auto" w:fill="auto"/>
            <w:noWrap/>
            <w:tcMar>
              <w:top w:w="15" w:type="dxa"/>
              <w:left w:w="15" w:type="dxa"/>
              <w:right w:w="15" w:type="dxa"/>
            </w:tcMar>
            <w:vAlign w:val="center"/>
          </w:tcPr>
          <w:p w14:paraId="31BADC5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4BE827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17.3</w:t>
            </w:r>
          </w:p>
        </w:tc>
        <w:tc>
          <w:tcPr>
            <w:tcW w:w="290" w:type="pct"/>
            <w:tcBorders>
              <w:tl2br w:val="nil"/>
              <w:tr2bl w:val="nil"/>
            </w:tcBorders>
            <w:shd w:val="clear" w:color="auto" w:fill="auto"/>
            <w:noWrap/>
            <w:tcMar>
              <w:top w:w="15" w:type="dxa"/>
              <w:left w:w="15" w:type="dxa"/>
              <w:right w:w="15" w:type="dxa"/>
            </w:tcMar>
            <w:vAlign w:val="center"/>
          </w:tcPr>
          <w:p w14:paraId="368A61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6C90BA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9.67</w:t>
            </w:r>
          </w:p>
        </w:tc>
        <w:tc>
          <w:tcPr>
            <w:tcW w:w="290" w:type="pct"/>
            <w:tcBorders>
              <w:tl2br w:val="nil"/>
              <w:tr2bl w:val="nil"/>
            </w:tcBorders>
            <w:shd w:val="clear" w:color="auto" w:fill="auto"/>
            <w:noWrap/>
            <w:tcMar>
              <w:top w:w="15" w:type="dxa"/>
              <w:left w:w="15" w:type="dxa"/>
              <w:right w:w="15" w:type="dxa"/>
            </w:tcMar>
            <w:vAlign w:val="center"/>
          </w:tcPr>
          <w:p w14:paraId="11ADFD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w:t>
            </w:r>
          </w:p>
        </w:tc>
        <w:tc>
          <w:tcPr>
            <w:tcW w:w="290" w:type="pct"/>
            <w:tcBorders>
              <w:tl2br w:val="nil"/>
              <w:tr2bl w:val="nil"/>
            </w:tcBorders>
            <w:shd w:val="clear" w:color="auto" w:fill="auto"/>
            <w:noWrap/>
            <w:tcMar>
              <w:top w:w="15" w:type="dxa"/>
              <w:left w:w="15" w:type="dxa"/>
              <w:right w:w="15" w:type="dxa"/>
            </w:tcMar>
            <w:vAlign w:val="center"/>
          </w:tcPr>
          <w:p w14:paraId="33DEB0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290" w:type="pct"/>
            <w:tcBorders>
              <w:tl2br w:val="nil"/>
              <w:tr2bl w:val="nil"/>
            </w:tcBorders>
            <w:shd w:val="clear" w:color="auto" w:fill="auto"/>
            <w:noWrap/>
            <w:tcMar>
              <w:top w:w="15" w:type="dxa"/>
              <w:left w:w="15" w:type="dxa"/>
              <w:right w:w="15" w:type="dxa"/>
            </w:tcMar>
            <w:vAlign w:val="center"/>
          </w:tcPr>
          <w:p w14:paraId="092DBD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32</w:t>
            </w:r>
          </w:p>
        </w:tc>
        <w:tc>
          <w:tcPr>
            <w:tcW w:w="290" w:type="pct"/>
            <w:tcBorders>
              <w:tl2br w:val="nil"/>
              <w:tr2bl w:val="nil"/>
            </w:tcBorders>
            <w:shd w:val="clear" w:color="auto" w:fill="auto"/>
            <w:noWrap/>
            <w:tcMar>
              <w:top w:w="15" w:type="dxa"/>
              <w:left w:w="15" w:type="dxa"/>
              <w:right w:w="15" w:type="dxa"/>
            </w:tcMar>
            <w:vAlign w:val="center"/>
          </w:tcPr>
          <w:p w14:paraId="4CF97E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67</w:t>
            </w:r>
          </w:p>
        </w:tc>
        <w:tc>
          <w:tcPr>
            <w:tcW w:w="290" w:type="pct"/>
            <w:tcBorders>
              <w:tl2br w:val="nil"/>
              <w:tr2bl w:val="nil"/>
            </w:tcBorders>
            <w:shd w:val="clear" w:color="auto" w:fill="auto"/>
            <w:noWrap/>
            <w:tcMar>
              <w:top w:w="15" w:type="dxa"/>
              <w:left w:w="15" w:type="dxa"/>
              <w:right w:w="15" w:type="dxa"/>
            </w:tcMar>
            <w:vAlign w:val="center"/>
          </w:tcPr>
          <w:p w14:paraId="65FB40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8.8</w:t>
            </w:r>
          </w:p>
        </w:tc>
        <w:tc>
          <w:tcPr>
            <w:tcW w:w="290" w:type="pct"/>
            <w:tcBorders>
              <w:tl2br w:val="nil"/>
              <w:tr2bl w:val="nil"/>
            </w:tcBorders>
            <w:shd w:val="clear" w:color="auto" w:fill="auto"/>
            <w:noWrap/>
            <w:tcMar>
              <w:top w:w="15" w:type="dxa"/>
              <w:left w:w="15" w:type="dxa"/>
              <w:right w:w="15" w:type="dxa"/>
            </w:tcMar>
            <w:vAlign w:val="center"/>
          </w:tcPr>
          <w:p w14:paraId="5D978F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293" w:type="pct"/>
            <w:tcBorders>
              <w:tl2br w:val="nil"/>
              <w:tr2bl w:val="nil"/>
            </w:tcBorders>
            <w:shd w:val="clear" w:color="auto" w:fill="auto"/>
            <w:noWrap/>
            <w:tcMar>
              <w:top w:w="15" w:type="dxa"/>
              <w:left w:w="15" w:type="dxa"/>
              <w:right w:w="15" w:type="dxa"/>
            </w:tcMar>
            <w:vAlign w:val="center"/>
          </w:tcPr>
          <w:p w14:paraId="6C3B16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&lt;0.3</w:t>
            </w:r>
          </w:p>
        </w:tc>
      </w:tr>
      <w:tr w14:paraId="24EB7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012B75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511" w:type="pct"/>
            <w:tcBorders>
              <w:tl2br w:val="nil"/>
              <w:tr2bl w:val="nil"/>
            </w:tcBorders>
            <w:shd w:val="clear" w:color="auto" w:fill="auto"/>
            <w:noWrap/>
            <w:tcMar>
              <w:top w:w="15" w:type="dxa"/>
              <w:left w:w="15" w:type="dxa"/>
              <w:right w:w="15" w:type="dxa"/>
            </w:tcMar>
            <w:vAlign w:val="center"/>
          </w:tcPr>
          <w:p w14:paraId="3FE443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704" w:type="pct"/>
            <w:tcBorders>
              <w:tl2br w:val="nil"/>
              <w:tr2bl w:val="nil"/>
            </w:tcBorders>
            <w:shd w:val="clear" w:color="auto" w:fill="auto"/>
            <w:noWrap/>
            <w:tcMar>
              <w:top w:w="15" w:type="dxa"/>
              <w:left w:w="15" w:type="dxa"/>
              <w:right w:w="15" w:type="dxa"/>
            </w:tcMar>
            <w:vAlign w:val="center"/>
          </w:tcPr>
          <w:p w14:paraId="18EB7EDD">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企业聚集区西侧</w:t>
            </w:r>
          </w:p>
        </w:tc>
        <w:tc>
          <w:tcPr>
            <w:tcW w:w="699" w:type="pct"/>
            <w:tcBorders>
              <w:tl2br w:val="nil"/>
              <w:tr2bl w:val="nil"/>
            </w:tcBorders>
            <w:shd w:val="clear" w:color="auto" w:fill="auto"/>
            <w:noWrap/>
            <w:tcMar>
              <w:top w:w="15" w:type="dxa"/>
              <w:left w:w="15" w:type="dxa"/>
              <w:right w:w="15" w:type="dxa"/>
            </w:tcMar>
            <w:vAlign w:val="center"/>
          </w:tcPr>
          <w:p w14:paraId="12C6629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4B6D2A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17.6</w:t>
            </w:r>
          </w:p>
        </w:tc>
        <w:tc>
          <w:tcPr>
            <w:tcW w:w="290" w:type="pct"/>
            <w:tcBorders>
              <w:tl2br w:val="nil"/>
              <w:tr2bl w:val="nil"/>
            </w:tcBorders>
            <w:shd w:val="clear" w:color="auto" w:fill="auto"/>
            <w:noWrap/>
            <w:tcMar>
              <w:top w:w="15" w:type="dxa"/>
              <w:left w:w="15" w:type="dxa"/>
              <w:right w:w="15" w:type="dxa"/>
            </w:tcMar>
            <w:vAlign w:val="center"/>
          </w:tcPr>
          <w:p w14:paraId="7BCD78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w:t>
            </w:r>
          </w:p>
        </w:tc>
        <w:tc>
          <w:tcPr>
            <w:tcW w:w="290" w:type="pct"/>
            <w:tcBorders>
              <w:tl2br w:val="nil"/>
              <w:tr2bl w:val="nil"/>
            </w:tcBorders>
            <w:shd w:val="clear" w:color="auto" w:fill="auto"/>
            <w:noWrap/>
            <w:tcMar>
              <w:top w:w="15" w:type="dxa"/>
              <w:left w:w="15" w:type="dxa"/>
              <w:right w:w="15" w:type="dxa"/>
            </w:tcMar>
            <w:vAlign w:val="center"/>
          </w:tcPr>
          <w:p w14:paraId="639200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9.11</w:t>
            </w:r>
          </w:p>
        </w:tc>
        <w:tc>
          <w:tcPr>
            <w:tcW w:w="290" w:type="pct"/>
            <w:tcBorders>
              <w:tl2br w:val="nil"/>
              <w:tr2bl w:val="nil"/>
            </w:tcBorders>
            <w:shd w:val="clear" w:color="auto" w:fill="auto"/>
            <w:noWrap/>
            <w:tcMar>
              <w:top w:w="15" w:type="dxa"/>
              <w:left w:w="15" w:type="dxa"/>
              <w:right w:w="15" w:type="dxa"/>
            </w:tcMar>
            <w:vAlign w:val="center"/>
          </w:tcPr>
          <w:p w14:paraId="4AF86C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w:t>
            </w:r>
          </w:p>
        </w:tc>
        <w:tc>
          <w:tcPr>
            <w:tcW w:w="290" w:type="pct"/>
            <w:tcBorders>
              <w:tl2br w:val="nil"/>
              <w:tr2bl w:val="nil"/>
            </w:tcBorders>
            <w:shd w:val="clear" w:color="auto" w:fill="auto"/>
            <w:noWrap/>
            <w:tcMar>
              <w:top w:w="15" w:type="dxa"/>
              <w:left w:w="15" w:type="dxa"/>
              <w:right w:w="15" w:type="dxa"/>
            </w:tcMar>
            <w:vAlign w:val="center"/>
          </w:tcPr>
          <w:p w14:paraId="311AC7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290" w:type="pct"/>
            <w:tcBorders>
              <w:tl2br w:val="nil"/>
              <w:tr2bl w:val="nil"/>
            </w:tcBorders>
            <w:shd w:val="clear" w:color="auto" w:fill="auto"/>
            <w:noWrap/>
            <w:tcMar>
              <w:top w:w="15" w:type="dxa"/>
              <w:left w:w="15" w:type="dxa"/>
              <w:right w:w="15" w:type="dxa"/>
            </w:tcMar>
            <w:vAlign w:val="center"/>
          </w:tcPr>
          <w:p w14:paraId="105942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31</w:t>
            </w:r>
          </w:p>
        </w:tc>
        <w:tc>
          <w:tcPr>
            <w:tcW w:w="290" w:type="pct"/>
            <w:tcBorders>
              <w:tl2br w:val="nil"/>
              <w:tr2bl w:val="nil"/>
            </w:tcBorders>
            <w:shd w:val="clear" w:color="auto" w:fill="auto"/>
            <w:noWrap/>
            <w:tcMar>
              <w:top w:w="15" w:type="dxa"/>
              <w:left w:w="15" w:type="dxa"/>
              <w:right w:w="15" w:type="dxa"/>
            </w:tcMar>
            <w:vAlign w:val="center"/>
          </w:tcPr>
          <w:p w14:paraId="6159FD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65</w:t>
            </w:r>
          </w:p>
        </w:tc>
        <w:tc>
          <w:tcPr>
            <w:tcW w:w="290" w:type="pct"/>
            <w:tcBorders>
              <w:tl2br w:val="nil"/>
              <w:tr2bl w:val="nil"/>
            </w:tcBorders>
            <w:shd w:val="clear" w:color="auto" w:fill="auto"/>
            <w:noWrap/>
            <w:tcMar>
              <w:top w:w="15" w:type="dxa"/>
              <w:left w:w="15" w:type="dxa"/>
              <w:right w:w="15" w:type="dxa"/>
            </w:tcMar>
            <w:vAlign w:val="center"/>
          </w:tcPr>
          <w:p w14:paraId="0ED70F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6.8</w:t>
            </w:r>
          </w:p>
        </w:tc>
        <w:tc>
          <w:tcPr>
            <w:tcW w:w="290" w:type="pct"/>
            <w:tcBorders>
              <w:tl2br w:val="nil"/>
              <w:tr2bl w:val="nil"/>
            </w:tcBorders>
            <w:shd w:val="clear" w:color="auto" w:fill="auto"/>
            <w:noWrap/>
            <w:tcMar>
              <w:top w:w="15" w:type="dxa"/>
              <w:left w:w="15" w:type="dxa"/>
              <w:right w:w="15" w:type="dxa"/>
            </w:tcMar>
            <w:vAlign w:val="center"/>
          </w:tcPr>
          <w:p w14:paraId="3AA178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0.6</w:t>
            </w:r>
          </w:p>
        </w:tc>
        <w:tc>
          <w:tcPr>
            <w:tcW w:w="293" w:type="pct"/>
            <w:tcBorders>
              <w:tl2br w:val="nil"/>
              <w:tr2bl w:val="nil"/>
            </w:tcBorders>
            <w:shd w:val="clear" w:color="auto" w:fill="auto"/>
            <w:noWrap/>
            <w:tcMar>
              <w:top w:w="15" w:type="dxa"/>
              <w:left w:w="15" w:type="dxa"/>
              <w:right w:w="15" w:type="dxa"/>
            </w:tcMar>
            <w:vAlign w:val="center"/>
          </w:tcPr>
          <w:p w14:paraId="035650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&lt;0.3</w:t>
            </w:r>
          </w:p>
        </w:tc>
      </w:tr>
      <w:tr w14:paraId="6DF2F8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40274A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511" w:type="pct"/>
            <w:tcBorders>
              <w:tl2br w:val="nil"/>
              <w:tr2bl w:val="nil"/>
            </w:tcBorders>
            <w:shd w:val="clear" w:color="auto" w:fill="auto"/>
            <w:noWrap/>
            <w:tcMar>
              <w:top w:w="15" w:type="dxa"/>
              <w:left w:w="15" w:type="dxa"/>
              <w:right w:w="15" w:type="dxa"/>
            </w:tcMar>
            <w:vAlign w:val="center"/>
          </w:tcPr>
          <w:p w14:paraId="07E877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704" w:type="pct"/>
            <w:tcBorders>
              <w:tl2br w:val="nil"/>
              <w:tr2bl w:val="nil"/>
            </w:tcBorders>
            <w:shd w:val="clear" w:color="auto" w:fill="auto"/>
            <w:noWrap/>
            <w:tcMar>
              <w:top w:w="15" w:type="dxa"/>
              <w:left w:w="15" w:type="dxa"/>
              <w:right w:w="15" w:type="dxa"/>
            </w:tcMar>
            <w:vAlign w:val="center"/>
          </w:tcPr>
          <w:p w14:paraId="21DFEC8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699" w:type="pct"/>
            <w:tcBorders>
              <w:tl2br w:val="nil"/>
              <w:tr2bl w:val="nil"/>
            </w:tcBorders>
            <w:shd w:val="clear" w:color="auto" w:fill="auto"/>
            <w:noWrap/>
            <w:tcMar>
              <w:top w:w="15" w:type="dxa"/>
              <w:left w:w="15" w:type="dxa"/>
              <w:right w:w="15" w:type="dxa"/>
            </w:tcMar>
            <w:vAlign w:val="center"/>
          </w:tcPr>
          <w:p w14:paraId="3C6C21F0">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48D8EA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16.9</w:t>
            </w:r>
          </w:p>
        </w:tc>
        <w:tc>
          <w:tcPr>
            <w:tcW w:w="290" w:type="pct"/>
            <w:tcBorders>
              <w:tl2br w:val="nil"/>
              <w:tr2bl w:val="nil"/>
            </w:tcBorders>
            <w:shd w:val="clear" w:color="auto" w:fill="auto"/>
            <w:noWrap/>
            <w:tcMar>
              <w:top w:w="15" w:type="dxa"/>
              <w:left w:w="15" w:type="dxa"/>
              <w:right w:w="15" w:type="dxa"/>
            </w:tcMar>
            <w:vAlign w:val="center"/>
          </w:tcPr>
          <w:p w14:paraId="0E2736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0.1</w:t>
            </w:r>
            <w:r>
              <w:rPr>
                <w:rFonts w:hint="default" w:ascii="Times New Roman" w:hAnsi="Times New Roman" w:cs="Times New Roman"/>
                <w:color w:val="auto"/>
                <w:sz w:val="21"/>
                <w:szCs w:val="21"/>
                <w:highlight w:val="none"/>
                <w:lang w:val="en-US" w:eastAsia="zh-CN"/>
              </w:rPr>
              <w:t>0</w:t>
            </w:r>
          </w:p>
        </w:tc>
        <w:tc>
          <w:tcPr>
            <w:tcW w:w="290" w:type="pct"/>
            <w:tcBorders>
              <w:tl2br w:val="nil"/>
              <w:tr2bl w:val="nil"/>
            </w:tcBorders>
            <w:shd w:val="clear" w:color="auto" w:fill="auto"/>
            <w:noWrap/>
            <w:tcMar>
              <w:top w:w="15" w:type="dxa"/>
              <w:left w:w="15" w:type="dxa"/>
              <w:right w:w="15" w:type="dxa"/>
            </w:tcMar>
            <w:vAlign w:val="center"/>
          </w:tcPr>
          <w:p w14:paraId="56EBDA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9.06</w:t>
            </w:r>
          </w:p>
        </w:tc>
        <w:tc>
          <w:tcPr>
            <w:tcW w:w="290" w:type="pct"/>
            <w:tcBorders>
              <w:tl2br w:val="nil"/>
              <w:tr2bl w:val="nil"/>
            </w:tcBorders>
            <w:shd w:val="clear" w:color="auto" w:fill="auto"/>
            <w:noWrap/>
            <w:tcMar>
              <w:top w:w="15" w:type="dxa"/>
              <w:left w:w="15" w:type="dxa"/>
              <w:right w:w="15" w:type="dxa"/>
            </w:tcMar>
            <w:vAlign w:val="center"/>
          </w:tcPr>
          <w:p w14:paraId="1E73C1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w:t>
            </w:r>
          </w:p>
        </w:tc>
        <w:tc>
          <w:tcPr>
            <w:tcW w:w="290" w:type="pct"/>
            <w:tcBorders>
              <w:tl2br w:val="nil"/>
              <w:tr2bl w:val="nil"/>
            </w:tcBorders>
            <w:shd w:val="clear" w:color="auto" w:fill="auto"/>
            <w:noWrap/>
            <w:tcMar>
              <w:top w:w="15" w:type="dxa"/>
              <w:left w:w="15" w:type="dxa"/>
              <w:right w:w="15" w:type="dxa"/>
            </w:tcMar>
            <w:vAlign w:val="center"/>
          </w:tcPr>
          <w:p w14:paraId="63E401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290" w:type="pct"/>
            <w:tcBorders>
              <w:tl2br w:val="nil"/>
              <w:tr2bl w:val="nil"/>
            </w:tcBorders>
            <w:shd w:val="clear" w:color="auto" w:fill="auto"/>
            <w:noWrap/>
            <w:tcMar>
              <w:top w:w="15" w:type="dxa"/>
              <w:left w:w="15" w:type="dxa"/>
              <w:right w:w="15" w:type="dxa"/>
            </w:tcMar>
            <w:vAlign w:val="center"/>
          </w:tcPr>
          <w:p w14:paraId="177A52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290" w:type="pct"/>
            <w:tcBorders>
              <w:tl2br w:val="nil"/>
              <w:tr2bl w:val="nil"/>
            </w:tcBorders>
            <w:shd w:val="clear" w:color="auto" w:fill="auto"/>
            <w:noWrap/>
            <w:tcMar>
              <w:top w:w="15" w:type="dxa"/>
              <w:left w:w="15" w:type="dxa"/>
              <w:right w:w="15" w:type="dxa"/>
            </w:tcMar>
            <w:vAlign w:val="center"/>
          </w:tcPr>
          <w:p w14:paraId="08A9B2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47</w:t>
            </w:r>
          </w:p>
        </w:tc>
        <w:tc>
          <w:tcPr>
            <w:tcW w:w="290" w:type="pct"/>
            <w:tcBorders>
              <w:tl2br w:val="nil"/>
              <w:tr2bl w:val="nil"/>
            </w:tcBorders>
            <w:shd w:val="clear" w:color="auto" w:fill="auto"/>
            <w:noWrap/>
            <w:tcMar>
              <w:top w:w="15" w:type="dxa"/>
              <w:left w:w="15" w:type="dxa"/>
              <w:right w:w="15" w:type="dxa"/>
            </w:tcMar>
            <w:vAlign w:val="center"/>
          </w:tcPr>
          <w:p w14:paraId="1B931B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6.6</w:t>
            </w:r>
          </w:p>
        </w:tc>
        <w:tc>
          <w:tcPr>
            <w:tcW w:w="290" w:type="pct"/>
            <w:tcBorders>
              <w:tl2br w:val="nil"/>
              <w:tr2bl w:val="nil"/>
            </w:tcBorders>
            <w:shd w:val="clear" w:color="auto" w:fill="auto"/>
            <w:noWrap/>
            <w:tcMar>
              <w:top w:w="15" w:type="dxa"/>
              <w:left w:w="15" w:type="dxa"/>
              <w:right w:w="15" w:type="dxa"/>
            </w:tcMar>
            <w:vAlign w:val="center"/>
          </w:tcPr>
          <w:p w14:paraId="049D1F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c>
          <w:tcPr>
            <w:tcW w:w="293" w:type="pct"/>
            <w:tcBorders>
              <w:tl2br w:val="nil"/>
              <w:tr2bl w:val="nil"/>
            </w:tcBorders>
            <w:shd w:val="clear" w:color="auto" w:fill="auto"/>
            <w:noWrap/>
            <w:tcMar>
              <w:top w:w="15" w:type="dxa"/>
              <w:left w:w="15" w:type="dxa"/>
              <w:right w:w="15" w:type="dxa"/>
            </w:tcMar>
            <w:vAlign w:val="center"/>
          </w:tcPr>
          <w:p w14:paraId="2E37C3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r>
      <w:tr w14:paraId="578C86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38F410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511" w:type="pct"/>
            <w:tcBorders>
              <w:tl2br w:val="nil"/>
              <w:tr2bl w:val="nil"/>
            </w:tcBorders>
            <w:shd w:val="clear" w:color="auto" w:fill="auto"/>
            <w:noWrap/>
            <w:tcMar>
              <w:top w:w="15" w:type="dxa"/>
              <w:left w:w="15" w:type="dxa"/>
              <w:right w:w="15" w:type="dxa"/>
            </w:tcMar>
            <w:vAlign w:val="center"/>
          </w:tcPr>
          <w:p w14:paraId="7D6186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704" w:type="pct"/>
            <w:tcBorders>
              <w:tl2br w:val="nil"/>
              <w:tr2bl w:val="nil"/>
            </w:tcBorders>
            <w:shd w:val="clear" w:color="auto" w:fill="auto"/>
            <w:noWrap/>
            <w:tcMar>
              <w:top w:w="15" w:type="dxa"/>
              <w:left w:w="15" w:type="dxa"/>
              <w:right w:w="15" w:type="dxa"/>
            </w:tcMar>
            <w:vAlign w:val="center"/>
          </w:tcPr>
          <w:p w14:paraId="1BA1B72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699" w:type="pct"/>
            <w:tcBorders>
              <w:tl2br w:val="nil"/>
              <w:tr2bl w:val="nil"/>
            </w:tcBorders>
            <w:shd w:val="clear" w:color="auto" w:fill="auto"/>
            <w:noWrap/>
            <w:tcMar>
              <w:top w:w="15" w:type="dxa"/>
              <w:left w:w="15" w:type="dxa"/>
              <w:right w:w="15" w:type="dxa"/>
            </w:tcMar>
            <w:vAlign w:val="center"/>
          </w:tcPr>
          <w:p w14:paraId="4C5E459E">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6F3360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22</w:t>
            </w:r>
            <w:r>
              <w:rPr>
                <w:rFonts w:hint="default" w:ascii="Times New Roman" w:hAnsi="Times New Roman" w:cs="Times New Roman"/>
                <w:i w:val="0"/>
                <w:color w:val="auto"/>
                <w:kern w:val="0"/>
                <w:sz w:val="21"/>
                <w:szCs w:val="21"/>
                <w:highlight w:val="none"/>
                <w:u w:val="none"/>
                <w:lang w:val="en-US" w:eastAsia="zh-CN" w:bidi="ar"/>
              </w:rPr>
              <w:t>.0</w:t>
            </w:r>
          </w:p>
        </w:tc>
        <w:tc>
          <w:tcPr>
            <w:tcW w:w="290" w:type="pct"/>
            <w:tcBorders>
              <w:tl2br w:val="nil"/>
              <w:tr2bl w:val="nil"/>
            </w:tcBorders>
            <w:shd w:val="clear" w:color="auto" w:fill="auto"/>
            <w:noWrap/>
            <w:tcMar>
              <w:top w:w="15" w:type="dxa"/>
              <w:left w:w="15" w:type="dxa"/>
              <w:right w:w="15" w:type="dxa"/>
            </w:tcMar>
            <w:vAlign w:val="center"/>
          </w:tcPr>
          <w:p w14:paraId="0BFAE6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7DA67C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9.89</w:t>
            </w:r>
          </w:p>
        </w:tc>
        <w:tc>
          <w:tcPr>
            <w:tcW w:w="290" w:type="pct"/>
            <w:tcBorders>
              <w:tl2br w:val="nil"/>
              <w:tr2bl w:val="nil"/>
            </w:tcBorders>
            <w:shd w:val="clear" w:color="auto" w:fill="auto"/>
            <w:noWrap/>
            <w:tcMar>
              <w:top w:w="15" w:type="dxa"/>
              <w:left w:w="15" w:type="dxa"/>
              <w:right w:w="15" w:type="dxa"/>
            </w:tcMar>
            <w:vAlign w:val="center"/>
          </w:tcPr>
          <w:p w14:paraId="7F84F7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w:t>
            </w:r>
          </w:p>
        </w:tc>
        <w:tc>
          <w:tcPr>
            <w:tcW w:w="290" w:type="pct"/>
            <w:tcBorders>
              <w:tl2br w:val="nil"/>
              <w:tr2bl w:val="nil"/>
            </w:tcBorders>
            <w:shd w:val="clear" w:color="auto" w:fill="auto"/>
            <w:noWrap/>
            <w:tcMar>
              <w:top w:w="15" w:type="dxa"/>
              <w:left w:w="15" w:type="dxa"/>
              <w:right w:w="15" w:type="dxa"/>
            </w:tcMar>
            <w:vAlign w:val="center"/>
          </w:tcPr>
          <w:p w14:paraId="31D8EE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290" w:type="pct"/>
            <w:tcBorders>
              <w:tl2br w:val="nil"/>
              <w:tr2bl w:val="nil"/>
            </w:tcBorders>
            <w:shd w:val="clear" w:color="auto" w:fill="auto"/>
            <w:noWrap/>
            <w:tcMar>
              <w:top w:w="15" w:type="dxa"/>
              <w:left w:w="15" w:type="dxa"/>
              <w:right w:w="15" w:type="dxa"/>
            </w:tcMar>
            <w:vAlign w:val="center"/>
          </w:tcPr>
          <w:p w14:paraId="79208C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32</w:t>
            </w:r>
          </w:p>
        </w:tc>
        <w:tc>
          <w:tcPr>
            <w:tcW w:w="290" w:type="pct"/>
            <w:tcBorders>
              <w:tl2br w:val="nil"/>
              <w:tr2bl w:val="nil"/>
            </w:tcBorders>
            <w:shd w:val="clear" w:color="auto" w:fill="auto"/>
            <w:noWrap/>
            <w:tcMar>
              <w:top w:w="15" w:type="dxa"/>
              <w:left w:w="15" w:type="dxa"/>
              <w:right w:w="15" w:type="dxa"/>
            </w:tcMar>
            <w:vAlign w:val="center"/>
          </w:tcPr>
          <w:p w14:paraId="7CC57D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58</w:t>
            </w:r>
          </w:p>
        </w:tc>
        <w:tc>
          <w:tcPr>
            <w:tcW w:w="290" w:type="pct"/>
            <w:tcBorders>
              <w:tl2br w:val="nil"/>
              <w:tr2bl w:val="nil"/>
            </w:tcBorders>
            <w:shd w:val="clear" w:color="auto" w:fill="auto"/>
            <w:noWrap/>
            <w:tcMar>
              <w:top w:w="15" w:type="dxa"/>
              <w:left w:w="15" w:type="dxa"/>
              <w:right w:w="15" w:type="dxa"/>
            </w:tcMar>
            <w:vAlign w:val="center"/>
          </w:tcPr>
          <w:p w14:paraId="1EDEF2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9.8</w:t>
            </w:r>
          </w:p>
        </w:tc>
        <w:tc>
          <w:tcPr>
            <w:tcW w:w="290" w:type="pct"/>
            <w:tcBorders>
              <w:tl2br w:val="nil"/>
              <w:tr2bl w:val="nil"/>
            </w:tcBorders>
            <w:shd w:val="clear" w:color="auto" w:fill="auto"/>
            <w:noWrap/>
            <w:tcMar>
              <w:top w:w="15" w:type="dxa"/>
              <w:left w:w="15" w:type="dxa"/>
              <w:right w:w="15" w:type="dxa"/>
            </w:tcMar>
            <w:vAlign w:val="center"/>
          </w:tcPr>
          <w:p w14:paraId="5431A9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0.5</w:t>
            </w:r>
          </w:p>
        </w:tc>
        <w:tc>
          <w:tcPr>
            <w:tcW w:w="293" w:type="pct"/>
            <w:tcBorders>
              <w:tl2br w:val="nil"/>
              <w:tr2bl w:val="nil"/>
            </w:tcBorders>
            <w:shd w:val="clear" w:color="auto" w:fill="auto"/>
            <w:noWrap/>
            <w:tcMar>
              <w:top w:w="15" w:type="dxa"/>
              <w:left w:w="15" w:type="dxa"/>
              <w:right w:w="15" w:type="dxa"/>
            </w:tcMar>
            <w:vAlign w:val="center"/>
          </w:tcPr>
          <w:p w14:paraId="2E7D27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r>
      <w:tr w14:paraId="36BE9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0110B6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511" w:type="pct"/>
            <w:tcBorders>
              <w:tl2br w:val="nil"/>
              <w:tr2bl w:val="nil"/>
            </w:tcBorders>
            <w:shd w:val="clear" w:color="auto" w:fill="auto"/>
            <w:noWrap/>
            <w:tcMar>
              <w:top w:w="15" w:type="dxa"/>
              <w:left w:w="15" w:type="dxa"/>
              <w:right w:w="15" w:type="dxa"/>
            </w:tcMar>
            <w:vAlign w:val="center"/>
          </w:tcPr>
          <w:p w14:paraId="54E467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704" w:type="pct"/>
            <w:tcBorders>
              <w:tl2br w:val="nil"/>
              <w:tr2bl w:val="nil"/>
            </w:tcBorders>
            <w:shd w:val="clear" w:color="auto" w:fill="auto"/>
            <w:noWrap/>
            <w:tcMar>
              <w:top w:w="15" w:type="dxa"/>
              <w:left w:w="15" w:type="dxa"/>
              <w:right w:w="15" w:type="dxa"/>
            </w:tcMar>
            <w:vAlign w:val="center"/>
          </w:tcPr>
          <w:p w14:paraId="7576CD3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企业聚集区北侧</w:t>
            </w:r>
          </w:p>
        </w:tc>
        <w:tc>
          <w:tcPr>
            <w:tcW w:w="699" w:type="pct"/>
            <w:tcBorders>
              <w:tl2br w:val="nil"/>
              <w:tr2bl w:val="nil"/>
            </w:tcBorders>
            <w:shd w:val="clear" w:color="auto" w:fill="auto"/>
            <w:noWrap/>
            <w:tcMar>
              <w:top w:w="15" w:type="dxa"/>
              <w:left w:w="15" w:type="dxa"/>
              <w:right w:w="15" w:type="dxa"/>
            </w:tcMar>
            <w:vAlign w:val="center"/>
          </w:tcPr>
          <w:p w14:paraId="2AE5C5A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6263A3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27.1</w:t>
            </w:r>
          </w:p>
        </w:tc>
        <w:tc>
          <w:tcPr>
            <w:tcW w:w="290" w:type="pct"/>
            <w:tcBorders>
              <w:tl2br w:val="nil"/>
              <w:tr2bl w:val="nil"/>
            </w:tcBorders>
            <w:shd w:val="clear" w:color="auto" w:fill="auto"/>
            <w:noWrap/>
            <w:tcMar>
              <w:top w:w="15" w:type="dxa"/>
              <w:left w:w="15" w:type="dxa"/>
              <w:right w:w="15" w:type="dxa"/>
            </w:tcMar>
            <w:vAlign w:val="center"/>
          </w:tcPr>
          <w:p w14:paraId="7E45F2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770E75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8.93</w:t>
            </w:r>
          </w:p>
        </w:tc>
        <w:tc>
          <w:tcPr>
            <w:tcW w:w="290" w:type="pct"/>
            <w:tcBorders>
              <w:tl2br w:val="nil"/>
              <w:tr2bl w:val="nil"/>
            </w:tcBorders>
            <w:shd w:val="clear" w:color="auto" w:fill="auto"/>
            <w:noWrap/>
            <w:tcMar>
              <w:top w:w="15" w:type="dxa"/>
              <w:left w:w="15" w:type="dxa"/>
              <w:right w:w="15" w:type="dxa"/>
            </w:tcMar>
            <w:vAlign w:val="center"/>
          </w:tcPr>
          <w:p w14:paraId="75D6BF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0.07</w:t>
            </w:r>
          </w:p>
        </w:tc>
        <w:tc>
          <w:tcPr>
            <w:tcW w:w="290" w:type="pct"/>
            <w:tcBorders>
              <w:tl2br w:val="nil"/>
              <w:tr2bl w:val="nil"/>
            </w:tcBorders>
            <w:shd w:val="clear" w:color="auto" w:fill="auto"/>
            <w:noWrap/>
            <w:tcMar>
              <w:top w:w="15" w:type="dxa"/>
              <w:left w:w="15" w:type="dxa"/>
              <w:right w:w="15" w:type="dxa"/>
            </w:tcMar>
            <w:vAlign w:val="center"/>
          </w:tcPr>
          <w:p w14:paraId="043A77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31</w:t>
            </w:r>
          </w:p>
        </w:tc>
        <w:tc>
          <w:tcPr>
            <w:tcW w:w="290" w:type="pct"/>
            <w:tcBorders>
              <w:tl2br w:val="nil"/>
              <w:tr2bl w:val="nil"/>
            </w:tcBorders>
            <w:shd w:val="clear" w:color="auto" w:fill="auto"/>
            <w:noWrap/>
            <w:tcMar>
              <w:top w:w="15" w:type="dxa"/>
              <w:left w:w="15" w:type="dxa"/>
              <w:right w:w="15" w:type="dxa"/>
            </w:tcMar>
            <w:vAlign w:val="center"/>
          </w:tcPr>
          <w:p w14:paraId="6D7FA6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290" w:type="pct"/>
            <w:tcBorders>
              <w:tl2br w:val="nil"/>
              <w:tr2bl w:val="nil"/>
            </w:tcBorders>
            <w:shd w:val="clear" w:color="auto" w:fill="auto"/>
            <w:noWrap/>
            <w:tcMar>
              <w:top w:w="15" w:type="dxa"/>
              <w:left w:w="15" w:type="dxa"/>
              <w:right w:w="15" w:type="dxa"/>
            </w:tcMar>
            <w:vAlign w:val="center"/>
          </w:tcPr>
          <w:p w14:paraId="640F5A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45</w:t>
            </w:r>
          </w:p>
        </w:tc>
        <w:tc>
          <w:tcPr>
            <w:tcW w:w="290" w:type="pct"/>
            <w:tcBorders>
              <w:tl2br w:val="nil"/>
              <w:tr2bl w:val="nil"/>
            </w:tcBorders>
            <w:shd w:val="clear" w:color="auto" w:fill="auto"/>
            <w:noWrap/>
            <w:tcMar>
              <w:top w:w="15" w:type="dxa"/>
              <w:left w:w="15" w:type="dxa"/>
              <w:right w:w="15" w:type="dxa"/>
            </w:tcMar>
            <w:vAlign w:val="center"/>
          </w:tcPr>
          <w:p w14:paraId="2072C6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10.2</w:t>
            </w:r>
          </w:p>
        </w:tc>
        <w:tc>
          <w:tcPr>
            <w:tcW w:w="290" w:type="pct"/>
            <w:tcBorders>
              <w:tl2br w:val="nil"/>
              <w:tr2bl w:val="nil"/>
            </w:tcBorders>
            <w:shd w:val="clear" w:color="auto" w:fill="auto"/>
            <w:noWrap/>
            <w:tcMar>
              <w:top w:w="15" w:type="dxa"/>
              <w:left w:w="15" w:type="dxa"/>
              <w:right w:w="15" w:type="dxa"/>
            </w:tcMar>
            <w:vAlign w:val="center"/>
          </w:tcPr>
          <w:p w14:paraId="27C940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0.6</w:t>
            </w:r>
          </w:p>
        </w:tc>
        <w:tc>
          <w:tcPr>
            <w:tcW w:w="293" w:type="pct"/>
            <w:tcBorders>
              <w:tl2br w:val="nil"/>
              <w:tr2bl w:val="nil"/>
            </w:tcBorders>
            <w:shd w:val="clear" w:color="auto" w:fill="auto"/>
            <w:noWrap/>
            <w:tcMar>
              <w:top w:w="15" w:type="dxa"/>
              <w:left w:w="15" w:type="dxa"/>
              <w:right w:w="15" w:type="dxa"/>
            </w:tcMar>
            <w:vAlign w:val="center"/>
          </w:tcPr>
          <w:p w14:paraId="1B87D3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0.4</w:t>
            </w:r>
          </w:p>
        </w:tc>
      </w:tr>
      <w:tr w14:paraId="09581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75" w:type="pct"/>
            <w:tcBorders>
              <w:tl2br w:val="nil"/>
              <w:tr2bl w:val="nil"/>
            </w:tcBorders>
            <w:shd w:val="clear" w:color="auto" w:fill="auto"/>
            <w:noWrap/>
            <w:tcMar>
              <w:top w:w="15" w:type="dxa"/>
              <w:left w:w="15" w:type="dxa"/>
              <w:right w:w="15" w:type="dxa"/>
            </w:tcMar>
            <w:vAlign w:val="center"/>
          </w:tcPr>
          <w:p w14:paraId="7A24CD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511" w:type="pct"/>
            <w:tcBorders>
              <w:tl2br w:val="nil"/>
              <w:tr2bl w:val="nil"/>
            </w:tcBorders>
            <w:shd w:val="clear" w:color="auto" w:fill="auto"/>
            <w:noWrap/>
            <w:tcMar>
              <w:top w:w="15" w:type="dxa"/>
              <w:left w:w="15" w:type="dxa"/>
              <w:right w:w="15" w:type="dxa"/>
            </w:tcMar>
            <w:vAlign w:val="center"/>
          </w:tcPr>
          <w:p w14:paraId="2C8835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704" w:type="pct"/>
            <w:tcBorders>
              <w:tl2br w:val="nil"/>
              <w:tr2bl w:val="nil"/>
            </w:tcBorders>
            <w:shd w:val="clear" w:color="auto" w:fill="auto"/>
            <w:noWrap/>
            <w:tcMar>
              <w:top w:w="15" w:type="dxa"/>
              <w:left w:w="15" w:type="dxa"/>
              <w:right w:w="15" w:type="dxa"/>
            </w:tcMar>
            <w:vAlign w:val="center"/>
          </w:tcPr>
          <w:p w14:paraId="26B1C2B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企业聚集区南侧</w:t>
            </w:r>
          </w:p>
        </w:tc>
        <w:tc>
          <w:tcPr>
            <w:tcW w:w="699" w:type="pct"/>
            <w:tcBorders>
              <w:tl2br w:val="nil"/>
              <w:tr2bl w:val="nil"/>
            </w:tcBorders>
            <w:shd w:val="clear" w:color="auto" w:fill="auto"/>
            <w:noWrap/>
            <w:tcMar>
              <w:top w:w="15" w:type="dxa"/>
              <w:left w:w="15" w:type="dxa"/>
              <w:right w:w="15" w:type="dxa"/>
            </w:tcMar>
            <w:vAlign w:val="center"/>
          </w:tcPr>
          <w:p w14:paraId="4CE86257">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sz w:val="21"/>
                <w:szCs w:val="21"/>
                <w:highlight w:val="none"/>
                <w:u w:val="none"/>
                <w:lang w:val="en-US" w:eastAsia="zh-CN"/>
              </w:rPr>
              <w:t>第二类用地筛选值</w:t>
            </w:r>
          </w:p>
        </w:tc>
        <w:tc>
          <w:tcPr>
            <w:tcW w:w="290" w:type="pct"/>
            <w:tcBorders>
              <w:tl2br w:val="nil"/>
              <w:tr2bl w:val="nil"/>
            </w:tcBorders>
            <w:shd w:val="clear" w:color="auto" w:fill="auto"/>
            <w:noWrap/>
            <w:tcMar>
              <w:top w:w="15" w:type="dxa"/>
              <w:left w:w="15" w:type="dxa"/>
              <w:right w:w="15" w:type="dxa"/>
            </w:tcMar>
            <w:vAlign w:val="center"/>
          </w:tcPr>
          <w:p w14:paraId="3B9B83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38.2</w:t>
            </w:r>
          </w:p>
        </w:tc>
        <w:tc>
          <w:tcPr>
            <w:tcW w:w="290" w:type="pct"/>
            <w:tcBorders>
              <w:tl2br w:val="nil"/>
              <w:tr2bl w:val="nil"/>
            </w:tcBorders>
            <w:shd w:val="clear" w:color="auto" w:fill="auto"/>
            <w:noWrap/>
            <w:tcMar>
              <w:top w:w="15" w:type="dxa"/>
              <w:left w:w="15" w:type="dxa"/>
              <w:right w:w="15" w:type="dxa"/>
            </w:tcMar>
            <w:vAlign w:val="center"/>
          </w:tcPr>
          <w:p w14:paraId="7BDA60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0.14</w:t>
            </w:r>
          </w:p>
        </w:tc>
        <w:tc>
          <w:tcPr>
            <w:tcW w:w="290" w:type="pct"/>
            <w:tcBorders>
              <w:tl2br w:val="nil"/>
              <w:tr2bl w:val="nil"/>
            </w:tcBorders>
            <w:shd w:val="clear" w:color="auto" w:fill="auto"/>
            <w:noWrap/>
            <w:tcMar>
              <w:top w:w="15" w:type="dxa"/>
              <w:left w:w="15" w:type="dxa"/>
              <w:right w:w="15" w:type="dxa"/>
            </w:tcMar>
            <w:vAlign w:val="center"/>
          </w:tcPr>
          <w:p w14:paraId="34D366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12.3</w:t>
            </w:r>
          </w:p>
        </w:tc>
        <w:tc>
          <w:tcPr>
            <w:tcW w:w="290" w:type="pct"/>
            <w:tcBorders>
              <w:tl2br w:val="nil"/>
              <w:tr2bl w:val="nil"/>
            </w:tcBorders>
            <w:shd w:val="clear" w:color="auto" w:fill="auto"/>
            <w:noWrap/>
            <w:tcMar>
              <w:top w:w="15" w:type="dxa"/>
              <w:left w:w="15" w:type="dxa"/>
              <w:right w:w="15" w:type="dxa"/>
            </w:tcMar>
            <w:vAlign w:val="center"/>
          </w:tcPr>
          <w:p w14:paraId="0AB66F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290" w:type="pct"/>
            <w:tcBorders>
              <w:tl2br w:val="nil"/>
              <w:tr2bl w:val="nil"/>
            </w:tcBorders>
            <w:shd w:val="clear" w:color="auto" w:fill="auto"/>
            <w:noWrap/>
            <w:tcMar>
              <w:top w:w="15" w:type="dxa"/>
              <w:left w:w="15" w:type="dxa"/>
              <w:right w:w="15" w:type="dxa"/>
            </w:tcMar>
            <w:vAlign w:val="center"/>
          </w:tcPr>
          <w:p w14:paraId="2F7E2B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290" w:type="pct"/>
            <w:tcBorders>
              <w:tl2br w:val="nil"/>
              <w:tr2bl w:val="nil"/>
            </w:tcBorders>
            <w:shd w:val="clear" w:color="auto" w:fill="auto"/>
            <w:noWrap/>
            <w:tcMar>
              <w:top w:w="15" w:type="dxa"/>
              <w:left w:w="15" w:type="dxa"/>
              <w:right w:w="15" w:type="dxa"/>
            </w:tcMar>
            <w:vAlign w:val="center"/>
          </w:tcPr>
          <w:p w14:paraId="628049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33</w:t>
            </w:r>
          </w:p>
        </w:tc>
        <w:tc>
          <w:tcPr>
            <w:tcW w:w="290" w:type="pct"/>
            <w:tcBorders>
              <w:tl2br w:val="nil"/>
              <w:tr2bl w:val="nil"/>
            </w:tcBorders>
            <w:shd w:val="clear" w:color="auto" w:fill="auto"/>
            <w:noWrap/>
            <w:tcMar>
              <w:top w:w="15" w:type="dxa"/>
              <w:left w:w="15" w:type="dxa"/>
              <w:right w:w="15" w:type="dxa"/>
            </w:tcMar>
            <w:vAlign w:val="center"/>
          </w:tcPr>
          <w:p w14:paraId="6B164A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60</w:t>
            </w:r>
          </w:p>
        </w:tc>
        <w:tc>
          <w:tcPr>
            <w:tcW w:w="290" w:type="pct"/>
            <w:tcBorders>
              <w:tl2br w:val="nil"/>
              <w:tr2bl w:val="nil"/>
            </w:tcBorders>
            <w:shd w:val="clear" w:color="auto" w:fill="auto"/>
            <w:noWrap/>
            <w:tcMar>
              <w:top w:w="15" w:type="dxa"/>
              <w:left w:w="15" w:type="dxa"/>
              <w:right w:w="15" w:type="dxa"/>
            </w:tcMar>
            <w:vAlign w:val="center"/>
          </w:tcPr>
          <w:p w14:paraId="404023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10.7</w:t>
            </w:r>
          </w:p>
        </w:tc>
        <w:tc>
          <w:tcPr>
            <w:tcW w:w="290" w:type="pct"/>
            <w:tcBorders>
              <w:tl2br w:val="nil"/>
              <w:tr2bl w:val="nil"/>
            </w:tcBorders>
            <w:shd w:val="clear" w:color="auto" w:fill="auto"/>
            <w:noWrap/>
            <w:tcMar>
              <w:top w:w="15" w:type="dxa"/>
              <w:left w:w="15" w:type="dxa"/>
              <w:right w:w="15" w:type="dxa"/>
            </w:tcMar>
            <w:vAlign w:val="center"/>
          </w:tcPr>
          <w:p w14:paraId="152881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0.8</w:t>
            </w:r>
          </w:p>
        </w:tc>
        <w:tc>
          <w:tcPr>
            <w:tcW w:w="293" w:type="pct"/>
            <w:tcBorders>
              <w:tl2br w:val="nil"/>
              <w:tr2bl w:val="nil"/>
            </w:tcBorders>
            <w:shd w:val="clear" w:color="auto" w:fill="auto"/>
            <w:noWrap/>
            <w:tcMar>
              <w:top w:w="15" w:type="dxa"/>
              <w:left w:w="15" w:type="dxa"/>
              <w:right w:w="15" w:type="dxa"/>
            </w:tcMar>
            <w:vAlign w:val="center"/>
          </w:tcPr>
          <w:p w14:paraId="6E76FA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0.7</w:t>
            </w:r>
          </w:p>
        </w:tc>
      </w:tr>
      <w:tr w14:paraId="73FDF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48CC99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最大值</w:t>
            </w:r>
          </w:p>
        </w:tc>
        <w:tc>
          <w:tcPr>
            <w:tcW w:w="290" w:type="pct"/>
            <w:tcBorders>
              <w:tl2br w:val="nil"/>
              <w:tr2bl w:val="nil"/>
            </w:tcBorders>
            <w:shd w:val="clear" w:color="auto" w:fill="auto"/>
            <w:noWrap/>
            <w:tcMar>
              <w:top w:w="15" w:type="dxa"/>
              <w:left w:w="15" w:type="dxa"/>
              <w:right w:w="15" w:type="dxa"/>
            </w:tcMar>
            <w:vAlign w:val="center"/>
          </w:tcPr>
          <w:p w14:paraId="031FF3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38.2</w:t>
            </w:r>
          </w:p>
        </w:tc>
        <w:tc>
          <w:tcPr>
            <w:tcW w:w="290" w:type="pct"/>
            <w:tcBorders>
              <w:tl2br w:val="nil"/>
              <w:tr2bl w:val="nil"/>
            </w:tcBorders>
            <w:shd w:val="clear" w:color="auto" w:fill="auto"/>
            <w:noWrap/>
            <w:tcMar>
              <w:top w:w="15" w:type="dxa"/>
              <w:left w:w="15" w:type="dxa"/>
              <w:right w:w="15" w:type="dxa"/>
            </w:tcMar>
            <w:vAlign w:val="center"/>
          </w:tcPr>
          <w:p w14:paraId="27F1F5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0.16</w:t>
            </w:r>
          </w:p>
        </w:tc>
        <w:tc>
          <w:tcPr>
            <w:tcW w:w="290" w:type="pct"/>
            <w:tcBorders>
              <w:tl2br w:val="nil"/>
              <w:tr2bl w:val="nil"/>
            </w:tcBorders>
            <w:shd w:val="clear" w:color="auto" w:fill="auto"/>
            <w:noWrap/>
            <w:tcMar>
              <w:top w:w="15" w:type="dxa"/>
              <w:left w:w="15" w:type="dxa"/>
              <w:right w:w="15" w:type="dxa"/>
            </w:tcMar>
            <w:vAlign w:val="center"/>
          </w:tcPr>
          <w:p w14:paraId="609BD7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12.3</w:t>
            </w:r>
          </w:p>
        </w:tc>
        <w:tc>
          <w:tcPr>
            <w:tcW w:w="290" w:type="pct"/>
            <w:tcBorders>
              <w:tl2br w:val="nil"/>
              <w:tr2bl w:val="nil"/>
            </w:tcBorders>
            <w:shd w:val="clear" w:color="auto" w:fill="auto"/>
            <w:noWrap/>
            <w:tcMar>
              <w:top w:w="15" w:type="dxa"/>
              <w:left w:w="15" w:type="dxa"/>
              <w:right w:w="15" w:type="dxa"/>
            </w:tcMar>
            <w:vAlign w:val="center"/>
          </w:tcPr>
          <w:p w14:paraId="7B9A10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0.19</w:t>
            </w:r>
          </w:p>
        </w:tc>
        <w:tc>
          <w:tcPr>
            <w:tcW w:w="290" w:type="pct"/>
            <w:tcBorders>
              <w:tl2br w:val="nil"/>
              <w:tr2bl w:val="nil"/>
            </w:tcBorders>
            <w:shd w:val="clear" w:color="auto" w:fill="auto"/>
            <w:noWrap/>
            <w:tcMar>
              <w:top w:w="15" w:type="dxa"/>
              <w:left w:w="15" w:type="dxa"/>
              <w:right w:w="15" w:type="dxa"/>
            </w:tcMar>
            <w:vAlign w:val="center"/>
          </w:tcPr>
          <w:p w14:paraId="7CDCB3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41</w:t>
            </w:r>
          </w:p>
        </w:tc>
        <w:tc>
          <w:tcPr>
            <w:tcW w:w="290" w:type="pct"/>
            <w:tcBorders>
              <w:tl2br w:val="nil"/>
              <w:tr2bl w:val="nil"/>
            </w:tcBorders>
            <w:shd w:val="clear" w:color="auto" w:fill="auto"/>
            <w:noWrap/>
            <w:tcMar>
              <w:top w:w="15" w:type="dxa"/>
              <w:left w:w="15" w:type="dxa"/>
              <w:right w:w="15" w:type="dxa"/>
            </w:tcMar>
            <w:vAlign w:val="center"/>
          </w:tcPr>
          <w:p w14:paraId="5B3F8C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49</w:t>
            </w:r>
          </w:p>
        </w:tc>
        <w:tc>
          <w:tcPr>
            <w:tcW w:w="290" w:type="pct"/>
            <w:tcBorders>
              <w:tl2br w:val="nil"/>
              <w:tr2bl w:val="nil"/>
            </w:tcBorders>
            <w:shd w:val="clear" w:color="auto" w:fill="auto"/>
            <w:noWrap/>
            <w:tcMar>
              <w:top w:w="15" w:type="dxa"/>
              <w:left w:w="15" w:type="dxa"/>
              <w:right w:w="15" w:type="dxa"/>
            </w:tcMar>
            <w:vAlign w:val="center"/>
          </w:tcPr>
          <w:p w14:paraId="3C344A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6576BB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11.5</w:t>
            </w:r>
          </w:p>
        </w:tc>
        <w:tc>
          <w:tcPr>
            <w:tcW w:w="290" w:type="pct"/>
            <w:tcBorders>
              <w:tl2br w:val="nil"/>
              <w:tr2bl w:val="nil"/>
            </w:tcBorders>
            <w:shd w:val="clear" w:color="auto" w:fill="auto"/>
            <w:noWrap/>
            <w:tcMar>
              <w:top w:w="15" w:type="dxa"/>
              <w:left w:w="15" w:type="dxa"/>
              <w:right w:w="15" w:type="dxa"/>
            </w:tcMar>
            <w:vAlign w:val="center"/>
          </w:tcPr>
          <w:p w14:paraId="74E86E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0.9</w:t>
            </w:r>
          </w:p>
        </w:tc>
        <w:tc>
          <w:tcPr>
            <w:tcW w:w="293" w:type="pct"/>
            <w:tcBorders>
              <w:tl2br w:val="nil"/>
              <w:tr2bl w:val="nil"/>
            </w:tcBorders>
            <w:shd w:val="clear" w:color="auto" w:fill="auto"/>
            <w:noWrap/>
            <w:tcMar>
              <w:top w:w="15" w:type="dxa"/>
              <w:left w:w="15" w:type="dxa"/>
              <w:right w:w="15" w:type="dxa"/>
            </w:tcMar>
            <w:vAlign w:val="center"/>
          </w:tcPr>
          <w:p w14:paraId="654C3B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0.7</w:t>
            </w:r>
          </w:p>
        </w:tc>
      </w:tr>
      <w:tr w14:paraId="4713E6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3834AE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290" w:type="pct"/>
            <w:tcBorders>
              <w:tl2br w:val="nil"/>
              <w:tr2bl w:val="nil"/>
            </w:tcBorders>
            <w:shd w:val="clear" w:color="auto" w:fill="auto"/>
            <w:noWrap/>
            <w:tcMar>
              <w:top w:w="15" w:type="dxa"/>
              <w:left w:w="15" w:type="dxa"/>
              <w:right w:w="15" w:type="dxa"/>
            </w:tcMar>
            <w:vAlign w:val="center"/>
          </w:tcPr>
          <w:p w14:paraId="7FB3C9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16.9</w:t>
            </w:r>
          </w:p>
        </w:tc>
        <w:tc>
          <w:tcPr>
            <w:tcW w:w="290" w:type="pct"/>
            <w:tcBorders>
              <w:tl2br w:val="nil"/>
              <w:tr2bl w:val="nil"/>
            </w:tcBorders>
            <w:shd w:val="clear" w:color="auto" w:fill="auto"/>
            <w:noWrap/>
            <w:tcMar>
              <w:top w:w="15" w:type="dxa"/>
              <w:left w:w="15" w:type="dxa"/>
              <w:right w:w="15" w:type="dxa"/>
            </w:tcMar>
            <w:vAlign w:val="center"/>
          </w:tcPr>
          <w:p w14:paraId="52C673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0.07</w:t>
            </w:r>
          </w:p>
        </w:tc>
        <w:tc>
          <w:tcPr>
            <w:tcW w:w="290" w:type="pct"/>
            <w:tcBorders>
              <w:tl2br w:val="nil"/>
              <w:tr2bl w:val="nil"/>
            </w:tcBorders>
            <w:shd w:val="clear" w:color="auto" w:fill="auto"/>
            <w:noWrap/>
            <w:tcMar>
              <w:top w:w="15" w:type="dxa"/>
              <w:left w:w="15" w:type="dxa"/>
              <w:right w:w="15" w:type="dxa"/>
            </w:tcMar>
            <w:vAlign w:val="center"/>
          </w:tcPr>
          <w:p w14:paraId="718EA4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7.82</w:t>
            </w:r>
          </w:p>
        </w:tc>
        <w:tc>
          <w:tcPr>
            <w:tcW w:w="290" w:type="pct"/>
            <w:tcBorders>
              <w:tl2br w:val="nil"/>
              <w:tr2bl w:val="nil"/>
            </w:tcBorders>
            <w:shd w:val="clear" w:color="auto" w:fill="auto"/>
            <w:noWrap/>
            <w:tcMar>
              <w:top w:w="15" w:type="dxa"/>
              <w:left w:w="15" w:type="dxa"/>
              <w:right w:w="15" w:type="dxa"/>
            </w:tcMar>
            <w:vAlign w:val="center"/>
          </w:tcPr>
          <w:p w14:paraId="675A5A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0.005</w:t>
            </w:r>
          </w:p>
        </w:tc>
        <w:tc>
          <w:tcPr>
            <w:tcW w:w="290" w:type="pct"/>
            <w:tcBorders>
              <w:tl2br w:val="nil"/>
              <w:tr2bl w:val="nil"/>
            </w:tcBorders>
            <w:shd w:val="clear" w:color="auto" w:fill="auto"/>
            <w:noWrap/>
            <w:tcMar>
              <w:top w:w="15" w:type="dxa"/>
              <w:left w:w="15" w:type="dxa"/>
              <w:right w:w="15" w:type="dxa"/>
            </w:tcMar>
            <w:vAlign w:val="center"/>
          </w:tcPr>
          <w:p w14:paraId="63038B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21</w:t>
            </w:r>
          </w:p>
        </w:tc>
        <w:tc>
          <w:tcPr>
            <w:tcW w:w="290" w:type="pct"/>
            <w:tcBorders>
              <w:tl2br w:val="nil"/>
              <w:tr2bl w:val="nil"/>
            </w:tcBorders>
            <w:shd w:val="clear" w:color="auto" w:fill="auto"/>
            <w:noWrap/>
            <w:tcMar>
              <w:top w:w="15" w:type="dxa"/>
              <w:left w:w="15" w:type="dxa"/>
              <w:right w:w="15" w:type="dxa"/>
            </w:tcMar>
            <w:vAlign w:val="center"/>
          </w:tcPr>
          <w:p w14:paraId="6134E6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24</w:t>
            </w:r>
          </w:p>
        </w:tc>
        <w:tc>
          <w:tcPr>
            <w:tcW w:w="290" w:type="pct"/>
            <w:tcBorders>
              <w:tl2br w:val="nil"/>
              <w:tr2bl w:val="nil"/>
            </w:tcBorders>
            <w:shd w:val="clear" w:color="auto" w:fill="auto"/>
            <w:noWrap/>
            <w:tcMar>
              <w:top w:w="15" w:type="dxa"/>
              <w:left w:w="15" w:type="dxa"/>
              <w:right w:w="15" w:type="dxa"/>
            </w:tcMar>
            <w:vAlign w:val="center"/>
          </w:tcPr>
          <w:p w14:paraId="6BA4C7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37</w:t>
            </w:r>
          </w:p>
        </w:tc>
        <w:tc>
          <w:tcPr>
            <w:tcW w:w="290" w:type="pct"/>
            <w:tcBorders>
              <w:tl2br w:val="nil"/>
              <w:tr2bl w:val="nil"/>
            </w:tcBorders>
            <w:shd w:val="clear" w:color="auto" w:fill="auto"/>
            <w:noWrap/>
            <w:tcMar>
              <w:top w:w="15" w:type="dxa"/>
              <w:left w:w="15" w:type="dxa"/>
              <w:right w:w="15" w:type="dxa"/>
            </w:tcMar>
            <w:vAlign w:val="center"/>
          </w:tcPr>
          <w:p w14:paraId="53CFD5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6.6</w:t>
            </w:r>
          </w:p>
        </w:tc>
        <w:tc>
          <w:tcPr>
            <w:tcW w:w="290" w:type="pct"/>
            <w:tcBorders>
              <w:tl2br w:val="nil"/>
              <w:tr2bl w:val="nil"/>
            </w:tcBorders>
            <w:shd w:val="clear" w:color="auto" w:fill="auto"/>
            <w:noWrap/>
            <w:tcMar>
              <w:top w:w="15" w:type="dxa"/>
              <w:left w:w="15" w:type="dxa"/>
              <w:right w:w="15" w:type="dxa"/>
            </w:tcMar>
            <w:vAlign w:val="center"/>
          </w:tcPr>
          <w:p w14:paraId="2D0F43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0.3</w:t>
            </w:r>
          </w:p>
        </w:tc>
        <w:tc>
          <w:tcPr>
            <w:tcW w:w="293" w:type="pct"/>
            <w:tcBorders>
              <w:tl2br w:val="nil"/>
              <w:tr2bl w:val="nil"/>
            </w:tcBorders>
            <w:shd w:val="clear" w:color="auto" w:fill="auto"/>
            <w:noWrap/>
            <w:tcMar>
              <w:top w:w="15" w:type="dxa"/>
              <w:left w:w="15" w:type="dxa"/>
              <w:right w:w="15" w:type="dxa"/>
            </w:tcMar>
            <w:vAlign w:val="center"/>
          </w:tcPr>
          <w:p w14:paraId="5E4433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0.3</w:t>
            </w:r>
          </w:p>
        </w:tc>
      </w:tr>
      <w:tr w14:paraId="3C4EC3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2F074C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2"/>
                <w:szCs w:val="22"/>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290" w:type="pct"/>
            <w:tcBorders>
              <w:tl2br w:val="nil"/>
              <w:tr2bl w:val="nil"/>
            </w:tcBorders>
            <w:shd w:val="clear" w:color="auto" w:fill="auto"/>
            <w:noWrap/>
            <w:tcMar>
              <w:top w:w="15" w:type="dxa"/>
              <w:left w:w="15" w:type="dxa"/>
              <w:right w:w="15" w:type="dxa"/>
            </w:tcMar>
            <w:vAlign w:val="center"/>
          </w:tcPr>
          <w:p w14:paraId="610026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21.88</w:t>
            </w:r>
          </w:p>
        </w:tc>
        <w:tc>
          <w:tcPr>
            <w:tcW w:w="290" w:type="pct"/>
            <w:tcBorders>
              <w:tl2br w:val="nil"/>
              <w:tr2bl w:val="nil"/>
            </w:tcBorders>
            <w:shd w:val="clear" w:color="auto" w:fill="auto"/>
            <w:noWrap/>
            <w:tcMar>
              <w:top w:w="15" w:type="dxa"/>
              <w:left w:w="15" w:type="dxa"/>
              <w:right w:w="15" w:type="dxa"/>
            </w:tcMar>
            <w:vAlign w:val="center"/>
          </w:tcPr>
          <w:p w14:paraId="4DD707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0.10</w:t>
            </w:r>
          </w:p>
        </w:tc>
        <w:tc>
          <w:tcPr>
            <w:tcW w:w="290" w:type="pct"/>
            <w:tcBorders>
              <w:tl2br w:val="nil"/>
              <w:tr2bl w:val="nil"/>
            </w:tcBorders>
            <w:shd w:val="clear" w:color="auto" w:fill="auto"/>
            <w:noWrap/>
            <w:tcMar>
              <w:top w:w="15" w:type="dxa"/>
              <w:left w:w="15" w:type="dxa"/>
              <w:right w:w="15" w:type="dxa"/>
            </w:tcMar>
            <w:vAlign w:val="center"/>
          </w:tcPr>
          <w:p w14:paraId="2CFEFF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28534D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0.07</w:t>
            </w:r>
          </w:p>
        </w:tc>
        <w:tc>
          <w:tcPr>
            <w:tcW w:w="290" w:type="pct"/>
            <w:tcBorders>
              <w:tl2br w:val="nil"/>
              <w:tr2bl w:val="nil"/>
            </w:tcBorders>
            <w:shd w:val="clear" w:color="auto" w:fill="auto"/>
            <w:noWrap/>
            <w:tcMar>
              <w:top w:w="15" w:type="dxa"/>
              <w:left w:w="15" w:type="dxa"/>
              <w:right w:w="15" w:type="dxa"/>
            </w:tcMar>
            <w:vAlign w:val="center"/>
          </w:tcPr>
          <w:p w14:paraId="4681F8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2</w:t>
            </w:r>
            <w:r>
              <w:rPr>
                <w:rFonts w:hint="default" w:ascii="Times New Roman" w:hAnsi="Times New Roman" w:cs="Times New Roman"/>
                <w:i w:val="0"/>
                <w:color w:val="auto"/>
                <w:kern w:val="0"/>
                <w:sz w:val="22"/>
                <w:szCs w:val="22"/>
                <w:highlight w:val="none"/>
                <w:u w:val="none"/>
                <w:lang w:val="en-US" w:eastAsia="zh-CN" w:bidi="ar"/>
              </w:rPr>
              <w:t>7</w:t>
            </w:r>
          </w:p>
        </w:tc>
        <w:tc>
          <w:tcPr>
            <w:tcW w:w="290" w:type="pct"/>
            <w:tcBorders>
              <w:tl2br w:val="nil"/>
              <w:tr2bl w:val="nil"/>
            </w:tcBorders>
            <w:shd w:val="clear" w:color="auto" w:fill="auto"/>
            <w:noWrap/>
            <w:tcMar>
              <w:top w:w="15" w:type="dxa"/>
              <w:left w:w="15" w:type="dxa"/>
              <w:right w:w="15" w:type="dxa"/>
            </w:tcMar>
            <w:vAlign w:val="center"/>
          </w:tcPr>
          <w:p w14:paraId="7D2D55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33</w:t>
            </w:r>
          </w:p>
        </w:tc>
        <w:tc>
          <w:tcPr>
            <w:tcW w:w="290" w:type="pct"/>
            <w:tcBorders>
              <w:tl2br w:val="nil"/>
              <w:tr2bl w:val="nil"/>
            </w:tcBorders>
            <w:shd w:val="clear" w:color="auto" w:fill="auto"/>
            <w:noWrap/>
            <w:tcMar>
              <w:top w:w="15" w:type="dxa"/>
              <w:left w:w="15" w:type="dxa"/>
              <w:right w:w="15" w:type="dxa"/>
            </w:tcMar>
            <w:vAlign w:val="center"/>
          </w:tcPr>
          <w:p w14:paraId="247105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2"/>
                <w:szCs w:val="22"/>
                <w:highlight w:val="none"/>
                <w:u w:val="none"/>
                <w:lang w:val="en-US" w:eastAsia="zh-CN" w:bidi="ar"/>
              </w:rPr>
              <w:t>63</w:t>
            </w:r>
          </w:p>
        </w:tc>
        <w:tc>
          <w:tcPr>
            <w:tcW w:w="290" w:type="pct"/>
            <w:tcBorders>
              <w:tl2br w:val="nil"/>
              <w:tr2bl w:val="nil"/>
            </w:tcBorders>
            <w:shd w:val="clear" w:color="auto" w:fill="auto"/>
            <w:noWrap/>
            <w:tcMar>
              <w:top w:w="15" w:type="dxa"/>
              <w:left w:w="15" w:type="dxa"/>
              <w:right w:w="15" w:type="dxa"/>
            </w:tcMar>
            <w:vAlign w:val="center"/>
          </w:tcPr>
          <w:p w14:paraId="1F8547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9.2</w:t>
            </w:r>
          </w:p>
        </w:tc>
        <w:tc>
          <w:tcPr>
            <w:tcW w:w="290" w:type="pct"/>
            <w:tcBorders>
              <w:tl2br w:val="nil"/>
              <w:tr2bl w:val="nil"/>
            </w:tcBorders>
            <w:shd w:val="clear" w:color="auto" w:fill="auto"/>
            <w:noWrap/>
            <w:tcMar>
              <w:top w:w="15" w:type="dxa"/>
              <w:left w:w="15" w:type="dxa"/>
              <w:right w:w="15" w:type="dxa"/>
            </w:tcMar>
            <w:vAlign w:val="center"/>
          </w:tcPr>
          <w:p w14:paraId="567FBA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w:t>
            </w:r>
            <w:r>
              <w:rPr>
                <w:rFonts w:hint="default" w:ascii="Times New Roman" w:hAnsi="Times New Roman" w:cs="Times New Roman"/>
                <w:i w:val="0"/>
                <w:color w:val="auto"/>
                <w:kern w:val="0"/>
                <w:sz w:val="22"/>
                <w:szCs w:val="22"/>
                <w:highlight w:val="none"/>
                <w:u w:val="none"/>
                <w:lang w:val="en-US" w:eastAsia="zh-CN" w:bidi="ar"/>
              </w:rPr>
              <w:t>5</w:t>
            </w:r>
          </w:p>
        </w:tc>
        <w:tc>
          <w:tcPr>
            <w:tcW w:w="293" w:type="pct"/>
            <w:tcBorders>
              <w:tl2br w:val="nil"/>
              <w:tr2bl w:val="nil"/>
            </w:tcBorders>
            <w:shd w:val="clear" w:color="auto" w:fill="auto"/>
            <w:noWrap/>
            <w:tcMar>
              <w:top w:w="15" w:type="dxa"/>
              <w:left w:w="15" w:type="dxa"/>
              <w:right w:w="15" w:type="dxa"/>
            </w:tcMar>
            <w:vAlign w:val="center"/>
          </w:tcPr>
          <w:p w14:paraId="494BA2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2"/>
                <w:szCs w:val="22"/>
                <w:highlight w:val="none"/>
                <w:u w:val="none"/>
                <w:lang w:val="en-US" w:eastAsia="zh-CN" w:bidi="ar"/>
              </w:rPr>
              <w:t>0.</w:t>
            </w:r>
            <w:r>
              <w:rPr>
                <w:rFonts w:hint="default" w:ascii="Times New Roman" w:hAnsi="Times New Roman" w:cs="Times New Roman"/>
                <w:i w:val="0"/>
                <w:color w:val="auto"/>
                <w:kern w:val="0"/>
                <w:sz w:val="22"/>
                <w:szCs w:val="22"/>
                <w:highlight w:val="none"/>
                <w:u w:val="none"/>
                <w:lang w:val="en-US" w:eastAsia="zh-CN" w:bidi="ar"/>
              </w:rPr>
              <w:t>4</w:t>
            </w:r>
          </w:p>
        </w:tc>
      </w:tr>
      <w:tr w14:paraId="214B01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15BEF7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检出率</w:t>
            </w:r>
          </w:p>
        </w:tc>
        <w:tc>
          <w:tcPr>
            <w:tcW w:w="290" w:type="pct"/>
            <w:tcBorders>
              <w:tl2br w:val="nil"/>
              <w:tr2bl w:val="nil"/>
            </w:tcBorders>
            <w:shd w:val="clear" w:color="auto" w:fill="auto"/>
            <w:noWrap/>
            <w:tcMar>
              <w:top w:w="15" w:type="dxa"/>
              <w:left w:w="15" w:type="dxa"/>
              <w:right w:w="15" w:type="dxa"/>
            </w:tcMar>
            <w:vAlign w:val="center"/>
          </w:tcPr>
          <w:p w14:paraId="20280E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64F850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2660B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4E8041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94%</w:t>
            </w:r>
          </w:p>
        </w:tc>
        <w:tc>
          <w:tcPr>
            <w:tcW w:w="290" w:type="pct"/>
            <w:tcBorders>
              <w:tl2br w:val="nil"/>
              <w:tr2bl w:val="nil"/>
            </w:tcBorders>
            <w:shd w:val="clear" w:color="auto" w:fill="auto"/>
            <w:noWrap/>
            <w:tcMar>
              <w:top w:w="15" w:type="dxa"/>
              <w:left w:w="15" w:type="dxa"/>
              <w:right w:w="15" w:type="dxa"/>
            </w:tcMar>
            <w:vAlign w:val="center"/>
          </w:tcPr>
          <w:p w14:paraId="2FEFC3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2170A4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7D469D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7F7EA0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0" w:type="pct"/>
            <w:tcBorders>
              <w:tl2br w:val="nil"/>
              <w:tr2bl w:val="nil"/>
            </w:tcBorders>
            <w:shd w:val="clear" w:color="auto" w:fill="auto"/>
            <w:noWrap/>
            <w:tcMar>
              <w:top w:w="15" w:type="dxa"/>
              <w:left w:w="15" w:type="dxa"/>
              <w:right w:w="15" w:type="dxa"/>
            </w:tcMar>
            <w:vAlign w:val="center"/>
          </w:tcPr>
          <w:p w14:paraId="2E5968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100%</w:t>
            </w:r>
          </w:p>
        </w:tc>
        <w:tc>
          <w:tcPr>
            <w:tcW w:w="293" w:type="pct"/>
            <w:tcBorders>
              <w:tl2br w:val="nil"/>
              <w:tr2bl w:val="nil"/>
            </w:tcBorders>
            <w:shd w:val="clear" w:color="auto" w:fill="auto"/>
            <w:noWrap/>
            <w:tcMar>
              <w:top w:w="15" w:type="dxa"/>
              <w:left w:w="15" w:type="dxa"/>
              <w:right w:w="15" w:type="dxa"/>
            </w:tcMar>
            <w:vAlign w:val="center"/>
          </w:tcPr>
          <w:p w14:paraId="4FD96E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81%</w:t>
            </w:r>
          </w:p>
        </w:tc>
      </w:tr>
      <w:tr w14:paraId="3DF8B5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5B2BF9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第一类建设用地筛选值</w:t>
            </w:r>
          </w:p>
        </w:tc>
        <w:tc>
          <w:tcPr>
            <w:tcW w:w="290" w:type="pct"/>
            <w:tcBorders>
              <w:tl2br w:val="nil"/>
              <w:tr2bl w:val="nil"/>
            </w:tcBorders>
            <w:shd w:val="clear" w:color="auto" w:fill="auto"/>
            <w:noWrap/>
            <w:tcMar>
              <w:top w:w="15" w:type="dxa"/>
              <w:left w:w="15" w:type="dxa"/>
              <w:right w:w="15" w:type="dxa"/>
            </w:tcMar>
            <w:vAlign w:val="center"/>
          </w:tcPr>
          <w:p w14:paraId="38DF62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400</w:t>
            </w:r>
          </w:p>
        </w:tc>
        <w:tc>
          <w:tcPr>
            <w:tcW w:w="290" w:type="pct"/>
            <w:tcBorders>
              <w:tl2br w:val="nil"/>
              <w:tr2bl w:val="nil"/>
            </w:tcBorders>
            <w:shd w:val="clear" w:color="auto" w:fill="auto"/>
            <w:noWrap/>
            <w:tcMar>
              <w:top w:w="15" w:type="dxa"/>
              <w:left w:w="15" w:type="dxa"/>
              <w:right w:w="15" w:type="dxa"/>
            </w:tcMar>
            <w:vAlign w:val="center"/>
          </w:tcPr>
          <w:p w14:paraId="0586B6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w:t>
            </w:r>
          </w:p>
        </w:tc>
        <w:tc>
          <w:tcPr>
            <w:tcW w:w="290" w:type="pct"/>
            <w:tcBorders>
              <w:tl2br w:val="nil"/>
              <w:tr2bl w:val="nil"/>
            </w:tcBorders>
            <w:shd w:val="clear" w:color="auto" w:fill="auto"/>
            <w:noWrap/>
            <w:tcMar>
              <w:top w:w="15" w:type="dxa"/>
              <w:left w:w="15" w:type="dxa"/>
              <w:right w:w="15" w:type="dxa"/>
            </w:tcMar>
            <w:vAlign w:val="center"/>
          </w:tcPr>
          <w:p w14:paraId="0512FA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c>
          <w:tcPr>
            <w:tcW w:w="290" w:type="pct"/>
            <w:tcBorders>
              <w:tl2br w:val="nil"/>
              <w:tr2bl w:val="nil"/>
            </w:tcBorders>
            <w:shd w:val="clear" w:color="auto" w:fill="auto"/>
            <w:noWrap/>
            <w:tcMar>
              <w:top w:w="15" w:type="dxa"/>
              <w:left w:w="15" w:type="dxa"/>
              <w:right w:w="15" w:type="dxa"/>
            </w:tcMar>
            <w:vAlign w:val="center"/>
          </w:tcPr>
          <w:p w14:paraId="46FB5A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c>
          <w:tcPr>
            <w:tcW w:w="290" w:type="pct"/>
            <w:tcBorders>
              <w:tl2br w:val="nil"/>
              <w:tr2bl w:val="nil"/>
            </w:tcBorders>
            <w:shd w:val="clear" w:color="auto" w:fill="auto"/>
            <w:noWrap/>
            <w:tcMar>
              <w:top w:w="15" w:type="dxa"/>
              <w:left w:w="15" w:type="dxa"/>
              <w:right w:w="15" w:type="dxa"/>
            </w:tcMar>
            <w:vAlign w:val="center"/>
          </w:tcPr>
          <w:p w14:paraId="590336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2000</w:t>
            </w:r>
          </w:p>
        </w:tc>
        <w:tc>
          <w:tcPr>
            <w:tcW w:w="290" w:type="pct"/>
            <w:tcBorders>
              <w:tl2br w:val="nil"/>
              <w:tr2bl w:val="nil"/>
            </w:tcBorders>
            <w:shd w:val="clear" w:color="auto" w:fill="auto"/>
            <w:noWrap/>
            <w:tcMar>
              <w:top w:w="15" w:type="dxa"/>
              <w:left w:w="15" w:type="dxa"/>
              <w:right w:w="15" w:type="dxa"/>
            </w:tcMar>
            <w:vAlign w:val="center"/>
          </w:tcPr>
          <w:p w14:paraId="54BF5E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150</w:t>
            </w:r>
          </w:p>
        </w:tc>
        <w:tc>
          <w:tcPr>
            <w:tcW w:w="290" w:type="pct"/>
            <w:tcBorders>
              <w:tl2br w:val="nil"/>
              <w:tr2bl w:val="nil"/>
            </w:tcBorders>
            <w:shd w:val="clear" w:color="auto" w:fill="auto"/>
            <w:noWrap/>
            <w:tcMar>
              <w:top w:w="15" w:type="dxa"/>
              <w:left w:w="15" w:type="dxa"/>
              <w:right w:w="15" w:type="dxa"/>
            </w:tcMar>
            <w:vAlign w:val="center"/>
          </w:tcPr>
          <w:p w14:paraId="0A8930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1210</w:t>
            </w:r>
          </w:p>
        </w:tc>
        <w:tc>
          <w:tcPr>
            <w:tcW w:w="290" w:type="pct"/>
            <w:tcBorders>
              <w:tl2br w:val="nil"/>
              <w:tr2bl w:val="nil"/>
            </w:tcBorders>
            <w:shd w:val="clear" w:color="auto" w:fill="auto"/>
            <w:noWrap/>
            <w:tcMar>
              <w:top w:w="15" w:type="dxa"/>
              <w:left w:w="15" w:type="dxa"/>
              <w:right w:w="15" w:type="dxa"/>
            </w:tcMar>
            <w:vAlign w:val="center"/>
          </w:tcPr>
          <w:p w14:paraId="4026F4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c>
          <w:tcPr>
            <w:tcW w:w="290" w:type="pct"/>
            <w:tcBorders>
              <w:tl2br w:val="nil"/>
              <w:tr2bl w:val="nil"/>
            </w:tcBorders>
            <w:shd w:val="clear" w:color="auto" w:fill="auto"/>
            <w:noWrap/>
            <w:tcMar>
              <w:top w:w="15" w:type="dxa"/>
              <w:left w:w="15" w:type="dxa"/>
              <w:right w:w="15" w:type="dxa"/>
            </w:tcMar>
            <w:vAlign w:val="center"/>
          </w:tcPr>
          <w:p w14:paraId="50EFC2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232</w:t>
            </w:r>
          </w:p>
        </w:tc>
        <w:tc>
          <w:tcPr>
            <w:tcW w:w="293" w:type="pct"/>
            <w:tcBorders>
              <w:tl2br w:val="nil"/>
              <w:tr2bl w:val="nil"/>
            </w:tcBorders>
            <w:shd w:val="clear" w:color="auto" w:fill="auto"/>
            <w:noWrap/>
            <w:tcMar>
              <w:top w:w="15" w:type="dxa"/>
              <w:left w:w="15" w:type="dxa"/>
              <w:right w:w="15" w:type="dxa"/>
            </w:tcMar>
            <w:vAlign w:val="center"/>
          </w:tcPr>
          <w:p w14:paraId="501C4E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1940</w:t>
            </w:r>
          </w:p>
        </w:tc>
      </w:tr>
      <w:tr w14:paraId="79762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24EEF3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第二类建设用地筛选值</w:t>
            </w:r>
          </w:p>
        </w:tc>
        <w:tc>
          <w:tcPr>
            <w:tcW w:w="290" w:type="pct"/>
            <w:tcBorders>
              <w:tl2br w:val="nil"/>
              <w:tr2bl w:val="nil"/>
            </w:tcBorders>
            <w:shd w:val="clear" w:color="auto" w:fill="auto"/>
            <w:noWrap/>
            <w:tcMar>
              <w:top w:w="15" w:type="dxa"/>
              <w:left w:w="15" w:type="dxa"/>
              <w:right w:w="15" w:type="dxa"/>
            </w:tcMar>
            <w:vAlign w:val="center"/>
          </w:tcPr>
          <w:p w14:paraId="1887DE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800</w:t>
            </w:r>
          </w:p>
        </w:tc>
        <w:tc>
          <w:tcPr>
            <w:tcW w:w="290" w:type="pct"/>
            <w:tcBorders>
              <w:tl2br w:val="nil"/>
              <w:tr2bl w:val="nil"/>
            </w:tcBorders>
            <w:shd w:val="clear" w:color="auto" w:fill="auto"/>
            <w:noWrap/>
            <w:tcMar>
              <w:top w:w="15" w:type="dxa"/>
              <w:left w:w="15" w:type="dxa"/>
              <w:right w:w="15" w:type="dxa"/>
            </w:tcMar>
            <w:vAlign w:val="center"/>
          </w:tcPr>
          <w:p w14:paraId="1441F1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38</w:t>
            </w:r>
          </w:p>
        </w:tc>
        <w:tc>
          <w:tcPr>
            <w:tcW w:w="290" w:type="pct"/>
            <w:tcBorders>
              <w:tl2br w:val="nil"/>
              <w:tr2bl w:val="nil"/>
            </w:tcBorders>
            <w:shd w:val="clear" w:color="auto" w:fill="auto"/>
            <w:noWrap/>
            <w:tcMar>
              <w:top w:w="15" w:type="dxa"/>
              <w:left w:w="15" w:type="dxa"/>
              <w:right w:w="15" w:type="dxa"/>
            </w:tcMar>
            <w:vAlign w:val="center"/>
          </w:tcPr>
          <w:p w14:paraId="5E0C0C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70</w:t>
            </w:r>
          </w:p>
        </w:tc>
        <w:tc>
          <w:tcPr>
            <w:tcW w:w="290" w:type="pct"/>
            <w:tcBorders>
              <w:tl2br w:val="nil"/>
              <w:tr2bl w:val="nil"/>
            </w:tcBorders>
            <w:shd w:val="clear" w:color="auto" w:fill="auto"/>
            <w:noWrap/>
            <w:tcMar>
              <w:top w:w="15" w:type="dxa"/>
              <w:left w:w="15" w:type="dxa"/>
              <w:right w:w="15" w:type="dxa"/>
            </w:tcMar>
            <w:vAlign w:val="center"/>
          </w:tcPr>
          <w:p w14:paraId="0024BD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65</w:t>
            </w:r>
          </w:p>
        </w:tc>
        <w:tc>
          <w:tcPr>
            <w:tcW w:w="290" w:type="pct"/>
            <w:tcBorders>
              <w:tl2br w:val="nil"/>
              <w:tr2bl w:val="nil"/>
            </w:tcBorders>
            <w:shd w:val="clear" w:color="auto" w:fill="auto"/>
            <w:noWrap/>
            <w:tcMar>
              <w:top w:w="15" w:type="dxa"/>
              <w:left w:w="15" w:type="dxa"/>
              <w:right w:w="15" w:type="dxa"/>
            </w:tcMar>
            <w:vAlign w:val="center"/>
          </w:tcPr>
          <w:p w14:paraId="4AA4A1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18000</w:t>
            </w:r>
          </w:p>
        </w:tc>
        <w:tc>
          <w:tcPr>
            <w:tcW w:w="290" w:type="pct"/>
            <w:tcBorders>
              <w:tl2br w:val="nil"/>
              <w:tr2bl w:val="nil"/>
            </w:tcBorders>
            <w:shd w:val="clear" w:color="auto" w:fill="auto"/>
            <w:noWrap/>
            <w:tcMar>
              <w:top w:w="15" w:type="dxa"/>
              <w:left w:w="15" w:type="dxa"/>
              <w:right w:w="15" w:type="dxa"/>
            </w:tcMar>
            <w:vAlign w:val="center"/>
          </w:tcPr>
          <w:p w14:paraId="682E71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900</w:t>
            </w:r>
          </w:p>
        </w:tc>
        <w:tc>
          <w:tcPr>
            <w:tcW w:w="290" w:type="pct"/>
            <w:tcBorders>
              <w:tl2br w:val="nil"/>
              <w:tr2bl w:val="nil"/>
            </w:tcBorders>
            <w:shd w:val="clear" w:color="auto" w:fill="auto"/>
            <w:noWrap/>
            <w:tcMar>
              <w:top w:w="15" w:type="dxa"/>
              <w:left w:w="15" w:type="dxa"/>
              <w:right w:w="15" w:type="dxa"/>
            </w:tcMar>
            <w:vAlign w:val="center"/>
          </w:tcPr>
          <w:p w14:paraId="4495F6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2910</w:t>
            </w:r>
          </w:p>
        </w:tc>
        <w:tc>
          <w:tcPr>
            <w:tcW w:w="290" w:type="pct"/>
            <w:tcBorders>
              <w:tl2br w:val="nil"/>
              <w:tr2bl w:val="nil"/>
            </w:tcBorders>
            <w:shd w:val="clear" w:color="auto" w:fill="auto"/>
            <w:noWrap/>
            <w:tcMar>
              <w:top w:w="15" w:type="dxa"/>
              <w:left w:w="15" w:type="dxa"/>
              <w:right w:w="15" w:type="dxa"/>
            </w:tcMar>
            <w:vAlign w:val="center"/>
          </w:tcPr>
          <w:p w14:paraId="18A979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60</w:t>
            </w:r>
          </w:p>
        </w:tc>
        <w:tc>
          <w:tcPr>
            <w:tcW w:w="290" w:type="pct"/>
            <w:tcBorders>
              <w:tl2br w:val="nil"/>
              <w:tr2bl w:val="nil"/>
            </w:tcBorders>
            <w:shd w:val="clear" w:color="auto" w:fill="auto"/>
            <w:noWrap/>
            <w:tcMar>
              <w:top w:w="15" w:type="dxa"/>
              <w:left w:w="15" w:type="dxa"/>
              <w:right w:w="15" w:type="dxa"/>
            </w:tcMar>
            <w:vAlign w:val="center"/>
          </w:tcPr>
          <w:p w14:paraId="566A1D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20</w:t>
            </w:r>
          </w:p>
        </w:tc>
        <w:tc>
          <w:tcPr>
            <w:tcW w:w="293" w:type="pct"/>
            <w:tcBorders>
              <w:tl2br w:val="nil"/>
              <w:tr2bl w:val="nil"/>
            </w:tcBorders>
            <w:shd w:val="clear" w:color="auto" w:fill="auto"/>
            <w:noWrap/>
            <w:tcMar>
              <w:top w:w="15" w:type="dxa"/>
              <w:left w:w="15" w:type="dxa"/>
              <w:right w:w="15" w:type="dxa"/>
            </w:tcMar>
            <w:vAlign w:val="center"/>
          </w:tcPr>
          <w:p w14:paraId="08A354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18</w:t>
            </w:r>
          </w:p>
        </w:tc>
      </w:tr>
      <w:tr w14:paraId="2A019C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61EBC0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区域背景值</w:t>
            </w:r>
          </w:p>
        </w:tc>
        <w:tc>
          <w:tcPr>
            <w:tcW w:w="290" w:type="pct"/>
            <w:tcBorders>
              <w:tl2br w:val="nil"/>
              <w:tr2bl w:val="nil"/>
            </w:tcBorders>
            <w:shd w:val="clear" w:color="auto" w:fill="auto"/>
            <w:noWrap/>
            <w:tcMar>
              <w:top w:w="15" w:type="dxa"/>
              <w:left w:w="15" w:type="dxa"/>
              <w:right w:w="15" w:type="dxa"/>
            </w:tcMar>
            <w:vAlign w:val="center"/>
          </w:tcPr>
          <w:p w14:paraId="079084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42.3</w:t>
            </w:r>
          </w:p>
        </w:tc>
        <w:tc>
          <w:tcPr>
            <w:tcW w:w="290" w:type="pct"/>
            <w:tcBorders>
              <w:tl2br w:val="nil"/>
              <w:tr2bl w:val="nil"/>
            </w:tcBorders>
            <w:shd w:val="clear" w:color="auto" w:fill="auto"/>
            <w:noWrap/>
            <w:tcMar>
              <w:top w:w="15" w:type="dxa"/>
              <w:left w:w="15" w:type="dxa"/>
              <w:right w:w="15" w:type="dxa"/>
            </w:tcMar>
            <w:vAlign w:val="center"/>
          </w:tcPr>
          <w:p w14:paraId="2013F8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0.193</w:t>
            </w:r>
          </w:p>
        </w:tc>
        <w:tc>
          <w:tcPr>
            <w:tcW w:w="290" w:type="pct"/>
            <w:tcBorders>
              <w:tl2br w:val="nil"/>
              <w:tr2bl w:val="nil"/>
            </w:tcBorders>
            <w:shd w:val="clear" w:color="auto" w:fill="auto"/>
            <w:noWrap/>
            <w:tcMar>
              <w:top w:w="15" w:type="dxa"/>
              <w:left w:w="15" w:type="dxa"/>
              <w:right w:w="15" w:type="dxa"/>
            </w:tcMar>
            <w:vAlign w:val="center"/>
          </w:tcPr>
          <w:p w14:paraId="158DD3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w:t>
            </w:r>
          </w:p>
        </w:tc>
        <w:tc>
          <w:tcPr>
            <w:tcW w:w="290" w:type="pct"/>
            <w:tcBorders>
              <w:tl2br w:val="nil"/>
              <w:tr2bl w:val="nil"/>
            </w:tcBorders>
            <w:shd w:val="clear" w:color="auto" w:fill="auto"/>
            <w:noWrap/>
            <w:tcMar>
              <w:top w:w="15" w:type="dxa"/>
              <w:left w:w="15" w:type="dxa"/>
              <w:right w:w="15" w:type="dxa"/>
            </w:tcMar>
            <w:vAlign w:val="center"/>
          </w:tcPr>
          <w:p w14:paraId="0C426B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0.564</w:t>
            </w:r>
          </w:p>
        </w:tc>
        <w:tc>
          <w:tcPr>
            <w:tcW w:w="290" w:type="pct"/>
            <w:tcBorders>
              <w:tl2br w:val="nil"/>
              <w:tr2bl w:val="nil"/>
            </w:tcBorders>
            <w:shd w:val="clear" w:color="auto" w:fill="auto"/>
            <w:noWrap/>
            <w:tcMar>
              <w:top w:w="15" w:type="dxa"/>
              <w:left w:w="15" w:type="dxa"/>
              <w:right w:w="15" w:type="dxa"/>
            </w:tcMar>
            <w:vAlign w:val="center"/>
          </w:tcPr>
          <w:p w14:paraId="20D023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56.4</w:t>
            </w:r>
          </w:p>
        </w:tc>
        <w:tc>
          <w:tcPr>
            <w:tcW w:w="290" w:type="pct"/>
            <w:tcBorders>
              <w:tl2br w:val="nil"/>
              <w:tr2bl w:val="nil"/>
            </w:tcBorders>
            <w:shd w:val="clear" w:color="auto" w:fill="auto"/>
            <w:noWrap/>
            <w:tcMar>
              <w:top w:w="15" w:type="dxa"/>
              <w:left w:w="15" w:type="dxa"/>
              <w:right w:w="15" w:type="dxa"/>
            </w:tcMar>
            <w:vAlign w:val="center"/>
          </w:tcPr>
          <w:p w14:paraId="368CD5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54.2</w:t>
            </w:r>
          </w:p>
        </w:tc>
        <w:tc>
          <w:tcPr>
            <w:tcW w:w="290" w:type="pct"/>
            <w:tcBorders>
              <w:tl2br w:val="nil"/>
              <w:tr2bl w:val="nil"/>
            </w:tcBorders>
            <w:shd w:val="clear" w:color="auto" w:fill="auto"/>
            <w:noWrap/>
            <w:tcMar>
              <w:top w:w="15" w:type="dxa"/>
              <w:left w:w="15" w:type="dxa"/>
              <w:right w:w="15" w:type="dxa"/>
            </w:tcMar>
            <w:vAlign w:val="center"/>
          </w:tcPr>
          <w:p w14:paraId="6D3F02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146.8</w:t>
            </w:r>
          </w:p>
        </w:tc>
        <w:tc>
          <w:tcPr>
            <w:tcW w:w="290" w:type="pct"/>
            <w:tcBorders>
              <w:tl2br w:val="nil"/>
              <w:tr2bl w:val="nil"/>
            </w:tcBorders>
            <w:shd w:val="clear" w:color="auto" w:fill="auto"/>
            <w:noWrap/>
            <w:tcMar>
              <w:top w:w="15" w:type="dxa"/>
              <w:left w:w="15" w:type="dxa"/>
              <w:right w:w="15" w:type="dxa"/>
            </w:tcMar>
            <w:vAlign w:val="center"/>
          </w:tcPr>
          <w:p w14:paraId="14CBD6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40</w:t>
            </w:r>
          </w:p>
        </w:tc>
        <w:tc>
          <w:tcPr>
            <w:tcW w:w="290" w:type="pct"/>
            <w:tcBorders>
              <w:tl2br w:val="nil"/>
              <w:tr2bl w:val="nil"/>
            </w:tcBorders>
            <w:shd w:val="clear" w:color="auto" w:fill="auto"/>
            <w:noWrap/>
            <w:tcMar>
              <w:top w:w="15" w:type="dxa"/>
              <w:left w:w="15" w:type="dxa"/>
              <w:right w:w="15" w:type="dxa"/>
            </w:tcMar>
            <w:vAlign w:val="center"/>
          </w:tcPr>
          <w:p w14:paraId="09BE4C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8.9</w:t>
            </w:r>
          </w:p>
        </w:tc>
        <w:tc>
          <w:tcPr>
            <w:tcW w:w="293" w:type="pct"/>
            <w:tcBorders>
              <w:tl2br w:val="nil"/>
              <w:tr2bl w:val="nil"/>
            </w:tcBorders>
            <w:shd w:val="clear" w:color="auto" w:fill="auto"/>
            <w:noWrap/>
            <w:tcMar>
              <w:top w:w="15" w:type="dxa"/>
              <w:left w:w="15" w:type="dxa"/>
              <w:right w:w="15" w:type="dxa"/>
            </w:tcMar>
            <w:vAlign w:val="center"/>
          </w:tcPr>
          <w:p w14:paraId="6DA007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2.23</w:t>
            </w:r>
          </w:p>
        </w:tc>
      </w:tr>
      <w:tr w14:paraId="59933A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90" w:type="pct"/>
            <w:gridSpan w:val="4"/>
            <w:tcBorders>
              <w:tl2br w:val="nil"/>
              <w:tr2bl w:val="nil"/>
            </w:tcBorders>
            <w:shd w:val="clear" w:color="auto" w:fill="auto"/>
            <w:noWrap/>
            <w:tcMar>
              <w:top w:w="15" w:type="dxa"/>
              <w:left w:w="15" w:type="dxa"/>
              <w:right w:w="15" w:type="dxa"/>
            </w:tcMar>
            <w:vAlign w:val="center"/>
          </w:tcPr>
          <w:p w14:paraId="529B95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达标情况</w:t>
            </w:r>
          </w:p>
        </w:tc>
        <w:tc>
          <w:tcPr>
            <w:tcW w:w="290" w:type="pct"/>
            <w:tcBorders>
              <w:tl2br w:val="nil"/>
              <w:tr2bl w:val="nil"/>
            </w:tcBorders>
            <w:shd w:val="clear" w:color="auto" w:fill="auto"/>
            <w:noWrap/>
            <w:tcMar>
              <w:top w:w="15" w:type="dxa"/>
              <w:left w:w="15" w:type="dxa"/>
              <w:right w:w="15" w:type="dxa"/>
            </w:tcMar>
            <w:vAlign w:val="center"/>
          </w:tcPr>
          <w:p w14:paraId="7D757D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246691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79F292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68C31D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680D4A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6B988F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7BA661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4C156C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0" w:type="pct"/>
            <w:tcBorders>
              <w:tl2br w:val="nil"/>
              <w:tr2bl w:val="nil"/>
            </w:tcBorders>
            <w:shd w:val="clear" w:color="auto" w:fill="auto"/>
            <w:noWrap/>
            <w:tcMar>
              <w:top w:w="15" w:type="dxa"/>
              <w:left w:w="15" w:type="dxa"/>
              <w:right w:w="15" w:type="dxa"/>
            </w:tcMar>
            <w:vAlign w:val="center"/>
          </w:tcPr>
          <w:p w14:paraId="7FAC00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c>
          <w:tcPr>
            <w:tcW w:w="293" w:type="pct"/>
            <w:tcBorders>
              <w:tl2br w:val="nil"/>
              <w:tr2bl w:val="nil"/>
            </w:tcBorders>
            <w:shd w:val="clear" w:color="auto" w:fill="auto"/>
            <w:noWrap/>
            <w:tcMar>
              <w:top w:w="15" w:type="dxa"/>
              <w:left w:w="15" w:type="dxa"/>
              <w:right w:w="15" w:type="dxa"/>
            </w:tcMar>
            <w:vAlign w:val="center"/>
          </w:tcPr>
          <w:p w14:paraId="5F02D4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达标</w:t>
            </w:r>
          </w:p>
        </w:tc>
      </w:tr>
    </w:tbl>
    <w:p w14:paraId="48EB5588">
      <w:pPr>
        <w:numPr>
          <w:ilvl w:val="0"/>
          <w:numId w:val="0"/>
        </w:numPr>
        <w:spacing w:line="240" w:lineRule="auto"/>
        <w:ind w:leftChars="0"/>
        <w:rPr>
          <w:rFonts w:hint="default" w:ascii="Times New Roman" w:hAnsi="Times New Roman" w:eastAsia="黑体" w:cs="Times New Roman"/>
          <w:b/>
          <w:bCs/>
          <w:color w:val="auto"/>
          <w:sz w:val="24"/>
          <w:highlight w:val="none"/>
        </w:rPr>
      </w:pPr>
      <w:bookmarkStart w:id="69" w:name="_Toc20828_WPSOffice_Level2"/>
      <w:bookmarkEnd w:id="69"/>
      <w:bookmarkStart w:id="70" w:name="_Toc21346_WPSOffice_Level2"/>
      <w:bookmarkEnd w:id="70"/>
      <w:r>
        <w:rPr>
          <w:rFonts w:hint="default" w:ascii="Times New Roman" w:hAnsi="Times New Roman" w:cs="Times New Roman"/>
          <w:b/>
          <w:bCs/>
          <w:color w:val="auto"/>
          <w:sz w:val="18"/>
          <w:szCs w:val="18"/>
          <w:highlight w:val="none"/>
          <w:lang w:eastAsia="zh-CN"/>
        </w:rPr>
        <w:t>注：①根据《土壤环境监测技术规范（</w:t>
      </w:r>
      <w:r>
        <w:rPr>
          <w:rFonts w:hint="default" w:ascii="Times New Roman" w:hAnsi="Times New Roman" w:cs="Times New Roman"/>
          <w:b/>
          <w:bCs/>
          <w:color w:val="auto"/>
          <w:sz w:val="18"/>
          <w:szCs w:val="18"/>
          <w:highlight w:val="none"/>
          <w:lang w:val="en-US" w:eastAsia="zh-CN"/>
        </w:rPr>
        <w:t>HJ/T 166-2004</w:t>
      </w:r>
      <w:r>
        <w:rPr>
          <w:rFonts w:hint="default" w:ascii="Times New Roman" w:hAnsi="Times New Roman" w:cs="Times New Roman"/>
          <w:b/>
          <w:bCs/>
          <w:color w:val="auto"/>
          <w:sz w:val="18"/>
          <w:szCs w:val="18"/>
          <w:highlight w:val="none"/>
          <w:lang w:eastAsia="zh-CN"/>
        </w:rPr>
        <w:t>）》低于分析方法检出限的测定结果参加统计时按二分之一最低检出限计算，下同。</w:t>
      </w:r>
    </w:p>
    <w:p w14:paraId="45C9987D">
      <w:pPr>
        <w:pStyle w:val="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auto"/>
          <w:highlight w:val="none"/>
          <w:lang w:eastAsia="zh-CN"/>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eastAsia" w:eastAsia="黑体" w:cs="Times New Roman"/>
          <w:b/>
          <w:bCs/>
          <w:color w:val="auto"/>
          <w:sz w:val="24"/>
          <w:highlight w:val="none"/>
          <w:lang w:val="en-US" w:eastAsia="zh-CN"/>
        </w:rPr>
        <w:t>6</w:t>
      </w:r>
      <w:r>
        <w:rPr>
          <w:rFonts w:hint="default" w:ascii="Times New Roman" w:hAnsi="Times New Roman" w:eastAsia="黑体" w:cs="Times New Roman"/>
          <w:b/>
          <w:bCs/>
          <w:color w:val="auto"/>
          <w:sz w:val="24"/>
          <w:highlight w:val="none"/>
        </w:rPr>
        <w:t xml:space="preserve"> 土壤样品</w:t>
      </w:r>
      <w:r>
        <w:rPr>
          <w:rFonts w:hint="default" w:ascii="Times New Roman" w:hAnsi="Times New Roman" w:eastAsia="黑体" w:cs="Times New Roman"/>
          <w:b/>
          <w:bCs/>
          <w:color w:val="auto"/>
          <w:sz w:val="24"/>
          <w:highlight w:val="none"/>
          <w:lang w:eastAsia="zh-CN"/>
        </w:rPr>
        <w:t>已检出</w:t>
      </w:r>
      <w:r>
        <w:rPr>
          <w:rFonts w:hint="default" w:ascii="Times New Roman" w:hAnsi="Times New Roman" w:eastAsia="黑体" w:cs="Times New Roman"/>
          <w:b/>
          <w:bCs/>
          <w:color w:val="auto"/>
          <w:sz w:val="24"/>
          <w:highlight w:val="none"/>
        </w:rPr>
        <w:t>重金属</w:t>
      </w:r>
      <w:r>
        <w:rPr>
          <w:rFonts w:hint="default" w:ascii="Times New Roman" w:hAnsi="Times New Roman" w:eastAsia="黑体" w:cs="Times New Roman"/>
          <w:b/>
          <w:bCs/>
          <w:color w:val="auto"/>
          <w:sz w:val="24"/>
          <w:highlight w:val="none"/>
          <w:lang w:eastAsia="zh-CN"/>
        </w:rPr>
        <w:t>指标</w:t>
      </w:r>
      <w:r>
        <w:rPr>
          <w:rFonts w:hint="default" w:ascii="Times New Roman" w:hAnsi="Times New Roman" w:eastAsia="黑体" w:cs="Times New Roman"/>
          <w:b/>
          <w:bCs/>
          <w:color w:val="auto"/>
          <w:sz w:val="24"/>
          <w:highlight w:val="none"/>
        </w:rPr>
        <w:t>监测值</w:t>
      </w:r>
      <w:r>
        <w:rPr>
          <w:rFonts w:hint="default" w:ascii="Times New Roman" w:hAnsi="Times New Roman" w:eastAsia="黑体" w:cs="Times New Roman"/>
          <w:b/>
          <w:bCs/>
          <w:color w:val="auto"/>
          <w:sz w:val="24"/>
          <w:highlight w:val="none"/>
          <w:lang w:eastAsia="zh-CN"/>
        </w:rPr>
        <w:t>（农用地标准）</w:t>
      </w:r>
      <w:r>
        <w:rPr>
          <w:rFonts w:hint="default" w:ascii="Times New Roman" w:hAnsi="Times New Roman" w:eastAsia="黑体" w:cs="Times New Roman"/>
          <w:b/>
          <w:bCs/>
          <w:color w:val="auto"/>
          <w:sz w:val="24"/>
          <w:highlight w:val="none"/>
        </w:rPr>
        <w:t xml:space="preserve">  （单位：mg/kg）</w:t>
      </w:r>
    </w:p>
    <w:tbl>
      <w:tblPr>
        <w:tblStyle w:val="21"/>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37"/>
        <w:gridCol w:w="1076"/>
        <w:gridCol w:w="2451"/>
        <w:gridCol w:w="446"/>
        <w:gridCol w:w="446"/>
        <w:gridCol w:w="446"/>
        <w:gridCol w:w="446"/>
        <w:gridCol w:w="446"/>
        <w:gridCol w:w="446"/>
        <w:gridCol w:w="446"/>
        <w:gridCol w:w="447"/>
        <w:gridCol w:w="447"/>
        <w:gridCol w:w="979"/>
      </w:tblGrid>
      <w:tr w14:paraId="22DB6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76" w:type="pct"/>
            <w:tcBorders>
              <w:bottom w:val="single" w:color="auto" w:sz="12" w:space="0"/>
            </w:tcBorders>
            <w:shd w:val="clear" w:color="auto" w:fill="auto"/>
            <w:noWrap/>
            <w:tcMar>
              <w:top w:w="15" w:type="dxa"/>
              <w:left w:w="15" w:type="dxa"/>
              <w:right w:w="15" w:type="dxa"/>
            </w:tcMar>
            <w:vAlign w:val="center"/>
          </w:tcPr>
          <w:p w14:paraId="16901E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pH范围</w:t>
            </w:r>
          </w:p>
        </w:tc>
        <w:tc>
          <w:tcPr>
            <w:tcW w:w="667" w:type="pct"/>
            <w:tcBorders>
              <w:bottom w:val="single" w:color="auto" w:sz="12" w:space="0"/>
            </w:tcBorders>
            <w:shd w:val="clear" w:color="auto" w:fill="auto"/>
            <w:noWrap/>
            <w:tcMar>
              <w:top w:w="15" w:type="dxa"/>
              <w:left w:w="15" w:type="dxa"/>
              <w:right w:w="15" w:type="dxa"/>
            </w:tcMar>
            <w:vAlign w:val="center"/>
          </w:tcPr>
          <w:p w14:paraId="13CC4E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样品编号</w:t>
            </w:r>
          </w:p>
        </w:tc>
        <w:tc>
          <w:tcPr>
            <w:tcW w:w="341" w:type="pct"/>
            <w:tcBorders>
              <w:bottom w:val="single" w:color="auto" w:sz="12" w:space="0"/>
            </w:tcBorders>
            <w:shd w:val="clear" w:color="auto" w:fill="auto"/>
            <w:noWrap/>
            <w:tcMar>
              <w:top w:w="15" w:type="dxa"/>
              <w:left w:w="15" w:type="dxa"/>
              <w:right w:w="15" w:type="dxa"/>
            </w:tcMar>
            <w:vAlign w:val="center"/>
          </w:tcPr>
          <w:p w14:paraId="3E559A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cs="Times New Roman"/>
                <w:b/>
                <w:bCs/>
                <w:i w:val="0"/>
                <w:color w:val="auto"/>
                <w:kern w:val="0"/>
                <w:sz w:val="21"/>
                <w:szCs w:val="21"/>
                <w:highlight w:val="none"/>
                <w:u w:val="none"/>
                <w:lang w:val="en-US" w:eastAsia="zh-CN" w:bidi="ar"/>
              </w:rPr>
              <w:t>点位位置</w:t>
            </w:r>
          </w:p>
        </w:tc>
        <w:tc>
          <w:tcPr>
            <w:tcW w:w="341" w:type="pct"/>
            <w:tcBorders>
              <w:bottom w:val="single" w:color="auto" w:sz="12" w:space="0"/>
            </w:tcBorders>
            <w:shd w:val="clear" w:color="auto" w:fill="auto"/>
            <w:noWrap/>
            <w:tcMar>
              <w:top w:w="15" w:type="dxa"/>
              <w:left w:w="15" w:type="dxa"/>
              <w:right w:w="15" w:type="dxa"/>
            </w:tcMar>
            <w:vAlign w:val="center"/>
          </w:tcPr>
          <w:p w14:paraId="698D32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pH</w:t>
            </w:r>
          </w:p>
        </w:tc>
        <w:tc>
          <w:tcPr>
            <w:tcW w:w="341" w:type="pct"/>
            <w:tcBorders>
              <w:bottom w:val="single" w:color="auto" w:sz="12" w:space="0"/>
            </w:tcBorders>
            <w:shd w:val="clear" w:color="auto" w:fill="auto"/>
            <w:noWrap/>
            <w:tcMar>
              <w:top w:w="15" w:type="dxa"/>
              <w:left w:w="15" w:type="dxa"/>
              <w:right w:w="15" w:type="dxa"/>
            </w:tcMar>
            <w:vAlign w:val="center"/>
          </w:tcPr>
          <w:p w14:paraId="315B66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铅</w:t>
            </w:r>
          </w:p>
        </w:tc>
        <w:tc>
          <w:tcPr>
            <w:tcW w:w="341" w:type="pct"/>
            <w:tcBorders>
              <w:bottom w:val="single" w:color="auto" w:sz="12" w:space="0"/>
            </w:tcBorders>
            <w:shd w:val="clear" w:color="auto" w:fill="auto"/>
            <w:noWrap/>
            <w:tcMar>
              <w:top w:w="15" w:type="dxa"/>
              <w:left w:w="15" w:type="dxa"/>
              <w:right w:w="15" w:type="dxa"/>
            </w:tcMar>
            <w:vAlign w:val="center"/>
          </w:tcPr>
          <w:p w14:paraId="700F16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汞</w:t>
            </w:r>
          </w:p>
        </w:tc>
        <w:tc>
          <w:tcPr>
            <w:tcW w:w="341" w:type="pct"/>
            <w:tcBorders>
              <w:bottom w:val="single" w:color="auto" w:sz="12" w:space="0"/>
            </w:tcBorders>
            <w:shd w:val="clear" w:color="auto" w:fill="auto"/>
            <w:noWrap/>
            <w:tcMar>
              <w:top w:w="15" w:type="dxa"/>
              <w:left w:w="15" w:type="dxa"/>
              <w:right w:w="15" w:type="dxa"/>
            </w:tcMar>
            <w:vAlign w:val="center"/>
          </w:tcPr>
          <w:p w14:paraId="1A051F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镉</w:t>
            </w:r>
          </w:p>
        </w:tc>
        <w:tc>
          <w:tcPr>
            <w:tcW w:w="341" w:type="pct"/>
            <w:tcBorders>
              <w:bottom w:val="single" w:color="auto" w:sz="12" w:space="0"/>
            </w:tcBorders>
            <w:shd w:val="clear" w:color="auto" w:fill="auto"/>
            <w:noWrap/>
            <w:tcMar>
              <w:top w:w="15" w:type="dxa"/>
              <w:left w:w="15" w:type="dxa"/>
              <w:right w:w="15" w:type="dxa"/>
            </w:tcMar>
            <w:vAlign w:val="center"/>
          </w:tcPr>
          <w:p w14:paraId="54E26A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铜</w:t>
            </w:r>
          </w:p>
        </w:tc>
        <w:tc>
          <w:tcPr>
            <w:tcW w:w="341" w:type="pct"/>
            <w:tcBorders>
              <w:bottom w:val="single" w:color="auto" w:sz="12" w:space="0"/>
            </w:tcBorders>
            <w:shd w:val="clear" w:color="auto" w:fill="auto"/>
            <w:noWrap/>
            <w:tcMar>
              <w:top w:w="15" w:type="dxa"/>
              <w:left w:w="15" w:type="dxa"/>
              <w:right w:w="15" w:type="dxa"/>
            </w:tcMar>
            <w:vAlign w:val="center"/>
          </w:tcPr>
          <w:p w14:paraId="1DD61B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镍</w:t>
            </w:r>
          </w:p>
        </w:tc>
        <w:tc>
          <w:tcPr>
            <w:tcW w:w="341" w:type="pct"/>
            <w:tcBorders>
              <w:bottom w:val="single" w:color="auto" w:sz="12" w:space="0"/>
            </w:tcBorders>
            <w:shd w:val="clear" w:color="auto" w:fill="auto"/>
            <w:noWrap/>
            <w:tcMar>
              <w:top w:w="15" w:type="dxa"/>
              <w:left w:w="15" w:type="dxa"/>
              <w:right w:w="15" w:type="dxa"/>
            </w:tcMar>
            <w:vAlign w:val="center"/>
          </w:tcPr>
          <w:p w14:paraId="160701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铬</w:t>
            </w:r>
          </w:p>
        </w:tc>
        <w:tc>
          <w:tcPr>
            <w:tcW w:w="341" w:type="pct"/>
            <w:tcBorders>
              <w:bottom w:val="single" w:color="auto" w:sz="12" w:space="0"/>
            </w:tcBorders>
            <w:shd w:val="clear" w:color="auto" w:fill="auto"/>
            <w:noWrap/>
            <w:tcMar>
              <w:top w:w="15" w:type="dxa"/>
              <w:left w:w="15" w:type="dxa"/>
              <w:right w:w="15" w:type="dxa"/>
            </w:tcMar>
            <w:vAlign w:val="center"/>
          </w:tcPr>
          <w:p w14:paraId="374EC3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锌</w:t>
            </w:r>
          </w:p>
        </w:tc>
        <w:tc>
          <w:tcPr>
            <w:tcW w:w="341" w:type="pct"/>
            <w:tcBorders>
              <w:bottom w:val="single" w:color="auto" w:sz="12" w:space="0"/>
            </w:tcBorders>
            <w:shd w:val="clear" w:color="auto" w:fill="auto"/>
            <w:noWrap/>
            <w:tcMar>
              <w:top w:w="15" w:type="dxa"/>
              <w:left w:w="15" w:type="dxa"/>
              <w:right w:w="15" w:type="dxa"/>
            </w:tcMar>
            <w:vAlign w:val="center"/>
          </w:tcPr>
          <w:p w14:paraId="07D0CE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砷</w:t>
            </w:r>
          </w:p>
        </w:tc>
        <w:tc>
          <w:tcPr>
            <w:tcW w:w="540" w:type="pct"/>
            <w:tcBorders>
              <w:bottom w:val="single" w:color="auto" w:sz="12" w:space="0"/>
            </w:tcBorders>
            <w:shd w:val="clear" w:color="auto" w:fill="auto"/>
            <w:noWrap/>
            <w:tcMar>
              <w:top w:w="15" w:type="dxa"/>
              <w:left w:w="15" w:type="dxa"/>
              <w:right w:w="15" w:type="dxa"/>
            </w:tcMar>
            <w:vAlign w:val="center"/>
          </w:tcPr>
          <w:p w14:paraId="7245FB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达标情况</w:t>
            </w:r>
            <w:r>
              <w:rPr>
                <w:rFonts w:hint="default" w:ascii="Times New Roman" w:hAnsi="Times New Roman" w:cs="Times New Roman"/>
                <w:b/>
                <w:bCs/>
                <w:i w:val="0"/>
                <w:color w:val="auto"/>
                <w:kern w:val="0"/>
                <w:sz w:val="21"/>
                <w:szCs w:val="21"/>
                <w:highlight w:val="none"/>
                <w:u w:val="none"/>
                <w:vertAlign w:val="superscript"/>
                <w:lang w:val="en-US" w:eastAsia="zh-CN" w:bidi="ar"/>
              </w:rPr>
              <w:t>①</w:t>
            </w:r>
          </w:p>
        </w:tc>
      </w:tr>
      <w:tr w14:paraId="089CB7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restart"/>
            <w:tcBorders>
              <w:tl2br w:val="nil"/>
              <w:tr2bl w:val="nil"/>
            </w:tcBorders>
            <w:shd w:val="clear" w:color="auto" w:fill="auto"/>
            <w:noWrap/>
            <w:tcMar>
              <w:top w:w="15" w:type="dxa"/>
              <w:left w:w="15" w:type="dxa"/>
              <w:right w:w="15" w:type="dxa"/>
            </w:tcMar>
            <w:vAlign w:val="center"/>
          </w:tcPr>
          <w:p w14:paraId="518D411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6.5＜pH≤7.5</w:t>
            </w:r>
          </w:p>
        </w:tc>
        <w:tc>
          <w:tcPr>
            <w:tcW w:w="667" w:type="pct"/>
            <w:tcBorders>
              <w:tl2br w:val="nil"/>
              <w:tr2bl w:val="nil"/>
            </w:tcBorders>
            <w:shd w:val="clear" w:color="auto" w:fill="auto"/>
            <w:noWrap/>
            <w:tcMar>
              <w:top w:w="15" w:type="dxa"/>
              <w:left w:w="15" w:type="dxa"/>
              <w:right w:w="15" w:type="dxa"/>
            </w:tcMar>
            <w:vAlign w:val="center"/>
          </w:tcPr>
          <w:p w14:paraId="57E2A2A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341" w:type="pct"/>
            <w:tcBorders>
              <w:tl2br w:val="nil"/>
              <w:tr2bl w:val="nil"/>
            </w:tcBorders>
            <w:shd w:val="clear" w:color="auto" w:fill="auto"/>
            <w:noWrap/>
            <w:tcMar>
              <w:top w:w="15" w:type="dxa"/>
              <w:left w:w="15" w:type="dxa"/>
              <w:right w:w="15" w:type="dxa"/>
            </w:tcMar>
            <w:vAlign w:val="center"/>
          </w:tcPr>
          <w:p w14:paraId="65D59A34">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园区边界南侧下风向200m</w:t>
            </w:r>
          </w:p>
        </w:tc>
        <w:tc>
          <w:tcPr>
            <w:tcW w:w="341" w:type="pct"/>
            <w:tcBorders>
              <w:tl2br w:val="nil"/>
              <w:tr2bl w:val="nil"/>
            </w:tcBorders>
            <w:shd w:val="clear" w:color="auto" w:fill="auto"/>
            <w:noWrap/>
            <w:tcMar>
              <w:top w:w="15" w:type="dxa"/>
              <w:left w:w="15" w:type="dxa"/>
              <w:right w:w="15" w:type="dxa"/>
            </w:tcMar>
            <w:vAlign w:val="center"/>
          </w:tcPr>
          <w:p w14:paraId="1C9BC6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lang w:val="en-US" w:eastAsia="zh-CN"/>
              </w:rPr>
            </w:pPr>
            <w:r>
              <w:rPr>
                <w:rFonts w:hint="default" w:ascii="Times New Roman" w:hAnsi="Times New Roman" w:cs="Times New Roman"/>
                <w:b w:val="0"/>
                <w:bCs w:val="0"/>
                <w:i w:val="0"/>
                <w:color w:val="auto"/>
                <w:sz w:val="21"/>
                <w:szCs w:val="21"/>
                <w:highlight w:val="none"/>
                <w:u w:val="none"/>
                <w:lang w:val="en-US" w:eastAsia="zh-CN"/>
              </w:rPr>
              <w:t>7.19</w:t>
            </w:r>
          </w:p>
        </w:tc>
        <w:tc>
          <w:tcPr>
            <w:tcW w:w="341" w:type="pct"/>
            <w:tcBorders>
              <w:tl2br w:val="nil"/>
              <w:tr2bl w:val="nil"/>
            </w:tcBorders>
            <w:shd w:val="clear" w:color="auto" w:fill="auto"/>
            <w:noWrap/>
            <w:tcMar>
              <w:top w:w="15" w:type="dxa"/>
              <w:left w:w="15" w:type="dxa"/>
              <w:right w:w="15" w:type="dxa"/>
            </w:tcMar>
            <w:vAlign w:val="center"/>
          </w:tcPr>
          <w:p w14:paraId="2D840F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19.4</w:t>
            </w:r>
          </w:p>
        </w:tc>
        <w:tc>
          <w:tcPr>
            <w:tcW w:w="341" w:type="pct"/>
            <w:tcBorders>
              <w:tl2br w:val="nil"/>
              <w:tr2bl w:val="nil"/>
            </w:tcBorders>
            <w:shd w:val="clear" w:color="auto" w:fill="auto"/>
            <w:noWrap/>
            <w:tcMar>
              <w:top w:w="15" w:type="dxa"/>
              <w:left w:w="15" w:type="dxa"/>
              <w:right w:w="15" w:type="dxa"/>
            </w:tcMar>
            <w:vAlign w:val="center"/>
          </w:tcPr>
          <w:p w14:paraId="0A0F23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w:t>
            </w:r>
          </w:p>
        </w:tc>
        <w:tc>
          <w:tcPr>
            <w:tcW w:w="341" w:type="pct"/>
            <w:tcBorders>
              <w:tl2br w:val="nil"/>
              <w:tr2bl w:val="nil"/>
            </w:tcBorders>
            <w:shd w:val="clear" w:color="auto" w:fill="auto"/>
            <w:noWrap/>
            <w:tcMar>
              <w:top w:w="15" w:type="dxa"/>
              <w:left w:w="15" w:type="dxa"/>
              <w:right w:w="15" w:type="dxa"/>
            </w:tcMar>
            <w:vAlign w:val="center"/>
          </w:tcPr>
          <w:p w14:paraId="45A40F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w:t>
            </w:r>
          </w:p>
        </w:tc>
        <w:tc>
          <w:tcPr>
            <w:tcW w:w="341" w:type="pct"/>
            <w:tcBorders>
              <w:tl2br w:val="nil"/>
              <w:tr2bl w:val="nil"/>
            </w:tcBorders>
            <w:shd w:val="clear" w:color="auto" w:fill="auto"/>
            <w:noWrap/>
            <w:tcMar>
              <w:top w:w="15" w:type="dxa"/>
              <w:left w:w="15" w:type="dxa"/>
              <w:right w:w="15" w:type="dxa"/>
            </w:tcMar>
            <w:vAlign w:val="center"/>
          </w:tcPr>
          <w:p w14:paraId="238CCD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22</w:t>
            </w:r>
          </w:p>
        </w:tc>
        <w:tc>
          <w:tcPr>
            <w:tcW w:w="341" w:type="pct"/>
            <w:tcBorders>
              <w:tl2br w:val="nil"/>
              <w:tr2bl w:val="nil"/>
            </w:tcBorders>
            <w:shd w:val="clear" w:color="auto" w:fill="auto"/>
            <w:noWrap/>
            <w:tcMar>
              <w:top w:w="15" w:type="dxa"/>
              <w:left w:w="15" w:type="dxa"/>
              <w:right w:w="15" w:type="dxa"/>
            </w:tcMar>
            <w:vAlign w:val="center"/>
          </w:tcPr>
          <w:p w14:paraId="6FB417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41" w:type="pct"/>
            <w:tcBorders>
              <w:tl2br w:val="nil"/>
              <w:tr2bl w:val="nil"/>
            </w:tcBorders>
            <w:shd w:val="clear" w:color="auto" w:fill="auto"/>
            <w:noWrap/>
            <w:tcMar>
              <w:top w:w="15" w:type="dxa"/>
              <w:left w:w="15" w:type="dxa"/>
              <w:right w:w="15" w:type="dxa"/>
            </w:tcMar>
            <w:vAlign w:val="center"/>
          </w:tcPr>
          <w:p w14:paraId="6BC4A2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61</w:t>
            </w:r>
          </w:p>
        </w:tc>
        <w:tc>
          <w:tcPr>
            <w:tcW w:w="341" w:type="pct"/>
            <w:tcBorders>
              <w:tl2br w:val="nil"/>
              <w:tr2bl w:val="nil"/>
            </w:tcBorders>
            <w:shd w:val="clear" w:color="auto" w:fill="auto"/>
            <w:noWrap/>
            <w:tcMar>
              <w:top w:w="15" w:type="dxa"/>
              <w:left w:w="15" w:type="dxa"/>
              <w:right w:w="15" w:type="dxa"/>
            </w:tcMar>
            <w:vAlign w:val="center"/>
          </w:tcPr>
          <w:p w14:paraId="088172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40</w:t>
            </w:r>
          </w:p>
        </w:tc>
        <w:tc>
          <w:tcPr>
            <w:tcW w:w="341" w:type="pct"/>
            <w:tcBorders>
              <w:tl2br w:val="nil"/>
              <w:tr2bl w:val="nil"/>
            </w:tcBorders>
            <w:shd w:val="clear" w:color="auto" w:fill="auto"/>
            <w:noWrap/>
            <w:tcMar>
              <w:top w:w="15" w:type="dxa"/>
              <w:left w:w="15" w:type="dxa"/>
              <w:right w:w="15" w:type="dxa"/>
            </w:tcMar>
            <w:vAlign w:val="center"/>
          </w:tcPr>
          <w:p w14:paraId="6CA4DD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9.9</w:t>
            </w:r>
          </w:p>
        </w:tc>
        <w:tc>
          <w:tcPr>
            <w:tcW w:w="540" w:type="pct"/>
            <w:tcBorders>
              <w:tl2br w:val="nil"/>
              <w:tr2bl w:val="nil"/>
            </w:tcBorders>
            <w:shd w:val="clear" w:color="auto" w:fill="auto"/>
            <w:noWrap/>
            <w:tcMar>
              <w:top w:w="15" w:type="dxa"/>
              <w:left w:w="15" w:type="dxa"/>
              <w:right w:w="15" w:type="dxa"/>
            </w:tcMar>
            <w:vAlign w:val="center"/>
          </w:tcPr>
          <w:p w14:paraId="517254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达标</w:t>
            </w:r>
          </w:p>
        </w:tc>
      </w:tr>
      <w:tr w14:paraId="36C8A9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0CC2CC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auto"/>
                <w:sz w:val="21"/>
                <w:szCs w:val="21"/>
                <w:highlight w:val="none"/>
                <w:u w:val="none"/>
              </w:rPr>
            </w:pPr>
          </w:p>
        </w:tc>
        <w:tc>
          <w:tcPr>
            <w:tcW w:w="1008" w:type="pct"/>
            <w:gridSpan w:val="2"/>
            <w:tcBorders>
              <w:tl2br w:val="nil"/>
              <w:tr2bl w:val="nil"/>
            </w:tcBorders>
            <w:shd w:val="clear" w:color="auto" w:fill="auto"/>
            <w:noWrap/>
            <w:tcMar>
              <w:top w:w="15" w:type="dxa"/>
              <w:left w:w="15" w:type="dxa"/>
              <w:right w:w="15" w:type="dxa"/>
            </w:tcMar>
            <w:vAlign w:val="center"/>
          </w:tcPr>
          <w:p w14:paraId="3E1B47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cs="Times New Roman"/>
                <w:b w:val="0"/>
                <w:bCs w:val="0"/>
                <w:i w:val="0"/>
                <w:color w:val="auto"/>
                <w:kern w:val="0"/>
                <w:sz w:val="21"/>
                <w:szCs w:val="21"/>
                <w:highlight w:val="none"/>
                <w:u w:val="none"/>
                <w:lang w:val="en-US" w:eastAsia="zh-CN" w:bidi="ar"/>
              </w:rPr>
              <w:t>GB15618表1其它</w:t>
            </w:r>
          </w:p>
        </w:tc>
        <w:tc>
          <w:tcPr>
            <w:tcW w:w="341" w:type="pct"/>
            <w:tcBorders>
              <w:tl2br w:val="nil"/>
              <w:tr2bl w:val="nil"/>
            </w:tcBorders>
            <w:shd w:val="clear" w:color="auto" w:fill="auto"/>
            <w:noWrap/>
            <w:tcMar>
              <w:top w:w="15" w:type="dxa"/>
              <w:left w:w="15" w:type="dxa"/>
              <w:right w:w="15" w:type="dxa"/>
            </w:tcMar>
            <w:vAlign w:val="center"/>
          </w:tcPr>
          <w:p w14:paraId="7E3436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w:t>
            </w:r>
          </w:p>
        </w:tc>
        <w:tc>
          <w:tcPr>
            <w:tcW w:w="341" w:type="pct"/>
            <w:tcBorders>
              <w:tl2br w:val="nil"/>
              <w:tr2bl w:val="nil"/>
            </w:tcBorders>
            <w:shd w:val="clear" w:color="auto" w:fill="auto"/>
            <w:noWrap/>
            <w:tcMar>
              <w:top w:w="15" w:type="dxa"/>
              <w:left w:w="15" w:type="dxa"/>
              <w:right w:w="15" w:type="dxa"/>
            </w:tcMar>
            <w:vAlign w:val="center"/>
          </w:tcPr>
          <w:p w14:paraId="7F61C4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120</w:t>
            </w:r>
          </w:p>
        </w:tc>
        <w:tc>
          <w:tcPr>
            <w:tcW w:w="341" w:type="pct"/>
            <w:tcBorders>
              <w:tl2br w:val="nil"/>
              <w:tr2bl w:val="nil"/>
            </w:tcBorders>
            <w:shd w:val="clear" w:color="auto" w:fill="auto"/>
            <w:noWrap/>
            <w:tcMar>
              <w:top w:w="15" w:type="dxa"/>
              <w:left w:w="15" w:type="dxa"/>
              <w:right w:w="15" w:type="dxa"/>
            </w:tcMar>
            <w:vAlign w:val="center"/>
          </w:tcPr>
          <w:p w14:paraId="1DE110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2.4</w:t>
            </w:r>
          </w:p>
        </w:tc>
        <w:tc>
          <w:tcPr>
            <w:tcW w:w="341" w:type="pct"/>
            <w:tcBorders>
              <w:tl2br w:val="nil"/>
              <w:tr2bl w:val="nil"/>
            </w:tcBorders>
            <w:shd w:val="clear" w:color="auto" w:fill="auto"/>
            <w:noWrap/>
            <w:tcMar>
              <w:top w:w="15" w:type="dxa"/>
              <w:left w:w="15" w:type="dxa"/>
              <w:right w:w="15" w:type="dxa"/>
            </w:tcMar>
            <w:vAlign w:val="center"/>
          </w:tcPr>
          <w:p w14:paraId="21BDCC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lang w:val="en-US"/>
              </w:rPr>
            </w:pPr>
            <w:r>
              <w:rPr>
                <w:rFonts w:hint="default" w:ascii="Times New Roman" w:hAnsi="Times New Roman" w:eastAsia="宋体" w:cs="Times New Roman"/>
                <w:b w:val="0"/>
                <w:bCs w:val="0"/>
                <w:i w:val="0"/>
                <w:color w:val="auto"/>
                <w:kern w:val="0"/>
                <w:sz w:val="21"/>
                <w:szCs w:val="21"/>
                <w:highlight w:val="none"/>
                <w:u w:val="none"/>
                <w:lang w:val="en-US" w:eastAsia="zh-CN" w:bidi="ar"/>
              </w:rPr>
              <w:t>0.3</w:t>
            </w:r>
            <w:r>
              <w:rPr>
                <w:rFonts w:hint="default" w:ascii="Times New Roman" w:hAnsi="Times New Roman" w:cs="Times New Roman"/>
                <w:b w:val="0"/>
                <w:bCs w:val="0"/>
                <w:i w:val="0"/>
                <w:color w:val="auto"/>
                <w:kern w:val="0"/>
                <w:sz w:val="21"/>
                <w:szCs w:val="21"/>
                <w:highlight w:val="none"/>
                <w:u w:val="none"/>
                <w:lang w:val="en-US" w:eastAsia="zh-CN" w:bidi="ar"/>
              </w:rPr>
              <w:t>0</w:t>
            </w:r>
          </w:p>
        </w:tc>
        <w:tc>
          <w:tcPr>
            <w:tcW w:w="341" w:type="pct"/>
            <w:tcBorders>
              <w:tl2br w:val="nil"/>
              <w:tr2bl w:val="nil"/>
            </w:tcBorders>
            <w:shd w:val="clear" w:color="auto" w:fill="auto"/>
            <w:noWrap/>
            <w:tcMar>
              <w:top w:w="15" w:type="dxa"/>
              <w:left w:w="15" w:type="dxa"/>
              <w:right w:w="15" w:type="dxa"/>
            </w:tcMar>
            <w:vAlign w:val="center"/>
          </w:tcPr>
          <w:p w14:paraId="2A70C2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100</w:t>
            </w:r>
          </w:p>
        </w:tc>
        <w:tc>
          <w:tcPr>
            <w:tcW w:w="341" w:type="pct"/>
            <w:tcBorders>
              <w:tl2br w:val="nil"/>
              <w:tr2bl w:val="nil"/>
            </w:tcBorders>
            <w:shd w:val="clear" w:color="auto" w:fill="auto"/>
            <w:noWrap/>
            <w:tcMar>
              <w:top w:w="15" w:type="dxa"/>
              <w:left w:w="15" w:type="dxa"/>
              <w:right w:w="15" w:type="dxa"/>
            </w:tcMar>
            <w:vAlign w:val="center"/>
          </w:tcPr>
          <w:p w14:paraId="55DC90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100</w:t>
            </w:r>
          </w:p>
        </w:tc>
        <w:tc>
          <w:tcPr>
            <w:tcW w:w="341" w:type="pct"/>
            <w:tcBorders>
              <w:tl2br w:val="nil"/>
              <w:tr2bl w:val="nil"/>
            </w:tcBorders>
            <w:shd w:val="clear" w:color="auto" w:fill="auto"/>
            <w:noWrap/>
            <w:tcMar>
              <w:top w:w="15" w:type="dxa"/>
              <w:left w:w="15" w:type="dxa"/>
              <w:right w:w="15" w:type="dxa"/>
            </w:tcMar>
            <w:vAlign w:val="center"/>
          </w:tcPr>
          <w:p w14:paraId="5B7FD4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200</w:t>
            </w:r>
          </w:p>
        </w:tc>
        <w:tc>
          <w:tcPr>
            <w:tcW w:w="341" w:type="pct"/>
            <w:tcBorders>
              <w:tl2br w:val="nil"/>
              <w:tr2bl w:val="nil"/>
            </w:tcBorders>
            <w:shd w:val="clear" w:color="auto" w:fill="auto"/>
            <w:noWrap/>
            <w:tcMar>
              <w:top w:w="15" w:type="dxa"/>
              <w:left w:w="15" w:type="dxa"/>
              <w:right w:w="15" w:type="dxa"/>
            </w:tcMar>
            <w:vAlign w:val="center"/>
          </w:tcPr>
          <w:p w14:paraId="55E101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250</w:t>
            </w:r>
          </w:p>
        </w:tc>
        <w:tc>
          <w:tcPr>
            <w:tcW w:w="341" w:type="pct"/>
            <w:tcBorders>
              <w:tl2br w:val="nil"/>
              <w:tr2bl w:val="nil"/>
            </w:tcBorders>
            <w:shd w:val="clear" w:color="auto" w:fill="auto"/>
            <w:noWrap/>
            <w:tcMar>
              <w:top w:w="15" w:type="dxa"/>
              <w:left w:w="15" w:type="dxa"/>
              <w:right w:w="15" w:type="dxa"/>
            </w:tcMar>
            <w:vAlign w:val="center"/>
          </w:tcPr>
          <w:p w14:paraId="336D26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30</w:t>
            </w:r>
          </w:p>
        </w:tc>
        <w:tc>
          <w:tcPr>
            <w:tcW w:w="540" w:type="pct"/>
            <w:tcBorders>
              <w:tl2br w:val="nil"/>
              <w:tr2bl w:val="nil"/>
            </w:tcBorders>
            <w:shd w:val="clear" w:color="auto" w:fill="auto"/>
            <w:noWrap/>
            <w:tcMar>
              <w:top w:w="15" w:type="dxa"/>
              <w:left w:w="15" w:type="dxa"/>
              <w:right w:w="15" w:type="dxa"/>
            </w:tcMar>
            <w:vAlign w:val="center"/>
          </w:tcPr>
          <w:p w14:paraId="56900E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w:t>
            </w:r>
          </w:p>
        </w:tc>
      </w:tr>
    </w:tbl>
    <w:p w14:paraId="52658F50">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cs="Times New Roman"/>
          <w:color w:val="auto"/>
          <w:highlight w:val="none"/>
          <w:lang w:eastAsia="zh-CN"/>
        </w:rPr>
      </w:pPr>
      <w:r>
        <w:rPr>
          <w:rFonts w:hint="default" w:ascii="Times New Roman" w:hAnsi="Times New Roman" w:cs="Times New Roman"/>
          <w:b/>
          <w:bCs/>
          <w:color w:val="auto"/>
          <w:sz w:val="18"/>
          <w:szCs w:val="18"/>
          <w:highlight w:val="none"/>
          <w:lang w:eastAsia="zh-CN"/>
        </w:rPr>
        <w:t>注：①达标情况中“达标”指该点位所有污染物指标均达到对应</w:t>
      </w:r>
      <w:r>
        <w:rPr>
          <w:rFonts w:hint="default" w:ascii="Times New Roman" w:hAnsi="Times New Roman" w:cs="Times New Roman"/>
          <w:b/>
          <w:bCs/>
          <w:color w:val="auto"/>
          <w:sz w:val="18"/>
          <w:szCs w:val="18"/>
          <w:highlight w:val="none"/>
          <w:lang w:val="en-US" w:eastAsia="zh-CN"/>
        </w:rPr>
        <w:t>pH值的</w:t>
      </w:r>
      <w:r>
        <w:rPr>
          <w:rFonts w:hint="default" w:ascii="Times New Roman" w:hAnsi="Times New Roman" w:cs="Times New Roman"/>
          <w:b/>
          <w:bCs/>
          <w:color w:val="auto"/>
          <w:sz w:val="18"/>
          <w:szCs w:val="18"/>
          <w:highlight w:val="none"/>
          <w:lang w:eastAsia="zh-CN"/>
        </w:rPr>
        <w:t>农用地标准</w:t>
      </w:r>
    </w:p>
    <w:p w14:paraId="6E4BED4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各点位重金属监测浓度散点分布图如下：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73328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718BB64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2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74DE19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3-3铅</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分布情况图</w:t>
            </w:r>
          </w:p>
        </w:tc>
      </w:tr>
      <w:tr w14:paraId="7715C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3" w:hRule="atLeast"/>
          <w:jc w:val="center"/>
        </w:trPr>
        <w:tc>
          <w:tcPr>
            <w:tcW w:w="8826" w:type="dxa"/>
            <w:tcBorders>
              <w:tl2br w:val="nil"/>
              <w:tr2bl w:val="nil"/>
            </w:tcBorders>
            <w:vAlign w:val="center"/>
          </w:tcPr>
          <w:p w14:paraId="17C67CC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2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54F674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5-3-4汞指标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7B041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6076961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2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37A7EE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3-5</w:t>
            </w:r>
            <w:r>
              <w:rPr>
                <w:rFonts w:hint="default" w:ascii="Times New Roman" w:hAnsi="Times New Roman" w:eastAsia="宋体" w:cs="Times New Roman"/>
                <w:b/>
                <w:bCs/>
                <w:color w:val="auto"/>
                <w:highlight w:val="none"/>
                <w:lang w:val="en-US" w:eastAsia="zh-CN"/>
              </w:rPr>
              <w:t xml:space="preserve"> </w:t>
            </w:r>
            <w:r>
              <w:rPr>
                <w:rFonts w:hint="default" w:ascii="Times New Roman" w:hAnsi="Times New Roman" w:cs="Times New Roman"/>
                <w:b/>
                <w:bCs/>
                <w:color w:val="auto"/>
                <w:highlight w:val="none"/>
                <w:lang w:val="en-US" w:eastAsia="zh-CN"/>
              </w:rPr>
              <w:t>钴</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6B745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2611FA4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2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DF3928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3-6</w:t>
            </w:r>
            <w:r>
              <w:rPr>
                <w:rFonts w:hint="default" w:ascii="Times New Roman" w:hAnsi="Times New Roman" w:eastAsia="宋体" w:cs="Times New Roman"/>
                <w:b/>
                <w:bCs/>
                <w:color w:val="auto"/>
                <w:highlight w:val="none"/>
                <w:lang w:val="en-US" w:eastAsia="zh-CN"/>
              </w:rPr>
              <w:t xml:space="preserve"> 镉指标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56F9C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4A4BDDB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2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E566E7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3-7</w:t>
            </w:r>
            <w:r>
              <w:rPr>
                <w:rFonts w:hint="default" w:ascii="Times New Roman" w:hAnsi="Times New Roman" w:eastAsia="宋体" w:cs="Times New Roman"/>
                <w:b/>
                <w:bCs/>
                <w:color w:val="auto"/>
                <w:highlight w:val="none"/>
                <w:lang w:val="en-US" w:eastAsia="zh-CN"/>
              </w:rPr>
              <w:t xml:space="preserve"> </w:t>
            </w:r>
            <w:r>
              <w:rPr>
                <w:rFonts w:hint="default" w:ascii="Times New Roman" w:hAnsi="Times New Roman" w:cs="Times New Roman"/>
                <w:b/>
                <w:bCs/>
                <w:color w:val="auto"/>
                <w:highlight w:val="none"/>
                <w:lang w:val="en-US" w:eastAsia="zh-CN"/>
              </w:rPr>
              <w:t>铜</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4AD23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57507D8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3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A28B43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3-8</w:t>
            </w:r>
            <w:r>
              <w:rPr>
                <w:rFonts w:hint="default" w:ascii="Times New Roman" w:hAnsi="Times New Roman" w:eastAsia="宋体" w:cs="Times New Roman"/>
                <w:b/>
                <w:bCs/>
                <w:color w:val="auto"/>
                <w:highlight w:val="none"/>
                <w:lang w:val="en-US" w:eastAsia="zh-CN"/>
              </w:rPr>
              <w:t xml:space="preserve"> </w:t>
            </w:r>
            <w:r>
              <w:rPr>
                <w:rFonts w:hint="default" w:ascii="Times New Roman" w:hAnsi="Times New Roman" w:cs="Times New Roman"/>
                <w:b/>
                <w:bCs/>
                <w:color w:val="auto"/>
                <w:highlight w:val="none"/>
                <w:lang w:val="en-US" w:eastAsia="zh-CN"/>
              </w:rPr>
              <w:t>镍</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458E2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1C976E5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E0D118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lang w:eastAsia="zh-CN"/>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3-9</w:t>
            </w:r>
            <w:r>
              <w:rPr>
                <w:rFonts w:hint="default" w:ascii="Times New Roman" w:hAnsi="Times New Roman" w:eastAsia="宋体" w:cs="Times New Roman"/>
                <w:b/>
                <w:bCs/>
                <w:color w:val="auto"/>
                <w:highlight w:val="none"/>
                <w:lang w:val="en-US" w:eastAsia="zh-CN"/>
              </w:rPr>
              <w:t xml:space="preserve"> </w:t>
            </w:r>
            <w:r>
              <w:rPr>
                <w:rFonts w:hint="default" w:ascii="Times New Roman" w:hAnsi="Times New Roman" w:cs="Times New Roman"/>
                <w:b/>
                <w:bCs/>
                <w:color w:val="auto"/>
                <w:highlight w:val="none"/>
                <w:lang w:val="en-US" w:eastAsia="zh-CN"/>
              </w:rPr>
              <w:t>砷</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633E7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220CCFB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8E153A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3-10铬</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22B97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7BF440F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3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97E72A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3-11</w:t>
            </w:r>
            <w:r>
              <w:rPr>
                <w:rFonts w:hint="default" w:ascii="Times New Roman" w:hAnsi="Times New Roman" w:eastAsia="宋体" w:cs="Times New Roman"/>
                <w:b/>
                <w:bCs/>
                <w:color w:val="auto"/>
                <w:highlight w:val="none"/>
                <w:lang w:val="en-US" w:eastAsia="zh-CN"/>
              </w:rPr>
              <w:t xml:space="preserve"> </w:t>
            </w:r>
            <w:r>
              <w:rPr>
                <w:rFonts w:hint="default" w:ascii="Times New Roman" w:hAnsi="Times New Roman" w:cs="Times New Roman"/>
                <w:b/>
                <w:bCs/>
                <w:color w:val="auto"/>
                <w:highlight w:val="none"/>
                <w:lang w:val="en-US" w:eastAsia="zh-CN"/>
              </w:rPr>
              <w:t>钼</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r w14:paraId="7F12A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7371781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5400040" cy="3599815"/>
                  <wp:effectExtent l="9525" t="9525" r="19685" b="48260"/>
                  <wp:docPr id="3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CC0F04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b/>
                <w:bCs/>
                <w:color w:val="auto"/>
                <w:highlight w:val="none"/>
                <w:lang w:eastAsia="zh-CN"/>
              </w:rPr>
              <w:t>图</w:t>
            </w:r>
            <w:r>
              <w:rPr>
                <w:rFonts w:hint="default" w:ascii="Times New Roman" w:hAnsi="Times New Roman" w:eastAsia="宋体" w:cs="Times New Roman"/>
                <w:b/>
                <w:bCs/>
                <w:color w:val="auto"/>
                <w:highlight w:val="none"/>
                <w:lang w:val="en-US" w:eastAsia="zh-CN"/>
              </w:rPr>
              <w:t>5-</w:t>
            </w:r>
            <w:r>
              <w:rPr>
                <w:rFonts w:hint="default" w:ascii="Times New Roman" w:hAnsi="Times New Roman" w:cs="Times New Roman"/>
                <w:b/>
                <w:bCs/>
                <w:color w:val="auto"/>
                <w:highlight w:val="none"/>
                <w:lang w:val="en-US" w:eastAsia="zh-CN"/>
              </w:rPr>
              <w:t>3-12锑</w:t>
            </w:r>
            <w:r>
              <w:rPr>
                <w:rFonts w:hint="default" w:ascii="Times New Roman" w:hAnsi="Times New Roman" w:eastAsia="宋体" w:cs="Times New Roman"/>
                <w:b/>
                <w:bCs/>
                <w:color w:val="auto"/>
                <w:highlight w:val="none"/>
                <w:lang w:val="en-US" w:eastAsia="zh-CN"/>
              </w:rPr>
              <w:t>指标</w:t>
            </w:r>
            <w:r>
              <w:rPr>
                <w:rFonts w:hint="default" w:ascii="Times New Roman" w:hAnsi="Times New Roman" w:cs="Times New Roman"/>
                <w:b/>
                <w:bCs/>
                <w:color w:val="auto"/>
                <w:highlight w:val="none"/>
                <w:lang w:val="en-US" w:eastAsia="zh-CN"/>
              </w:rPr>
              <w:t>监测浓度</w:t>
            </w:r>
            <w:r>
              <w:rPr>
                <w:rFonts w:hint="default" w:ascii="Times New Roman" w:hAnsi="Times New Roman" w:eastAsia="宋体" w:cs="Times New Roman"/>
                <w:b/>
                <w:bCs/>
                <w:color w:val="auto"/>
                <w:highlight w:val="none"/>
                <w:lang w:val="en-US" w:eastAsia="zh-CN"/>
              </w:rPr>
              <w:t>分布图</w:t>
            </w:r>
          </w:p>
        </w:tc>
      </w:tr>
    </w:tbl>
    <w:p w14:paraId="5F232F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highlight w:val="none"/>
          <w:lang w:eastAsia="zh-CN"/>
        </w:rPr>
        <w:t>由各点位重金属监测浓度散点分布图可知，</w:t>
      </w:r>
      <w:r>
        <w:rPr>
          <w:rFonts w:hint="default" w:ascii="Times New Roman" w:hAnsi="Times New Roman" w:cs="Times New Roman"/>
          <w:color w:val="auto"/>
          <w:sz w:val="24"/>
          <w:szCs w:val="24"/>
          <w:highlight w:val="none"/>
          <w:lang w:eastAsia="zh-CN"/>
        </w:rPr>
        <w:t>园区内</w:t>
      </w:r>
      <w:r>
        <w:rPr>
          <w:rFonts w:hint="default" w:ascii="Times New Roman" w:hAnsi="Times New Roman" w:cs="Times New Roman"/>
          <w:color w:val="auto"/>
          <w:sz w:val="24"/>
          <w:szCs w:val="24"/>
          <w:highlight w:val="none"/>
        </w:rPr>
        <w:t>各测试项目检测值</w:t>
      </w:r>
      <w:r>
        <w:rPr>
          <w:rFonts w:hint="default" w:ascii="Times New Roman" w:hAnsi="Times New Roman" w:cs="Times New Roman"/>
          <w:color w:val="auto"/>
          <w:sz w:val="24"/>
          <w:szCs w:val="24"/>
          <w:highlight w:val="none"/>
          <w:lang w:eastAsia="zh-CN"/>
        </w:rPr>
        <w:t>中，下列点位的对应测试项目检测值较其它点位高于该指标平均值：</w:t>
      </w:r>
      <w:r>
        <w:rPr>
          <w:rFonts w:hint="default" w:ascii="Times New Roman" w:hAnsi="Times New Roman" w:cs="Times New Roman"/>
          <w:color w:val="auto"/>
          <w:highlight w:val="none"/>
          <w:lang w:val="en-US" w:eastAsia="zh-CN"/>
        </w:rPr>
        <w:t>①SJG-3：汞；②SJG-2-75：镍、铬；③SJG-JJ-3：汞；④SJG-JJ-9：铅，且所有</w:t>
      </w:r>
      <w:r>
        <w:rPr>
          <w:rFonts w:hint="default" w:ascii="Times New Roman" w:hAnsi="Times New Roman" w:eastAsia="宋体" w:cs="Times New Roman"/>
          <w:color w:val="auto"/>
          <w:kern w:val="2"/>
          <w:sz w:val="24"/>
          <w:szCs w:val="24"/>
          <w:highlight w:val="none"/>
          <w:lang w:val="en-US" w:eastAsia="zh-CN" w:bidi="ar-SA"/>
        </w:rPr>
        <w:t>点位的</w:t>
      </w:r>
      <w:r>
        <w:rPr>
          <w:rFonts w:hint="default" w:ascii="Times New Roman" w:hAnsi="Times New Roman" w:cs="Times New Roman"/>
          <w:color w:val="auto"/>
          <w:kern w:val="2"/>
          <w:sz w:val="24"/>
          <w:szCs w:val="24"/>
          <w:highlight w:val="none"/>
          <w:lang w:val="en-US" w:eastAsia="zh-CN" w:bidi="ar-SA"/>
        </w:rPr>
        <w:t>测试项目检测值</w:t>
      </w:r>
      <w:r>
        <w:rPr>
          <w:rFonts w:hint="default" w:ascii="Times New Roman" w:hAnsi="Times New Roman" w:eastAsia="宋体" w:cs="Times New Roman"/>
          <w:color w:val="auto"/>
          <w:kern w:val="2"/>
          <w:sz w:val="24"/>
          <w:szCs w:val="24"/>
          <w:highlight w:val="none"/>
          <w:lang w:val="en-US" w:eastAsia="zh-CN" w:bidi="ar-SA"/>
        </w:rPr>
        <w:t>均低于调查区域背景值。其余点位各项污染项目监测值差别较小。</w:t>
      </w:r>
    </w:p>
    <w:p w14:paraId="3645F688">
      <w:pPr>
        <w:numPr>
          <w:ilvl w:val="0"/>
          <w:numId w:val="0"/>
        </w:numPr>
        <w:spacing w:line="360" w:lineRule="auto"/>
        <w:ind w:leftChars="0" w:firstLine="420" w:firstLineChars="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w:t>
      </w:r>
      <w:r>
        <w:rPr>
          <w:rFonts w:hint="eastAsia" w:cs="Times New Roman"/>
          <w:b/>
          <w:bCs/>
          <w:color w:val="auto"/>
          <w:sz w:val="24"/>
          <w:highlight w:val="none"/>
          <w:lang w:val="en-US" w:eastAsia="zh-CN"/>
        </w:rPr>
        <w:t>6</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挥发性有机物和半挥发性有机物</w:t>
      </w:r>
    </w:p>
    <w:p w14:paraId="3B9A24CE">
      <w:pPr>
        <w:spacing w:line="360" w:lineRule="auto"/>
        <w:ind w:firstLine="482"/>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基于《土壤环境质量建设用地土壤污染风险管控标准（试行）》的基本项目要求，送检的土壤样品均进行</w:t>
      </w:r>
      <w:r>
        <w:rPr>
          <w:rFonts w:hint="default" w:ascii="Times New Roman" w:hAnsi="Times New Roman" w:cs="Times New Roman"/>
          <w:color w:val="auto"/>
          <w:kern w:val="0"/>
          <w:sz w:val="24"/>
          <w:highlight w:val="none"/>
        </w:rPr>
        <w:t>了</w:t>
      </w:r>
      <w:r>
        <w:rPr>
          <w:rFonts w:hint="default" w:ascii="Times New Roman" w:hAnsi="Times New Roman" w:cs="Times New Roman"/>
          <w:color w:val="auto"/>
          <w:kern w:val="0"/>
          <w:sz w:val="24"/>
          <w:highlight w:val="none"/>
          <w:lang w:val="en-US" w:eastAsia="zh-CN"/>
        </w:rPr>
        <w:t>GB36600</w:t>
      </w:r>
      <w:r>
        <w:rPr>
          <w:rFonts w:hint="default" w:ascii="Times New Roman" w:hAnsi="Times New Roman" w:cs="Times New Roman"/>
          <w:color w:val="auto"/>
          <w:kern w:val="0"/>
          <w:sz w:val="24"/>
          <w:highlight w:val="none"/>
          <w:lang w:eastAsia="zh-CN"/>
        </w:rPr>
        <w:t>基本项目中</w:t>
      </w:r>
      <w:r>
        <w:rPr>
          <w:rFonts w:hint="default" w:ascii="Times New Roman" w:hAnsi="Times New Roman" w:cs="Times New Roman"/>
          <w:color w:val="auto"/>
          <w:kern w:val="0"/>
          <w:sz w:val="24"/>
          <w:highlight w:val="none"/>
        </w:rPr>
        <w:t>27项挥发性有机物和11项半挥发性有</w:t>
      </w:r>
      <w:r>
        <w:rPr>
          <w:rFonts w:hint="default" w:ascii="Times New Roman" w:hAnsi="Times New Roman" w:cs="Times New Roman"/>
          <w:color w:val="auto"/>
          <w:sz w:val="24"/>
          <w:highlight w:val="none"/>
        </w:rPr>
        <w:t>机物的检测</w:t>
      </w:r>
      <w:r>
        <w:rPr>
          <w:rFonts w:hint="default" w:ascii="Times New Roman" w:hAnsi="Times New Roman" w:cs="Times New Roman"/>
          <w:color w:val="auto"/>
          <w:sz w:val="24"/>
          <w:highlight w:val="none"/>
          <w:lang w:eastAsia="zh-CN"/>
        </w:rPr>
        <w:t>，并</w:t>
      </w:r>
      <w:r>
        <w:rPr>
          <w:rFonts w:hint="default" w:ascii="Times New Roman" w:hAnsi="Times New Roman" w:cs="Times New Roman"/>
          <w:color w:val="auto"/>
          <w:sz w:val="24"/>
          <w:highlight w:val="none"/>
          <w:lang w:val="en-US" w:eastAsia="zh-CN"/>
        </w:rPr>
        <w:t>对部分点位</w:t>
      </w:r>
      <w:r>
        <w:rPr>
          <w:rFonts w:hint="default" w:ascii="Times New Roman" w:hAnsi="Times New Roman" w:cs="Times New Roman"/>
          <w:color w:val="auto"/>
          <w:sz w:val="24"/>
          <w:highlight w:val="none"/>
          <w:lang w:eastAsia="zh-CN"/>
        </w:rPr>
        <w:t>增测了特征污染物：苯酚</w:t>
      </w:r>
      <w:r>
        <w:rPr>
          <w:rFonts w:hint="default" w:ascii="Times New Roman" w:hAnsi="Times New Roman" w:cs="Times New Roman"/>
          <w:color w:val="auto"/>
          <w:sz w:val="24"/>
          <w:highlight w:val="none"/>
          <w:lang w:val="en-US" w:eastAsia="zh-CN"/>
        </w:rPr>
        <w:t>。</w:t>
      </w:r>
    </w:p>
    <w:p w14:paraId="34BECA22">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监测报告显示：</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w:t>
      </w:r>
      <w:r>
        <w:rPr>
          <w:rFonts w:hint="eastAsia" w:cs="Times New Roman"/>
          <w:color w:val="auto"/>
          <w:sz w:val="24"/>
          <w:highlight w:val="none"/>
          <w:lang w:val="en-US" w:eastAsia="zh-CN"/>
        </w:rPr>
        <w:t>土壤样品（不含质控样品）</w:t>
      </w:r>
      <w:r>
        <w:rPr>
          <w:rFonts w:hint="default" w:ascii="Times New Roman" w:hAnsi="Times New Roman" w:cs="Times New Roman"/>
          <w:color w:val="auto"/>
          <w:sz w:val="24"/>
          <w:highlight w:val="none"/>
          <w:lang w:eastAsia="zh-CN"/>
        </w:rPr>
        <w:t>中除</w:t>
      </w:r>
      <w:r>
        <w:rPr>
          <w:rFonts w:hint="default" w:ascii="Times New Roman" w:hAnsi="Times New Roman" w:cs="Times New Roman"/>
          <w:color w:val="auto"/>
          <w:sz w:val="24"/>
          <w:highlight w:val="none"/>
          <w:lang w:val="en-US" w:eastAsia="zh-CN"/>
        </w:rPr>
        <w:t>SJG-JJ-8、SJG-JJ-9点位的多环芳烃类半挥发有机物有检出外，其它样品</w:t>
      </w:r>
      <w:r>
        <w:rPr>
          <w:rFonts w:hint="default" w:ascii="Times New Roman" w:hAnsi="Times New Roman" w:cs="Times New Roman"/>
          <w:color w:val="auto"/>
          <w:sz w:val="24"/>
          <w:highlight w:val="none"/>
        </w:rPr>
        <w:t>的挥发性有机物、半挥发性有机物均未检出</w:t>
      </w:r>
      <w:r>
        <w:rPr>
          <w:rFonts w:hint="default" w:ascii="Times New Roman" w:hAnsi="Times New Roman" w:cs="Times New Roman"/>
          <w:color w:val="auto"/>
          <w:sz w:val="24"/>
          <w:highlight w:val="none"/>
          <w:lang w:eastAsia="zh-CN"/>
        </w:rPr>
        <w:t>。检出样品的浓度见表</w:t>
      </w:r>
      <w:r>
        <w:rPr>
          <w:rFonts w:hint="default" w:ascii="Times New Roman" w:hAnsi="Times New Roman" w:cs="Times New Roman"/>
          <w:color w:val="auto"/>
          <w:sz w:val="24"/>
          <w:highlight w:val="none"/>
          <w:lang w:val="en-US" w:eastAsia="zh-CN"/>
        </w:rPr>
        <w:t>5-3-</w:t>
      </w:r>
      <w:r>
        <w:rPr>
          <w:rFonts w:hint="eastAsia" w:cs="Times New Roman"/>
          <w:color w:val="auto"/>
          <w:sz w:val="24"/>
          <w:highlight w:val="none"/>
          <w:lang w:val="en-US" w:eastAsia="zh-CN"/>
        </w:rPr>
        <w:t>7</w:t>
      </w:r>
      <w:r>
        <w:rPr>
          <w:rFonts w:hint="default" w:ascii="Times New Roman" w:hAnsi="Times New Roman" w:cs="Times New Roman"/>
          <w:color w:val="auto"/>
          <w:sz w:val="24"/>
          <w:highlight w:val="none"/>
          <w:lang w:val="en-US" w:eastAsia="zh-CN"/>
        </w:rPr>
        <w:t>。</w:t>
      </w:r>
    </w:p>
    <w:p w14:paraId="36D45F0B">
      <w:pPr>
        <w:pStyle w:val="2"/>
        <w:keepNext w:val="0"/>
        <w:keepLines w:val="0"/>
        <w:pageBreakBefore w:val="0"/>
        <w:widowControl w:val="0"/>
        <w:kinsoku/>
        <w:wordWrap/>
        <w:overflowPunct/>
        <w:topLinePunct w:val="0"/>
        <w:autoSpaceDE/>
        <w:autoSpaceDN/>
        <w:bidi w:val="0"/>
        <w:adjustRightInd/>
        <w:snapToGrid/>
        <w:spacing w:before="167" w:beforeLines="50" w:after="0" w:line="240" w:lineRule="auto"/>
        <w:jc w:val="center"/>
        <w:textAlignment w:val="auto"/>
        <w:rPr>
          <w:rFonts w:hint="default" w:ascii="Times New Roman" w:hAnsi="Times New Roman" w:cs="Times New Roman"/>
        </w:rPr>
      </w:pPr>
      <w:r>
        <w:rPr>
          <w:rFonts w:hint="default" w:ascii="Times New Roman" w:hAnsi="Times New Roman" w:eastAsia="黑体" w:cs="Times New Roman"/>
          <w:b/>
          <w:bCs/>
          <w:color w:val="auto"/>
          <w:sz w:val="24"/>
          <w:highlight w:val="none"/>
        </w:rPr>
        <w:t>表5-</w:t>
      </w:r>
      <w:r>
        <w:rPr>
          <w:rFonts w:hint="default" w:ascii="Times New Roman" w:hAnsi="Times New Roman" w:eastAsia="黑体" w:cs="Times New Roman"/>
          <w:b/>
          <w:bCs/>
          <w:color w:val="auto"/>
          <w:sz w:val="24"/>
          <w:highlight w:val="none"/>
          <w:lang w:val="en-US" w:eastAsia="zh-CN"/>
        </w:rPr>
        <w:t>3</w:t>
      </w:r>
      <w:r>
        <w:rPr>
          <w:rFonts w:hint="eastAsia" w:eastAsia="黑体" w:cs="Times New Roman"/>
          <w:b/>
          <w:bCs/>
          <w:color w:val="auto"/>
          <w:sz w:val="24"/>
          <w:highlight w:val="none"/>
          <w:lang w:val="en-US" w:eastAsia="zh-CN"/>
        </w:rPr>
        <w:t>-7</w:t>
      </w:r>
      <w:r>
        <w:rPr>
          <w:rFonts w:hint="default" w:ascii="Times New Roman" w:hAnsi="Times New Roman" w:eastAsia="黑体" w:cs="Times New Roman"/>
          <w:b/>
          <w:bCs/>
          <w:color w:val="auto"/>
          <w:sz w:val="24"/>
          <w:highlight w:val="none"/>
        </w:rPr>
        <w:t xml:space="preserve"> 土壤样品</w:t>
      </w:r>
      <w:r>
        <w:rPr>
          <w:rFonts w:hint="default" w:ascii="Times New Roman" w:hAnsi="Times New Roman" w:eastAsia="黑体" w:cs="Times New Roman"/>
          <w:b/>
          <w:bCs/>
          <w:color w:val="auto"/>
          <w:sz w:val="24"/>
          <w:highlight w:val="none"/>
          <w:lang w:val="en-US" w:eastAsia="zh-CN"/>
        </w:rPr>
        <w:t>多环芳烃类半挥发有机物</w:t>
      </w:r>
      <w:r>
        <w:rPr>
          <w:rFonts w:hint="default" w:ascii="Times New Roman" w:hAnsi="Times New Roman" w:eastAsia="黑体" w:cs="Times New Roman"/>
          <w:b/>
          <w:bCs/>
          <w:color w:val="auto"/>
          <w:sz w:val="24"/>
          <w:highlight w:val="none"/>
        </w:rPr>
        <w:t>监测值</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77"/>
        <w:gridCol w:w="921"/>
        <w:gridCol w:w="1593"/>
        <w:gridCol w:w="534"/>
        <w:gridCol w:w="947"/>
        <w:gridCol w:w="707"/>
        <w:gridCol w:w="827"/>
        <w:gridCol w:w="827"/>
        <w:gridCol w:w="831"/>
        <w:gridCol w:w="1215"/>
        <w:gridCol w:w="888"/>
      </w:tblGrid>
      <w:tr w14:paraId="070454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blHeader/>
          <w:jc w:val="center"/>
        </w:trPr>
        <w:tc>
          <w:tcPr>
            <w:tcW w:w="194" w:type="pct"/>
            <w:tcBorders>
              <w:bottom w:val="single" w:color="auto" w:sz="12" w:space="0"/>
            </w:tcBorders>
            <w:shd w:val="clear" w:color="auto" w:fill="auto"/>
            <w:noWrap/>
            <w:tcMar>
              <w:top w:w="15" w:type="dxa"/>
              <w:left w:w="15" w:type="dxa"/>
              <w:right w:w="15" w:type="dxa"/>
            </w:tcMar>
            <w:vAlign w:val="center"/>
          </w:tcPr>
          <w:p w14:paraId="6B2B02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序号</w:t>
            </w:r>
          </w:p>
        </w:tc>
        <w:tc>
          <w:tcPr>
            <w:tcW w:w="476" w:type="pct"/>
            <w:tcBorders>
              <w:bottom w:val="single" w:color="auto" w:sz="12" w:space="0"/>
            </w:tcBorders>
            <w:shd w:val="clear" w:color="auto" w:fill="auto"/>
            <w:noWrap/>
            <w:tcMar>
              <w:top w:w="15" w:type="dxa"/>
              <w:left w:w="15" w:type="dxa"/>
              <w:right w:w="15" w:type="dxa"/>
            </w:tcMar>
            <w:vAlign w:val="center"/>
          </w:tcPr>
          <w:p w14:paraId="2C3DAB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样品编号</w:t>
            </w:r>
          </w:p>
        </w:tc>
        <w:tc>
          <w:tcPr>
            <w:tcW w:w="823" w:type="pct"/>
            <w:tcBorders>
              <w:bottom w:val="single" w:color="auto" w:sz="12" w:space="0"/>
            </w:tcBorders>
            <w:shd w:val="clear" w:color="auto" w:fill="auto"/>
            <w:noWrap/>
            <w:tcMar>
              <w:top w:w="15" w:type="dxa"/>
              <w:left w:w="15" w:type="dxa"/>
              <w:right w:w="15" w:type="dxa"/>
            </w:tcMar>
            <w:vAlign w:val="center"/>
          </w:tcPr>
          <w:p w14:paraId="2A3789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点位位置</w:t>
            </w:r>
          </w:p>
        </w:tc>
        <w:tc>
          <w:tcPr>
            <w:tcW w:w="276" w:type="pct"/>
            <w:tcBorders>
              <w:bottom w:val="single" w:color="auto" w:sz="12" w:space="0"/>
            </w:tcBorders>
            <w:shd w:val="clear" w:color="auto" w:fill="auto"/>
            <w:noWrap/>
            <w:tcMar>
              <w:top w:w="15" w:type="dxa"/>
              <w:left w:w="15" w:type="dxa"/>
              <w:right w:w="15" w:type="dxa"/>
            </w:tcMar>
            <w:vAlign w:val="center"/>
          </w:tcPr>
          <w:p w14:paraId="3D985D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萘</w:t>
            </w:r>
          </w:p>
        </w:tc>
        <w:tc>
          <w:tcPr>
            <w:tcW w:w="489" w:type="pct"/>
            <w:tcBorders>
              <w:bottom w:val="single" w:color="auto" w:sz="12" w:space="0"/>
            </w:tcBorders>
            <w:shd w:val="clear" w:color="auto" w:fill="auto"/>
            <w:noWrap/>
            <w:tcMar>
              <w:top w:w="15" w:type="dxa"/>
              <w:left w:w="15" w:type="dxa"/>
              <w:right w:w="15" w:type="dxa"/>
            </w:tcMar>
            <w:vAlign w:val="center"/>
          </w:tcPr>
          <w:p w14:paraId="21A7D7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苯并(a)蒽</w:t>
            </w:r>
          </w:p>
        </w:tc>
        <w:tc>
          <w:tcPr>
            <w:tcW w:w="365" w:type="pct"/>
            <w:tcBorders>
              <w:bottom w:val="single" w:color="auto" w:sz="12" w:space="0"/>
            </w:tcBorders>
            <w:shd w:val="clear" w:color="auto" w:fill="auto"/>
            <w:noWrap/>
            <w:tcMar>
              <w:top w:w="15" w:type="dxa"/>
              <w:left w:w="15" w:type="dxa"/>
              <w:right w:w="15" w:type="dxa"/>
            </w:tcMar>
            <w:vAlign w:val="center"/>
          </w:tcPr>
          <w:p w14:paraId="0687A4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䓛</w:t>
            </w:r>
          </w:p>
        </w:tc>
        <w:tc>
          <w:tcPr>
            <w:tcW w:w="427" w:type="pct"/>
            <w:tcBorders>
              <w:bottom w:val="single" w:color="auto" w:sz="12" w:space="0"/>
            </w:tcBorders>
            <w:shd w:val="clear" w:color="auto" w:fill="auto"/>
            <w:noWrap/>
            <w:tcMar>
              <w:top w:w="15" w:type="dxa"/>
              <w:left w:w="15" w:type="dxa"/>
              <w:right w:w="15" w:type="dxa"/>
            </w:tcMar>
            <w:vAlign w:val="center"/>
          </w:tcPr>
          <w:p w14:paraId="7C99C8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苯并(b)荧蒽</w:t>
            </w:r>
          </w:p>
        </w:tc>
        <w:tc>
          <w:tcPr>
            <w:tcW w:w="427" w:type="pct"/>
            <w:tcBorders>
              <w:bottom w:val="single" w:color="auto" w:sz="12" w:space="0"/>
            </w:tcBorders>
            <w:shd w:val="clear" w:color="auto" w:fill="auto"/>
            <w:noWrap/>
            <w:tcMar>
              <w:top w:w="15" w:type="dxa"/>
              <w:left w:w="15" w:type="dxa"/>
              <w:right w:w="15" w:type="dxa"/>
            </w:tcMar>
            <w:vAlign w:val="center"/>
          </w:tcPr>
          <w:p w14:paraId="438E3D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苯并(k)荧蒽</w:t>
            </w:r>
          </w:p>
        </w:tc>
        <w:tc>
          <w:tcPr>
            <w:tcW w:w="429" w:type="pct"/>
            <w:tcBorders>
              <w:bottom w:val="single" w:color="auto" w:sz="12" w:space="0"/>
            </w:tcBorders>
            <w:shd w:val="clear" w:color="auto" w:fill="auto"/>
            <w:noWrap/>
            <w:tcMar>
              <w:top w:w="15" w:type="dxa"/>
              <w:left w:w="15" w:type="dxa"/>
              <w:right w:w="15" w:type="dxa"/>
            </w:tcMar>
            <w:vAlign w:val="center"/>
          </w:tcPr>
          <w:p w14:paraId="7A6B3A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苯并(a)芘</w:t>
            </w:r>
          </w:p>
        </w:tc>
        <w:tc>
          <w:tcPr>
            <w:tcW w:w="628" w:type="pct"/>
            <w:tcBorders>
              <w:bottom w:val="single" w:color="auto" w:sz="12" w:space="0"/>
            </w:tcBorders>
            <w:shd w:val="clear" w:color="auto" w:fill="auto"/>
            <w:noWrap/>
            <w:tcMar>
              <w:top w:w="15" w:type="dxa"/>
              <w:left w:w="15" w:type="dxa"/>
              <w:right w:w="15" w:type="dxa"/>
            </w:tcMar>
            <w:vAlign w:val="center"/>
          </w:tcPr>
          <w:p w14:paraId="6C11E8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茚并(1,2,3-cd)芘</w:t>
            </w:r>
          </w:p>
        </w:tc>
        <w:tc>
          <w:tcPr>
            <w:tcW w:w="459" w:type="pct"/>
            <w:tcBorders>
              <w:bottom w:val="single" w:color="auto" w:sz="12" w:space="0"/>
            </w:tcBorders>
            <w:shd w:val="clear" w:color="auto" w:fill="auto"/>
            <w:noWrap/>
            <w:tcMar>
              <w:top w:w="15" w:type="dxa"/>
              <w:left w:w="15" w:type="dxa"/>
              <w:right w:w="15" w:type="dxa"/>
            </w:tcMar>
            <w:vAlign w:val="center"/>
          </w:tcPr>
          <w:p w14:paraId="0C57CF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二苯并(a,h)蒽</w:t>
            </w:r>
          </w:p>
        </w:tc>
      </w:tr>
      <w:tr w14:paraId="45F81F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194" w:type="pct"/>
            <w:tcBorders>
              <w:top w:val="single" w:color="auto" w:sz="12" w:space="0"/>
              <w:tl2br w:val="nil"/>
              <w:tr2bl w:val="nil"/>
            </w:tcBorders>
            <w:shd w:val="clear" w:color="auto" w:fill="auto"/>
            <w:noWrap/>
            <w:tcMar>
              <w:top w:w="15" w:type="dxa"/>
              <w:left w:w="15" w:type="dxa"/>
              <w:right w:w="15" w:type="dxa"/>
            </w:tcMar>
            <w:vAlign w:val="center"/>
          </w:tcPr>
          <w:p w14:paraId="27610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w:t>
            </w:r>
          </w:p>
        </w:tc>
        <w:tc>
          <w:tcPr>
            <w:tcW w:w="476" w:type="pct"/>
            <w:tcBorders>
              <w:top w:val="single" w:color="auto" w:sz="12" w:space="0"/>
              <w:tl2br w:val="nil"/>
              <w:tr2bl w:val="nil"/>
            </w:tcBorders>
            <w:shd w:val="clear" w:color="auto" w:fill="auto"/>
            <w:noWrap/>
            <w:tcMar>
              <w:top w:w="15" w:type="dxa"/>
              <w:left w:w="15" w:type="dxa"/>
              <w:right w:w="15" w:type="dxa"/>
            </w:tcMar>
            <w:vAlign w:val="center"/>
          </w:tcPr>
          <w:p w14:paraId="505433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SJG-JJ-8</w:t>
            </w:r>
          </w:p>
        </w:tc>
        <w:tc>
          <w:tcPr>
            <w:tcW w:w="823" w:type="pct"/>
            <w:tcBorders>
              <w:top w:val="single" w:color="auto" w:sz="12" w:space="0"/>
              <w:tl2br w:val="nil"/>
              <w:tr2bl w:val="nil"/>
            </w:tcBorders>
            <w:shd w:val="clear" w:color="auto" w:fill="auto"/>
            <w:noWrap/>
            <w:tcMar>
              <w:top w:w="15" w:type="dxa"/>
              <w:left w:w="15" w:type="dxa"/>
              <w:right w:w="15" w:type="dxa"/>
            </w:tcMar>
            <w:vAlign w:val="center"/>
          </w:tcPr>
          <w:p w14:paraId="7EA925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企业聚集区北侧</w:t>
            </w:r>
          </w:p>
        </w:tc>
        <w:tc>
          <w:tcPr>
            <w:tcW w:w="276" w:type="pct"/>
            <w:tcBorders>
              <w:top w:val="single" w:color="auto" w:sz="12" w:space="0"/>
              <w:tl2br w:val="nil"/>
              <w:tr2bl w:val="nil"/>
            </w:tcBorders>
            <w:shd w:val="clear" w:color="auto" w:fill="auto"/>
            <w:noWrap/>
            <w:tcMar>
              <w:top w:w="15" w:type="dxa"/>
              <w:left w:w="15" w:type="dxa"/>
              <w:right w:w="15" w:type="dxa"/>
            </w:tcMar>
            <w:vAlign w:val="center"/>
          </w:tcPr>
          <w:p w14:paraId="0C72CE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0.3</w:t>
            </w:r>
          </w:p>
        </w:tc>
        <w:tc>
          <w:tcPr>
            <w:tcW w:w="489" w:type="pct"/>
            <w:tcBorders>
              <w:top w:val="single" w:color="auto" w:sz="12" w:space="0"/>
              <w:tl2br w:val="nil"/>
              <w:tr2bl w:val="nil"/>
            </w:tcBorders>
            <w:shd w:val="clear" w:color="auto" w:fill="auto"/>
            <w:noWrap/>
            <w:tcMar>
              <w:top w:w="15" w:type="dxa"/>
              <w:left w:w="15" w:type="dxa"/>
              <w:right w:w="15" w:type="dxa"/>
            </w:tcMar>
            <w:vAlign w:val="center"/>
          </w:tcPr>
          <w:p w14:paraId="41A069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2.3</w:t>
            </w:r>
          </w:p>
        </w:tc>
        <w:tc>
          <w:tcPr>
            <w:tcW w:w="365" w:type="pct"/>
            <w:tcBorders>
              <w:top w:val="single" w:color="auto" w:sz="12" w:space="0"/>
              <w:tl2br w:val="nil"/>
              <w:tr2bl w:val="nil"/>
            </w:tcBorders>
            <w:shd w:val="clear" w:color="auto" w:fill="auto"/>
            <w:noWrap/>
            <w:tcMar>
              <w:top w:w="15" w:type="dxa"/>
              <w:left w:w="15" w:type="dxa"/>
              <w:right w:w="15" w:type="dxa"/>
            </w:tcMar>
            <w:vAlign w:val="center"/>
          </w:tcPr>
          <w:p w14:paraId="1E7718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2.3</w:t>
            </w:r>
          </w:p>
        </w:tc>
        <w:tc>
          <w:tcPr>
            <w:tcW w:w="427" w:type="pct"/>
            <w:tcBorders>
              <w:top w:val="single" w:color="auto" w:sz="12" w:space="0"/>
              <w:tl2br w:val="nil"/>
              <w:tr2bl w:val="nil"/>
            </w:tcBorders>
            <w:shd w:val="clear" w:color="auto" w:fill="auto"/>
            <w:noWrap/>
            <w:tcMar>
              <w:top w:w="15" w:type="dxa"/>
              <w:left w:w="15" w:type="dxa"/>
              <w:right w:w="15" w:type="dxa"/>
            </w:tcMar>
            <w:vAlign w:val="center"/>
          </w:tcPr>
          <w:p w14:paraId="58C649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2.4</w:t>
            </w:r>
          </w:p>
        </w:tc>
        <w:tc>
          <w:tcPr>
            <w:tcW w:w="427" w:type="pct"/>
            <w:tcBorders>
              <w:top w:val="single" w:color="auto" w:sz="12" w:space="0"/>
              <w:tl2br w:val="nil"/>
              <w:tr2bl w:val="nil"/>
            </w:tcBorders>
            <w:shd w:val="clear" w:color="auto" w:fill="auto"/>
            <w:noWrap/>
            <w:tcMar>
              <w:top w:w="15" w:type="dxa"/>
              <w:left w:w="15" w:type="dxa"/>
              <w:right w:w="15" w:type="dxa"/>
            </w:tcMar>
            <w:vAlign w:val="center"/>
          </w:tcPr>
          <w:p w14:paraId="52569C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2.1</w:t>
            </w:r>
          </w:p>
        </w:tc>
        <w:tc>
          <w:tcPr>
            <w:tcW w:w="429" w:type="pct"/>
            <w:tcBorders>
              <w:top w:val="single" w:color="auto" w:sz="12" w:space="0"/>
              <w:tl2br w:val="nil"/>
              <w:tr2bl w:val="nil"/>
            </w:tcBorders>
            <w:shd w:val="clear" w:color="auto" w:fill="auto"/>
            <w:noWrap/>
            <w:tcMar>
              <w:top w:w="15" w:type="dxa"/>
              <w:left w:w="15" w:type="dxa"/>
              <w:right w:w="15" w:type="dxa"/>
            </w:tcMar>
            <w:vAlign w:val="center"/>
          </w:tcPr>
          <w:p w14:paraId="51A92A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2.2</w:t>
            </w:r>
          </w:p>
        </w:tc>
        <w:tc>
          <w:tcPr>
            <w:tcW w:w="628" w:type="pct"/>
            <w:tcBorders>
              <w:top w:val="single" w:color="auto" w:sz="12" w:space="0"/>
              <w:tl2br w:val="nil"/>
              <w:tr2bl w:val="nil"/>
            </w:tcBorders>
            <w:shd w:val="clear" w:color="auto" w:fill="auto"/>
            <w:noWrap/>
            <w:tcMar>
              <w:top w:w="15" w:type="dxa"/>
              <w:left w:w="15" w:type="dxa"/>
              <w:right w:w="15" w:type="dxa"/>
            </w:tcMar>
            <w:vAlign w:val="center"/>
          </w:tcPr>
          <w:p w14:paraId="7E5748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1.1</w:t>
            </w:r>
          </w:p>
        </w:tc>
        <w:tc>
          <w:tcPr>
            <w:tcW w:w="459" w:type="pct"/>
            <w:tcBorders>
              <w:top w:val="single" w:color="auto" w:sz="12" w:space="0"/>
              <w:tl2br w:val="nil"/>
              <w:tr2bl w:val="nil"/>
            </w:tcBorders>
            <w:shd w:val="clear" w:color="auto" w:fill="auto"/>
            <w:noWrap/>
            <w:tcMar>
              <w:top w:w="15" w:type="dxa"/>
              <w:left w:w="15" w:type="dxa"/>
              <w:right w:w="15" w:type="dxa"/>
            </w:tcMar>
            <w:vAlign w:val="center"/>
          </w:tcPr>
          <w:p w14:paraId="34B38E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0.4</w:t>
            </w:r>
          </w:p>
        </w:tc>
      </w:tr>
      <w:tr w14:paraId="2F5445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94" w:type="pct"/>
            <w:tcBorders>
              <w:tl2br w:val="nil"/>
              <w:tr2bl w:val="nil"/>
            </w:tcBorders>
            <w:shd w:val="clear" w:color="auto" w:fill="auto"/>
            <w:noWrap/>
            <w:tcMar>
              <w:top w:w="15" w:type="dxa"/>
              <w:left w:w="15" w:type="dxa"/>
              <w:right w:w="15" w:type="dxa"/>
            </w:tcMar>
            <w:vAlign w:val="center"/>
          </w:tcPr>
          <w:p w14:paraId="1837F6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2</w:t>
            </w:r>
          </w:p>
        </w:tc>
        <w:tc>
          <w:tcPr>
            <w:tcW w:w="476" w:type="pct"/>
            <w:tcBorders>
              <w:tl2br w:val="nil"/>
              <w:tr2bl w:val="nil"/>
            </w:tcBorders>
            <w:shd w:val="clear" w:color="auto" w:fill="auto"/>
            <w:noWrap/>
            <w:tcMar>
              <w:top w:w="15" w:type="dxa"/>
              <w:left w:w="15" w:type="dxa"/>
              <w:right w:w="15" w:type="dxa"/>
            </w:tcMar>
            <w:vAlign w:val="center"/>
          </w:tcPr>
          <w:p w14:paraId="228E59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SJG-JJ-9</w:t>
            </w:r>
          </w:p>
        </w:tc>
        <w:tc>
          <w:tcPr>
            <w:tcW w:w="823" w:type="pct"/>
            <w:tcBorders>
              <w:tl2br w:val="nil"/>
              <w:tr2bl w:val="nil"/>
            </w:tcBorders>
            <w:shd w:val="clear" w:color="auto" w:fill="auto"/>
            <w:tcMar>
              <w:top w:w="15" w:type="dxa"/>
              <w:left w:w="15" w:type="dxa"/>
              <w:right w:w="15" w:type="dxa"/>
            </w:tcMar>
            <w:vAlign w:val="center"/>
          </w:tcPr>
          <w:p w14:paraId="131F82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企业聚集区南侧</w:t>
            </w:r>
          </w:p>
        </w:tc>
        <w:tc>
          <w:tcPr>
            <w:tcW w:w="276" w:type="pct"/>
            <w:tcBorders>
              <w:tl2br w:val="nil"/>
              <w:tr2bl w:val="nil"/>
            </w:tcBorders>
            <w:shd w:val="clear" w:color="auto" w:fill="auto"/>
            <w:noWrap/>
            <w:tcMar>
              <w:top w:w="15" w:type="dxa"/>
              <w:left w:w="15" w:type="dxa"/>
              <w:right w:w="15" w:type="dxa"/>
            </w:tcMar>
            <w:vAlign w:val="center"/>
          </w:tcPr>
          <w:p w14:paraId="679239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&lt;0.09</w:t>
            </w:r>
          </w:p>
        </w:tc>
        <w:tc>
          <w:tcPr>
            <w:tcW w:w="489" w:type="pct"/>
            <w:tcBorders>
              <w:tl2br w:val="nil"/>
              <w:tr2bl w:val="nil"/>
            </w:tcBorders>
            <w:shd w:val="clear" w:color="auto" w:fill="auto"/>
            <w:noWrap/>
            <w:tcMar>
              <w:top w:w="15" w:type="dxa"/>
              <w:left w:w="15" w:type="dxa"/>
              <w:right w:w="15" w:type="dxa"/>
            </w:tcMar>
            <w:vAlign w:val="center"/>
          </w:tcPr>
          <w:p w14:paraId="54E2B1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0.1</w:t>
            </w:r>
          </w:p>
        </w:tc>
        <w:tc>
          <w:tcPr>
            <w:tcW w:w="365" w:type="pct"/>
            <w:tcBorders>
              <w:tl2br w:val="nil"/>
              <w:tr2bl w:val="nil"/>
            </w:tcBorders>
            <w:shd w:val="clear" w:color="auto" w:fill="auto"/>
            <w:noWrap/>
            <w:tcMar>
              <w:top w:w="15" w:type="dxa"/>
              <w:left w:w="15" w:type="dxa"/>
              <w:right w:w="15" w:type="dxa"/>
            </w:tcMar>
            <w:vAlign w:val="center"/>
          </w:tcPr>
          <w:p w14:paraId="56900F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0.4</w:t>
            </w:r>
          </w:p>
        </w:tc>
        <w:tc>
          <w:tcPr>
            <w:tcW w:w="427" w:type="pct"/>
            <w:tcBorders>
              <w:tl2br w:val="nil"/>
              <w:tr2bl w:val="nil"/>
            </w:tcBorders>
            <w:shd w:val="clear" w:color="auto" w:fill="auto"/>
            <w:noWrap/>
            <w:tcMar>
              <w:top w:w="15" w:type="dxa"/>
              <w:left w:w="15" w:type="dxa"/>
              <w:right w:w="15" w:type="dxa"/>
            </w:tcMar>
            <w:vAlign w:val="center"/>
          </w:tcPr>
          <w:p w14:paraId="6BCAD8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0.6</w:t>
            </w:r>
          </w:p>
        </w:tc>
        <w:tc>
          <w:tcPr>
            <w:tcW w:w="427" w:type="pct"/>
            <w:tcBorders>
              <w:tl2br w:val="nil"/>
              <w:tr2bl w:val="nil"/>
            </w:tcBorders>
            <w:shd w:val="clear" w:color="auto" w:fill="auto"/>
            <w:noWrap/>
            <w:tcMar>
              <w:top w:w="15" w:type="dxa"/>
              <w:left w:w="15" w:type="dxa"/>
              <w:right w:w="15" w:type="dxa"/>
            </w:tcMar>
            <w:vAlign w:val="center"/>
          </w:tcPr>
          <w:p w14:paraId="0F2F73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0.2</w:t>
            </w:r>
          </w:p>
        </w:tc>
        <w:tc>
          <w:tcPr>
            <w:tcW w:w="429" w:type="pct"/>
            <w:tcBorders>
              <w:tl2br w:val="nil"/>
              <w:tr2bl w:val="nil"/>
            </w:tcBorders>
            <w:shd w:val="clear" w:color="auto" w:fill="auto"/>
            <w:noWrap/>
            <w:tcMar>
              <w:top w:w="15" w:type="dxa"/>
              <w:left w:w="15" w:type="dxa"/>
              <w:right w:w="15" w:type="dxa"/>
            </w:tcMar>
            <w:vAlign w:val="center"/>
          </w:tcPr>
          <w:p w14:paraId="141140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0.3</w:t>
            </w:r>
          </w:p>
        </w:tc>
        <w:tc>
          <w:tcPr>
            <w:tcW w:w="628" w:type="pct"/>
            <w:tcBorders>
              <w:tl2br w:val="nil"/>
              <w:tr2bl w:val="nil"/>
            </w:tcBorders>
            <w:shd w:val="clear" w:color="auto" w:fill="auto"/>
            <w:noWrap/>
            <w:tcMar>
              <w:top w:w="15" w:type="dxa"/>
              <w:left w:w="15" w:type="dxa"/>
              <w:right w:w="15" w:type="dxa"/>
            </w:tcMar>
            <w:vAlign w:val="center"/>
          </w:tcPr>
          <w:p w14:paraId="3FE4D9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0.4</w:t>
            </w:r>
          </w:p>
        </w:tc>
        <w:tc>
          <w:tcPr>
            <w:tcW w:w="459" w:type="pct"/>
            <w:tcBorders>
              <w:tl2br w:val="nil"/>
              <w:tr2bl w:val="nil"/>
            </w:tcBorders>
            <w:shd w:val="clear" w:color="auto" w:fill="auto"/>
            <w:noWrap/>
            <w:tcMar>
              <w:top w:w="15" w:type="dxa"/>
              <w:left w:w="15" w:type="dxa"/>
              <w:right w:w="15" w:type="dxa"/>
            </w:tcMar>
            <w:vAlign w:val="center"/>
          </w:tcPr>
          <w:p w14:paraId="6DC5F6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0.1</w:t>
            </w:r>
          </w:p>
        </w:tc>
      </w:tr>
      <w:tr w14:paraId="05C885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495" w:type="pct"/>
            <w:gridSpan w:val="3"/>
            <w:tcBorders>
              <w:tl2br w:val="nil"/>
              <w:tr2bl w:val="nil"/>
            </w:tcBorders>
            <w:shd w:val="clear" w:color="auto" w:fill="auto"/>
            <w:noWrap/>
            <w:tcMar>
              <w:top w:w="15" w:type="dxa"/>
              <w:left w:w="15" w:type="dxa"/>
              <w:right w:w="15" w:type="dxa"/>
            </w:tcMar>
            <w:vAlign w:val="center"/>
          </w:tcPr>
          <w:p w14:paraId="13D7CB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eastAsia" w:cs="Times New Roman"/>
                <w:b w:val="0"/>
                <w:bCs/>
                <w:i w:val="0"/>
                <w:color w:val="000000"/>
                <w:kern w:val="0"/>
                <w:sz w:val="21"/>
                <w:szCs w:val="21"/>
                <w:u w:val="none"/>
                <w:lang w:val="en-US" w:eastAsia="zh-CN" w:bidi="ar"/>
              </w:rPr>
              <w:t>GB36600</w:t>
            </w:r>
            <w:r>
              <w:rPr>
                <w:rFonts w:hint="default" w:ascii="Times New Roman" w:hAnsi="Times New Roman" w:eastAsia="宋体" w:cs="Times New Roman"/>
                <w:b w:val="0"/>
                <w:bCs/>
                <w:i w:val="0"/>
                <w:color w:val="000000"/>
                <w:kern w:val="0"/>
                <w:sz w:val="21"/>
                <w:szCs w:val="21"/>
                <w:u w:val="none"/>
                <w:lang w:val="en-US" w:eastAsia="zh-CN" w:bidi="ar"/>
              </w:rPr>
              <w:t>第二类用地筛选值</w:t>
            </w:r>
          </w:p>
        </w:tc>
        <w:tc>
          <w:tcPr>
            <w:tcW w:w="276" w:type="pct"/>
            <w:tcBorders>
              <w:tl2br w:val="nil"/>
              <w:tr2bl w:val="nil"/>
            </w:tcBorders>
            <w:shd w:val="clear" w:color="auto" w:fill="auto"/>
            <w:noWrap/>
            <w:tcMar>
              <w:top w:w="15" w:type="dxa"/>
              <w:left w:w="15" w:type="dxa"/>
              <w:right w:w="15" w:type="dxa"/>
            </w:tcMar>
            <w:vAlign w:val="center"/>
          </w:tcPr>
          <w:p w14:paraId="200E9D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70</w:t>
            </w:r>
          </w:p>
        </w:tc>
        <w:tc>
          <w:tcPr>
            <w:tcW w:w="489" w:type="pct"/>
            <w:tcBorders>
              <w:tl2br w:val="nil"/>
              <w:tr2bl w:val="nil"/>
            </w:tcBorders>
            <w:shd w:val="clear" w:color="auto" w:fill="auto"/>
            <w:noWrap/>
            <w:tcMar>
              <w:top w:w="15" w:type="dxa"/>
              <w:left w:w="15" w:type="dxa"/>
              <w:right w:w="15" w:type="dxa"/>
            </w:tcMar>
            <w:vAlign w:val="center"/>
          </w:tcPr>
          <w:p w14:paraId="0A163E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15</w:t>
            </w:r>
          </w:p>
        </w:tc>
        <w:tc>
          <w:tcPr>
            <w:tcW w:w="365" w:type="pct"/>
            <w:tcBorders>
              <w:tl2br w:val="nil"/>
              <w:tr2bl w:val="nil"/>
            </w:tcBorders>
            <w:shd w:val="clear" w:color="auto" w:fill="auto"/>
            <w:noWrap/>
            <w:tcMar>
              <w:top w:w="15" w:type="dxa"/>
              <w:left w:w="15" w:type="dxa"/>
              <w:right w:w="15" w:type="dxa"/>
            </w:tcMar>
            <w:vAlign w:val="center"/>
          </w:tcPr>
          <w:p w14:paraId="0B4768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1293</w:t>
            </w:r>
          </w:p>
        </w:tc>
        <w:tc>
          <w:tcPr>
            <w:tcW w:w="427" w:type="pct"/>
            <w:tcBorders>
              <w:tl2br w:val="nil"/>
              <w:tr2bl w:val="nil"/>
            </w:tcBorders>
            <w:shd w:val="clear" w:color="auto" w:fill="auto"/>
            <w:noWrap/>
            <w:tcMar>
              <w:top w:w="15" w:type="dxa"/>
              <w:left w:w="15" w:type="dxa"/>
              <w:right w:w="15" w:type="dxa"/>
            </w:tcMar>
            <w:vAlign w:val="center"/>
          </w:tcPr>
          <w:p w14:paraId="2697B5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15</w:t>
            </w:r>
          </w:p>
        </w:tc>
        <w:tc>
          <w:tcPr>
            <w:tcW w:w="427" w:type="pct"/>
            <w:tcBorders>
              <w:tl2br w:val="nil"/>
              <w:tr2bl w:val="nil"/>
            </w:tcBorders>
            <w:shd w:val="clear" w:color="auto" w:fill="auto"/>
            <w:noWrap/>
            <w:tcMar>
              <w:top w:w="15" w:type="dxa"/>
              <w:left w:w="15" w:type="dxa"/>
              <w:right w:w="15" w:type="dxa"/>
            </w:tcMar>
            <w:vAlign w:val="center"/>
          </w:tcPr>
          <w:p w14:paraId="316D9F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151</w:t>
            </w:r>
          </w:p>
        </w:tc>
        <w:tc>
          <w:tcPr>
            <w:tcW w:w="429" w:type="pct"/>
            <w:tcBorders>
              <w:tl2br w:val="nil"/>
              <w:tr2bl w:val="nil"/>
            </w:tcBorders>
            <w:shd w:val="clear" w:color="auto" w:fill="auto"/>
            <w:noWrap/>
            <w:tcMar>
              <w:top w:w="15" w:type="dxa"/>
              <w:left w:w="15" w:type="dxa"/>
              <w:right w:w="15" w:type="dxa"/>
            </w:tcMar>
            <w:vAlign w:val="center"/>
          </w:tcPr>
          <w:p w14:paraId="08F60E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1.5</w:t>
            </w:r>
          </w:p>
        </w:tc>
        <w:tc>
          <w:tcPr>
            <w:tcW w:w="628" w:type="pct"/>
            <w:tcBorders>
              <w:tl2br w:val="nil"/>
              <w:tr2bl w:val="nil"/>
            </w:tcBorders>
            <w:shd w:val="clear" w:color="auto" w:fill="auto"/>
            <w:noWrap/>
            <w:tcMar>
              <w:top w:w="15" w:type="dxa"/>
              <w:left w:w="15" w:type="dxa"/>
              <w:right w:w="15" w:type="dxa"/>
            </w:tcMar>
            <w:vAlign w:val="center"/>
          </w:tcPr>
          <w:p w14:paraId="36B057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15</w:t>
            </w:r>
          </w:p>
        </w:tc>
        <w:tc>
          <w:tcPr>
            <w:tcW w:w="459" w:type="pct"/>
            <w:tcBorders>
              <w:tl2br w:val="nil"/>
              <w:tr2bl w:val="nil"/>
            </w:tcBorders>
            <w:shd w:val="clear" w:color="auto" w:fill="auto"/>
            <w:noWrap/>
            <w:tcMar>
              <w:top w:w="15" w:type="dxa"/>
              <w:left w:w="15" w:type="dxa"/>
              <w:right w:w="15" w:type="dxa"/>
            </w:tcMar>
            <w:vAlign w:val="center"/>
          </w:tcPr>
          <w:p w14:paraId="14084D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1.5</w:t>
            </w:r>
          </w:p>
        </w:tc>
      </w:tr>
      <w:tr w14:paraId="3E7A93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495" w:type="pct"/>
            <w:gridSpan w:val="3"/>
            <w:tcBorders>
              <w:tl2br w:val="nil"/>
              <w:tr2bl w:val="nil"/>
            </w:tcBorders>
            <w:shd w:val="clear" w:color="auto" w:fill="auto"/>
            <w:noWrap/>
            <w:tcMar>
              <w:top w:w="15" w:type="dxa"/>
              <w:left w:w="15" w:type="dxa"/>
              <w:right w:w="15" w:type="dxa"/>
            </w:tcMar>
            <w:vAlign w:val="center"/>
          </w:tcPr>
          <w:p w14:paraId="119804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达标情况</w:t>
            </w:r>
          </w:p>
        </w:tc>
        <w:tc>
          <w:tcPr>
            <w:tcW w:w="276" w:type="pct"/>
            <w:tcBorders>
              <w:tl2br w:val="nil"/>
              <w:tr2bl w:val="nil"/>
            </w:tcBorders>
            <w:shd w:val="clear" w:color="auto" w:fill="auto"/>
            <w:noWrap/>
            <w:tcMar>
              <w:top w:w="15" w:type="dxa"/>
              <w:left w:w="15" w:type="dxa"/>
              <w:right w:w="15" w:type="dxa"/>
            </w:tcMar>
            <w:vAlign w:val="center"/>
          </w:tcPr>
          <w:p w14:paraId="2DFD7C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w:t>
            </w:r>
          </w:p>
        </w:tc>
        <w:tc>
          <w:tcPr>
            <w:tcW w:w="489" w:type="pct"/>
            <w:tcBorders>
              <w:tl2br w:val="nil"/>
              <w:tr2bl w:val="nil"/>
            </w:tcBorders>
            <w:shd w:val="clear" w:color="auto" w:fill="auto"/>
            <w:noWrap/>
            <w:tcMar>
              <w:top w:w="15" w:type="dxa"/>
              <w:left w:w="15" w:type="dxa"/>
              <w:right w:w="15" w:type="dxa"/>
            </w:tcMar>
            <w:vAlign w:val="center"/>
          </w:tcPr>
          <w:p w14:paraId="3FFC07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w:t>
            </w:r>
          </w:p>
        </w:tc>
        <w:tc>
          <w:tcPr>
            <w:tcW w:w="365" w:type="pct"/>
            <w:tcBorders>
              <w:tl2br w:val="nil"/>
              <w:tr2bl w:val="nil"/>
            </w:tcBorders>
            <w:shd w:val="clear" w:color="auto" w:fill="auto"/>
            <w:noWrap/>
            <w:tcMar>
              <w:top w:w="15" w:type="dxa"/>
              <w:left w:w="15" w:type="dxa"/>
              <w:right w:w="15" w:type="dxa"/>
            </w:tcMar>
            <w:vAlign w:val="center"/>
          </w:tcPr>
          <w:p w14:paraId="364EA7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w:t>
            </w:r>
          </w:p>
        </w:tc>
        <w:tc>
          <w:tcPr>
            <w:tcW w:w="427" w:type="pct"/>
            <w:tcBorders>
              <w:tl2br w:val="nil"/>
              <w:tr2bl w:val="nil"/>
            </w:tcBorders>
            <w:shd w:val="clear" w:color="auto" w:fill="auto"/>
            <w:noWrap/>
            <w:tcMar>
              <w:top w:w="15" w:type="dxa"/>
              <w:left w:w="15" w:type="dxa"/>
              <w:right w:w="15" w:type="dxa"/>
            </w:tcMar>
            <w:vAlign w:val="center"/>
          </w:tcPr>
          <w:p w14:paraId="6D56C2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w:t>
            </w:r>
          </w:p>
        </w:tc>
        <w:tc>
          <w:tcPr>
            <w:tcW w:w="427" w:type="pct"/>
            <w:tcBorders>
              <w:tl2br w:val="nil"/>
              <w:tr2bl w:val="nil"/>
            </w:tcBorders>
            <w:shd w:val="clear" w:color="auto" w:fill="auto"/>
            <w:noWrap/>
            <w:tcMar>
              <w:top w:w="15" w:type="dxa"/>
              <w:left w:w="15" w:type="dxa"/>
              <w:right w:w="15" w:type="dxa"/>
            </w:tcMar>
            <w:vAlign w:val="center"/>
          </w:tcPr>
          <w:p w14:paraId="414993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w:t>
            </w:r>
          </w:p>
        </w:tc>
        <w:tc>
          <w:tcPr>
            <w:tcW w:w="429" w:type="pct"/>
            <w:tcBorders>
              <w:tl2br w:val="nil"/>
              <w:tr2bl w:val="nil"/>
            </w:tcBorders>
            <w:shd w:val="clear" w:color="auto" w:fill="auto"/>
            <w:noWrap/>
            <w:tcMar>
              <w:top w:w="15" w:type="dxa"/>
              <w:left w:w="15" w:type="dxa"/>
              <w:right w:w="15" w:type="dxa"/>
            </w:tcMar>
            <w:vAlign w:val="center"/>
          </w:tcPr>
          <w:p w14:paraId="2C88F4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u w:val="none"/>
              </w:rPr>
            </w:pPr>
            <w:r>
              <w:rPr>
                <w:rFonts w:hint="default" w:ascii="Times New Roman" w:hAnsi="Times New Roman" w:eastAsia="宋体" w:cs="Times New Roman"/>
                <w:b/>
                <w:bCs w:val="0"/>
                <w:i w:val="0"/>
                <w:color w:val="000000"/>
                <w:kern w:val="0"/>
                <w:sz w:val="21"/>
                <w:szCs w:val="21"/>
                <w:u w:val="none"/>
                <w:lang w:val="en-US" w:eastAsia="zh-CN" w:bidi="ar"/>
              </w:rPr>
              <w:t>超标</w:t>
            </w:r>
          </w:p>
        </w:tc>
        <w:tc>
          <w:tcPr>
            <w:tcW w:w="628" w:type="pct"/>
            <w:tcBorders>
              <w:tl2br w:val="nil"/>
              <w:tr2bl w:val="nil"/>
            </w:tcBorders>
            <w:shd w:val="clear" w:color="auto" w:fill="auto"/>
            <w:noWrap/>
            <w:tcMar>
              <w:top w:w="15" w:type="dxa"/>
              <w:left w:w="15" w:type="dxa"/>
              <w:right w:w="15" w:type="dxa"/>
            </w:tcMar>
            <w:vAlign w:val="center"/>
          </w:tcPr>
          <w:p w14:paraId="23F7EC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w:t>
            </w:r>
          </w:p>
        </w:tc>
        <w:tc>
          <w:tcPr>
            <w:tcW w:w="459" w:type="pct"/>
            <w:tcBorders>
              <w:tl2br w:val="nil"/>
              <w:tr2bl w:val="nil"/>
            </w:tcBorders>
            <w:shd w:val="clear" w:color="auto" w:fill="auto"/>
            <w:noWrap/>
            <w:tcMar>
              <w:top w:w="15" w:type="dxa"/>
              <w:left w:w="15" w:type="dxa"/>
              <w:right w:w="15" w:type="dxa"/>
            </w:tcMar>
            <w:vAlign w:val="center"/>
          </w:tcPr>
          <w:p w14:paraId="4532F5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color w:val="000000"/>
                <w:sz w:val="21"/>
                <w:szCs w:val="21"/>
                <w:u w:val="none"/>
              </w:rPr>
            </w:pPr>
            <w:r>
              <w:rPr>
                <w:rFonts w:hint="default" w:ascii="Times New Roman" w:hAnsi="Times New Roman" w:eastAsia="宋体" w:cs="Times New Roman"/>
                <w:b w:val="0"/>
                <w:bCs/>
                <w:i w:val="0"/>
                <w:color w:val="000000"/>
                <w:kern w:val="0"/>
                <w:sz w:val="21"/>
                <w:szCs w:val="21"/>
                <w:u w:val="none"/>
                <w:lang w:val="en-US" w:eastAsia="zh-CN" w:bidi="ar"/>
              </w:rPr>
              <w:t>达标</w:t>
            </w:r>
          </w:p>
        </w:tc>
      </w:tr>
    </w:tbl>
    <w:p w14:paraId="4E22A2B4">
      <w:pPr>
        <w:numPr>
          <w:ilvl w:val="0"/>
          <w:numId w:val="0"/>
        </w:numPr>
        <w:spacing w:line="360" w:lineRule="auto"/>
        <w:ind w:firstLine="420" w:firstLineChars="0"/>
        <w:rPr>
          <w:rFonts w:hint="default"/>
          <w:lang w:val="en-US" w:eastAsia="zh-CN"/>
        </w:rPr>
      </w:pPr>
      <w:r>
        <w:rPr>
          <w:rFonts w:hint="default" w:ascii="Times New Roman" w:hAnsi="Times New Roman" w:cs="Times New Roman"/>
          <w:highlight w:val="none"/>
          <w:lang w:eastAsia="zh-CN"/>
        </w:rPr>
        <w:t>由上表可知，</w:t>
      </w:r>
      <w:r>
        <w:rPr>
          <w:rFonts w:hint="default" w:ascii="Times New Roman" w:hAnsi="Times New Roman" w:cs="Times New Roman"/>
          <w:highlight w:val="none"/>
          <w:lang w:val="en-US" w:eastAsia="zh-CN"/>
        </w:rPr>
        <w:t>除</w:t>
      </w:r>
      <w:r>
        <w:rPr>
          <w:rFonts w:hint="default" w:ascii="Times New Roman" w:hAnsi="Times New Roman" w:cs="Times New Roman"/>
          <w:highlight w:val="none"/>
          <w:lang w:eastAsia="zh-CN"/>
        </w:rPr>
        <w:t>SJG-JJ-8点位苯并（a）芘高于《土壤环境质量 建设用地土壤污染风险管控标准（试行）》（GB36600-2018）第二类建设用地筛选值且未超过第二类用地管制值</w:t>
      </w:r>
      <w:r>
        <w:rPr>
          <w:rFonts w:hint="default" w:ascii="Times New Roman" w:hAnsi="Times New Roman" w:cs="Times New Roman"/>
          <w:highlight w:val="none"/>
          <w:lang w:val="en-US" w:eastAsia="zh-CN"/>
        </w:rPr>
        <w:t>外</w:t>
      </w:r>
      <w:r>
        <w:rPr>
          <w:rFonts w:hint="default" w:ascii="Times New Roman" w:hAnsi="Times New Roman" w:cs="Times New Roman"/>
          <w:highlight w:val="none"/>
          <w:lang w:eastAsia="zh-CN"/>
        </w:rPr>
        <w:t>，其他</w:t>
      </w:r>
      <w:r>
        <w:rPr>
          <w:rFonts w:hint="default" w:ascii="Times New Roman" w:hAnsi="Times New Roman" w:cs="Times New Roman"/>
          <w:highlight w:val="none"/>
          <w:lang w:val="en-US" w:eastAsia="zh-CN"/>
        </w:rPr>
        <w:t>各点位</w:t>
      </w:r>
      <w:r>
        <w:rPr>
          <w:rFonts w:hint="default" w:ascii="Times New Roman" w:hAnsi="Times New Roman" w:cs="Times New Roman"/>
          <w:highlight w:val="none"/>
          <w:lang w:eastAsia="zh-CN"/>
        </w:rPr>
        <w:t>指标均满足《土壤环境质量 建设用地土壤污染风险管控标准（试行）》（-2018）标准要求。</w:t>
      </w:r>
    </w:p>
    <w:p w14:paraId="054BBF74">
      <w:pPr>
        <w:pStyle w:val="5"/>
        <w:tabs>
          <w:tab w:val="left" w:pos="425"/>
        </w:tabs>
        <w:bidi w:val="0"/>
        <w:rPr>
          <w:rFonts w:hint="default" w:ascii="Times New Roman" w:hAnsi="Times New Roman" w:cs="Times New Roman"/>
          <w:color w:val="auto"/>
          <w:highlight w:val="none"/>
          <w:lang w:eastAsia="zh-CN"/>
        </w:rPr>
      </w:pPr>
      <w:r>
        <w:rPr>
          <w:rFonts w:hint="default" w:cs="Times New Roman"/>
          <w:color w:val="auto"/>
          <w:highlight w:val="none"/>
          <w:lang w:val="en-US" w:eastAsia="zh-CN"/>
        </w:rPr>
        <w:t>补充采样及结果</w:t>
      </w:r>
    </w:p>
    <w:p w14:paraId="4E2FF855">
      <w:pPr>
        <w:bidi w:val="0"/>
        <w:ind w:firstLine="420" w:firstLineChars="0"/>
        <w:rPr>
          <w:rFonts w:hint="default" w:ascii="Times New Roman" w:hAnsi="Times New Roman" w:eastAsia="宋体" w:cs="Times New Roman"/>
        </w:rPr>
      </w:pPr>
      <w:r>
        <w:rPr>
          <w:rFonts w:hint="default" w:ascii="Times New Roman" w:hAnsi="Times New Roman" w:eastAsia="宋体" w:cs="Times New Roman"/>
        </w:rPr>
        <w:t>本园区土壤超标点位SJG-JJ-8为孤立点位，该点位土壤样品来源于</w:t>
      </w:r>
      <w:r>
        <w:rPr>
          <w:rFonts w:hint="eastAsia" w:cs="Times New Roman"/>
          <w:lang w:eastAsia="zh-CN"/>
        </w:rPr>
        <w:t>表层（0-0.5m）</w:t>
      </w:r>
      <w:r>
        <w:rPr>
          <w:rFonts w:hint="default" w:ascii="Times New Roman" w:hAnsi="Times New Roman" w:eastAsia="宋体" w:cs="Times New Roman"/>
        </w:rPr>
        <w:t>杂填土。该点位第一阶段采样单一类型的污染物苯并(a)芘指标超过</w:t>
      </w:r>
      <w:r>
        <w:rPr>
          <w:rFonts w:eastAsiaTheme="minorEastAsia"/>
        </w:rPr>
        <w:t>《土壤环境质量建设用地土壤污染风险管控标准（试行）（GB36600-2018）》</w:t>
      </w:r>
      <w:r>
        <w:rPr>
          <w:rFonts w:hint="default" w:ascii="Times New Roman" w:hAnsi="Times New Roman" w:eastAsia="宋体" w:cs="Times New Roman"/>
        </w:rPr>
        <w:t>第</w:t>
      </w:r>
      <w:r>
        <w:rPr>
          <w:rFonts w:hint="eastAsia" w:cs="Times New Roman"/>
          <w:lang w:val="en-US" w:eastAsia="zh-CN"/>
        </w:rPr>
        <w:t>二</w:t>
      </w:r>
      <w:r>
        <w:rPr>
          <w:rFonts w:hint="default" w:ascii="Times New Roman" w:hAnsi="Times New Roman" w:eastAsia="宋体" w:cs="Times New Roman"/>
        </w:rPr>
        <w:t>类用地筛选值，与园区内其他点位污染物检测值存在较大差异（园区内其他点位均达标）</w:t>
      </w:r>
      <w:r>
        <w:rPr>
          <w:rFonts w:hint="eastAsia" w:cs="Times New Roman"/>
          <w:lang w:eastAsia="zh-CN"/>
        </w:rPr>
        <w:t>。</w:t>
      </w:r>
      <w:r>
        <w:rPr>
          <w:rFonts w:hint="default" w:ascii="Times New Roman" w:hAnsi="Times New Roman" w:eastAsia="宋体" w:cs="Times New Roman"/>
        </w:rPr>
        <w:t>为进一步分析</w:t>
      </w:r>
      <w:r>
        <w:rPr>
          <w:rFonts w:hint="eastAsia" w:cs="Times New Roman"/>
          <w:lang w:val="en-US" w:eastAsia="zh-CN"/>
        </w:rPr>
        <w:t>该点位</w:t>
      </w:r>
      <w:r>
        <w:rPr>
          <w:rFonts w:hint="default" w:ascii="Times New Roman" w:hAnsi="Times New Roman" w:eastAsia="宋体" w:cs="Times New Roman"/>
        </w:rPr>
        <w:t>苯并(a)芘监测值</w:t>
      </w:r>
      <w:r>
        <w:rPr>
          <w:rFonts w:hint="eastAsia" w:cs="Times New Roman"/>
          <w:lang w:val="en-US" w:eastAsia="zh-CN"/>
        </w:rPr>
        <w:t>是否属于异常情况</w:t>
      </w:r>
      <w:r>
        <w:rPr>
          <w:rFonts w:hint="default" w:ascii="Times New Roman" w:hAnsi="Times New Roman" w:eastAsia="宋体" w:cs="Times New Roman"/>
        </w:rPr>
        <w:t>，我公司参考《上海市建设用地土壤污染状况调查、风险评估、风险管控与修复方案编制、风险管控与修复效果评估工作的补充规定（试行）》（沪环土（2020）62号）要求，于2020年11月17日前往三江港经济区进行补充采样。</w:t>
      </w:r>
    </w:p>
    <w:p w14:paraId="2FB0FB07">
      <w:pPr>
        <w:pStyle w:val="6"/>
        <w:numPr>
          <w:ilvl w:val="0"/>
          <w:numId w:val="0"/>
        </w:numPr>
        <w:bidi w:val="0"/>
        <w:spacing w:after="0"/>
        <w:ind w:left="851" w:hanging="709" w:firstLineChars="0"/>
        <w:jc w:val="left"/>
        <w:rPr>
          <w:rFonts w:hint="default" w:ascii="Times New Roman" w:hAnsi="Times New Roman" w:eastAsia="宋体" w:cs="Times New Roman"/>
          <w:color w:val="auto"/>
          <w:kern w:val="0"/>
          <w:highlight w:val="none"/>
          <w:lang w:eastAsia="zh-CN"/>
        </w:rPr>
      </w:pPr>
      <w:r>
        <w:rPr>
          <w:rFonts w:hint="eastAsia" w:cs="Times New Roman"/>
          <w:color w:val="auto"/>
          <w:kern w:val="0"/>
          <w:highlight w:val="none"/>
          <w:lang w:val="en-US" w:eastAsia="zh-CN"/>
        </w:rPr>
        <w:t xml:space="preserve">5.3.2.1. </w:t>
      </w:r>
      <w:r>
        <w:rPr>
          <w:rFonts w:hint="default" w:ascii="Times New Roman" w:hAnsi="Times New Roman" w:eastAsia="宋体" w:cs="Times New Roman"/>
          <w:color w:val="auto"/>
          <w:kern w:val="0"/>
          <w:highlight w:val="none"/>
          <w:lang w:val="en-US" w:eastAsia="zh-CN"/>
        </w:rPr>
        <w:t>补充布点方案</w:t>
      </w:r>
    </w:p>
    <w:p w14:paraId="034B9F37">
      <w:pPr>
        <w:numPr>
          <w:ilvl w:val="0"/>
          <w:numId w:val="0"/>
        </w:numPr>
        <w:spacing w:line="360" w:lineRule="auto"/>
        <w:ind w:leftChars="0" w:firstLine="420" w:firstLineChars="0"/>
        <w:rPr>
          <w:rFonts w:hint="default" w:ascii="Times New Roman" w:hAnsi="Times New Roman" w:cs="Times New Roman"/>
          <w:lang w:eastAsia="zh-CN"/>
        </w:rPr>
      </w:pPr>
      <w:r>
        <w:rPr>
          <w:rFonts w:hint="default" w:ascii="Times New Roman" w:hAnsi="Times New Roman" w:cs="Times New Roman"/>
          <w:lang w:eastAsia="zh-CN"/>
        </w:rPr>
        <w:t>土壤超标点位补充采样工作</w:t>
      </w:r>
      <w:r>
        <w:rPr>
          <w:rFonts w:hint="default" w:ascii="Times New Roman" w:hAnsi="Times New Roman" w:cs="Times New Roman"/>
          <w:lang w:val="en-US" w:eastAsia="zh-CN"/>
        </w:rPr>
        <w:t>布点方案</w:t>
      </w:r>
      <w:r>
        <w:rPr>
          <w:rFonts w:hint="default" w:ascii="Times New Roman" w:hAnsi="Times New Roman" w:cs="Times New Roman"/>
          <w:lang w:eastAsia="zh-CN"/>
        </w:rPr>
        <w:t>：</w:t>
      </w:r>
    </w:p>
    <w:p w14:paraId="7EC5013E">
      <w:pPr>
        <w:numPr>
          <w:ilvl w:val="0"/>
          <w:numId w:val="12"/>
        </w:numPr>
        <w:spacing w:line="360" w:lineRule="auto"/>
        <w:ind w:leftChars="0" w:firstLine="420" w:firstLineChars="0"/>
        <w:rPr>
          <w:rFonts w:hint="default" w:ascii="Times New Roman" w:hAnsi="Times New Roman" w:cs="Times New Roman"/>
        </w:rPr>
      </w:pPr>
      <w:r>
        <w:rPr>
          <w:rFonts w:hint="default" w:ascii="Times New Roman" w:hAnsi="Times New Roman" w:cs="Times New Roman"/>
          <w:lang w:val="en-US" w:eastAsia="zh-CN"/>
        </w:rPr>
        <w:t>点位位置：</w:t>
      </w:r>
      <w:r>
        <w:rPr>
          <w:rFonts w:hint="default" w:ascii="Times New Roman" w:hAnsi="Times New Roman" w:cs="Times New Roman"/>
        </w:rPr>
        <w:t>于</w:t>
      </w:r>
      <w:r>
        <w:rPr>
          <w:rFonts w:hint="default" w:ascii="Times New Roman" w:hAnsi="Times New Roman" w:cs="Times New Roman"/>
          <w:color w:val="000000"/>
          <w:sz w:val="24"/>
          <w:lang w:val="en-US" w:eastAsia="zh-CN"/>
        </w:rPr>
        <w:t>SJG-JJ-8原点位</w:t>
      </w:r>
      <w:r>
        <w:rPr>
          <w:rFonts w:hint="default" w:ascii="Times New Roman" w:hAnsi="Times New Roman" w:cs="Times New Roman"/>
        </w:rPr>
        <w:t>四个垂直轴向1m布设</w:t>
      </w:r>
      <w:r>
        <w:rPr>
          <w:rFonts w:hint="default" w:ascii="Times New Roman" w:hAnsi="Times New Roman" w:cs="Times New Roman"/>
          <w:lang w:val="en-US" w:eastAsia="zh-CN"/>
        </w:rPr>
        <w:t>4</w:t>
      </w:r>
      <w:r>
        <w:rPr>
          <w:rFonts w:hint="default" w:ascii="Times New Roman" w:hAnsi="Times New Roman" w:cs="Times New Roman"/>
        </w:rPr>
        <w:t>个采样点</w:t>
      </w:r>
      <w:r>
        <w:rPr>
          <w:rFonts w:hint="default" w:ascii="Times New Roman" w:hAnsi="Times New Roman" w:cs="Times New Roman"/>
          <w:lang w:eastAsia="zh-CN"/>
        </w:rPr>
        <w:t>；</w:t>
      </w:r>
      <w:r>
        <w:rPr>
          <w:rFonts w:hint="default" w:ascii="Times New Roman" w:hAnsi="Times New Roman" w:cs="Times New Roman"/>
          <w:lang w:val="en-US" w:eastAsia="zh-CN"/>
        </w:rPr>
        <w:t>于</w:t>
      </w:r>
      <w:r>
        <w:rPr>
          <w:rFonts w:hint="default" w:ascii="Times New Roman" w:hAnsi="Times New Roman" w:cs="Times New Roman"/>
          <w:color w:val="000000"/>
          <w:sz w:val="24"/>
          <w:lang w:val="en-US" w:eastAsia="zh-CN"/>
        </w:rPr>
        <w:t>SJG-JJ-8原点位旁约0.2m布设1个采样点；</w:t>
      </w:r>
    </w:p>
    <w:p w14:paraId="75E4C62F">
      <w:pPr>
        <w:numPr>
          <w:ilvl w:val="0"/>
          <w:numId w:val="12"/>
        </w:numPr>
        <w:spacing w:line="360" w:lineRule="auto"/>
        <w:ind w:leftChars="0" w:firstLine="420" w:firstLineChars="0"/>
        <w:rPr>
          <w:rFonts w:hint="default" w:ascii="Times New Roman" w:hAnsi="Times New Roman" w:cs="Times New Roman"/>
          <w:lang w:eastAsia="zh-CN"/>
        </w:rPr>
      </w:pPr>
      <w:r>
        <w:rPr>
          <w:rFonts w:hint="default" w:ascii="Times New Roman" w:hAnsi="Times New Roman" w:cs="Times New Roman"/>
          <w:lang w:val="en-US" w:eastAsia="zh-CN"/>
        </w:rPr>
        <w:t>采样深度：根据</w:t>
      </w:r>
      <w:r>
        <w:rPr>
          <w:rFonts w:hint="default" w:ascii="Times New Roman" w:hAnsi="Times New Roman" w:cs="Times New Roman"/>
          <w:lang w:eastAsia="zh-CN"/>
        </w:rPr>
        <w:t>沪环土（</w:t>
      </w:r>
      <w:r>
        <w:rPr>
          <w:rFonts w:hint="default" w:ascii="Times New Roman" w:hAnsi="Times New Roman" w:cs="Times New Roman"/>
          <w:lang w:val="en-US" w:eastAsia="zh-CN"/>
        </w:rPr>
        <w:t>2020</w:t>
      </w:r>
      <w:r>
        <w:rPr>
          <w:rFonts w:hint="default" w:ascii="Times New Roman" w:hAnsi="Times New Roman" w:cs="Times New Roman"/>
          <w:lang w:eastAsia="zh-CN"/>
        </w:rPr>
        <w:t>）</w:t>
      </w:r>
      <w:r>
        <w:rPr>
          <w:rFonts w:hint="default" w:ascii="Times New Roman" w:hAnsi="Times New Roman" w:cs="Times New Roman"/>
          <w:lang w:val="en-US" w:eastAsia="zh-CN"/>
        </w:rPr>
        <w:t>62号要求，</w:t>
      </w:r>
      <w:r>
        <w:rPr>
          <w:rFonts w:hint="default" w:ascii="Times New Roman" w:hAnsi="Times New Roman" w:cs="Times New Roman"/>
        </w:rPr>
        <w:t>每个采样点位在超标样品所在深度及其相邻不同深度</w:t>
      </w:r>
      <w:r>
        <w:rPr>
          <w:rFonts w:hint="default" w:ascii="Times New Roman" w:hAnsi="Times New Roman" w:cs="Times New Roman"/>
          <w:lang w:eastAsia="zh-CN"/>
        </w:rPr>
        <w:t>至少</w:t>
      </w:r>
      <w:r>
        <w:rPr>
          <w:rFonts w:hint="default" w:ascii="Times New Roman" w:hAnsi="Times New Roman" w:cs="Times New Roman"/>
        </w:rPr>
        <w:t>采</w:t>
      </w:r>
      <w:r>
        <w:rPr>
          <w:rFonts w:hint="default" w:ascii="Times New Roman" w:hAnsi="Times New Roman" w:cs="Times New Roman"/>
          <w:lang w:eastAsia="zh-CN"/>
        </w:rPr>
        <w:t>集</w:t>
      </w:r>
      <w:r>
        <w:rPr>
          <w:rFonts w:hint="default" w:ascii="Times New Roman" w:hAnsi="Times New Roman" w:cs="Times New Roman"/>
          <w:lang w:val="en-US" w:eastAsia="zh-CN"/>
        </w:rPr>
        <w:t>3</w:t>
      </w:r>
      <w:r>
        <w:rPr>
          <w:rFonts w:hint="default" w:ascii="Times New Roman" w:hAnsi="Times New Roman" w:cs="Times New Roman"/>
        </w:rPr>
        <w:t>个土壤样品</w:t>
      </w:r>
      <w:r>
        <w:rPr>
          <w:rFonts w:hint="default" w:ascii="Times New Roman" w:hAnsi="Times New Roman" w:cs="Times New Roman"/>
          <w:lang w:eastAsia="zh-CN"/>
        </w:rPr>
        <w:t>；</w:t>
      </w:r>
      <w:r>
        <w:rPr>
          <w:rFonts w:hint="default" w:ascii="Times New Roman" w:hAnsi="Times New Roman" w:cs="Times New Roman"/>
          <w:lang w:val="en-US" w:eastAsia="zh-CN"/>
        </w:rPr>
        <w:t>考虑到</w:t>
      </w:r>
      <w:r>
        <w:rPr>
          <w:rFonts w:hint="default" w:ascii="Times New Roman" w:hAnsi="Times New Roman" w:cs="Times New Roman"/>
          <w:color w:val="000000"/>
          <w:sz w:val="24"/>
          <w:lang w:val="en-US" w:eastAsia="zh-CN"/>
        </w:rPr>
        <w:t>SJG-JJ-8原点位</w:t>
      </w:r>
      <w:r>
        <w:rPr>
          <w:rFonts w:hint="default" w:ascii="Times New Roman" w:hAnsi="Times New Roman" w:cs="Times New Roman"/>
        </w:rPr>
        <w:t>超标样品</w:t>
      </w:r>
      <w:r>
        <w:rPr>
          <w:rFonts w:hint="default" w:ascii="Times New Roman" w:hAnsi="Times New Roman" w:cs="Times New Roman"/>
          <w:lang w:val="en-US" w:eastAsia="zh-CN"/>
        </w:rPr>
        <w:t>位表层（0-0.5m）样品，其相邻深度仅为下层，因此采样深度设置为表层（0-0.5m）、下层（0.5-1.0m），每个点位采集</w:t>
      </w:r>
      <w:r>
        <w:rPr>
          <w:rFonts w:hint="eastAsia" w:cs="Times New Roman"/>
          <w:lang w:val="en-US" w:eastAsia="zh-CN"/>
        </w:rPr>
        <w:t>2</w:t>
      </w:r>
      <w:r>
        <w:rPr>
          <w:rFonts w:hint="default" w:ascii="Times New Roman" w:hAnsi="Times New Roman" w:cs="Times New Roman"/>
          <w:lang w:val="en-US" w:eastAsia="zh-CN"/>
        </w:rPr>
        <w:t>个土壤样品。</w:t>
      </w:r>
    </w:p>
    <w:p w14:paraId="68AAE1AB">
      <w:pPr>
        <w:ind w:firstLine="420" w:firstLineChars="0"/>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）测试项目为</w:t>
      </w:r>
      <w:r>
        <w:rPr>
          <w:rFonts w:hint="default" w:ascii="Times New Roman" w:hAnsi="Times New Roman" w:cs="Times New Roman"/>
          <w:color w:val="000000"/>
          <w:sz w:val="24"/>
          <w:lang w:val="en-US" w:eastAsia="zh-CN"/>
        </w:rPr>
        <w:t>原点位SJG-JJ-8的</w:t>
      </w:r>
      <w:r>
        <w:rPr>
          <w:rFonts w:hint="default" w:ascii="Times New Roman" w:hAnsi="Times New Roman" w:cs="Times New Roman"/>
          <w:lang w:eastAsia="zh-CN"/>
        </w:rPr>
        <w:t>超标污染物：</w:t>
      </w:r>
      <w:r>
        <w:rPr>
          <w:rFonts w:hint="default" w:ascii="Times New Roman" w:hAnsi="Times New Roman" w:cs="Times New Roman"/>
          <w:highlight w:val="none"/>
          <w:lang w:val="en-US" w:eastAsia="zh-CN"/>
        </w:rPr>
        <w:t>苯并(a)芘。</w:t>
      </w:r>
    </w:p>
    <w:p w14:paraId="0C31725A">
      <w:pPr>
        <w:pStyle w:val="6"/>
        <w:numPr>
          <w:ilvl w:val="0"/>
          <w:numId w:val="0"/>
        </w:numPr>
        <w:bidi w:val="0"/>
        <w:spacing w:after="0"/>
        <w:jc w:val="left"/>
        <w:rPr>
          <w:rFonts w:hint="eastAsia" w:ascii="Times New Roman" w:hAnsi="Times New Roman" w:cs="Times New Roman"/>
          <w:color w:val="auto"/>
          <w:kern w:val="0"/>
          <w:highlight w:val="none"/>
          <w:lang w:eastAsia="zh-CN"/>
        </w:rPr>
      </w:pPr>
      <w:r>
        <w:rPr>
          <w:rFonts w:hint="eastAsia" w:cs="Times New Roman"/>
          <w:color w:val="auto"/>
          <w:kern w:val="0"/>
          <w:highlight w:val="none"/>
          <w:lang w:val="en-US" w:eastAsia="zh-CN"/>
        </w:rPr>
        <w:t xml:space="preserve">5.3.2.2. </w:t>
      </w:r>
      <w:r>
        <w:rPr>
          <w:rFonts w:hint="eastAsia" w:ascii="Times New Roman" w:hAnsi="Times New Roman" w:cs="Times New Roman"/>
          <w:color w:val="auto"/>
          <w:kern w:val="0"/>
          <w:highlight w:val="none"/>
          <w:lang w:eastAsia="zh-CN"/>
        </w:rPr>
        <w:t>现场记录</w:t>
      </w:r>
    </w:p>
    <w:p w14:paraId="5B3E9792">
      <w:pPr>
        <w:spacing w:line="360" w:lineRule="auto"/>
        <w:ind w:firstLine="480" w:firstLineChars="200"/>
        <w:rPr>
          <w:rFonts w:hint="default" w:ascii="Times New Roman" w:hAnsi="Times New Roman" w:cs="Times New Roman"/>
          <w:lang w:eastAsia="zh-CN"/>
        </w:rPr>
      </w:pPr>
      <w:r>
        <w:rPr>
          <w:rFonts w:hint="default" w:ascii="Times New Roman" w:hAnsi="Times New Roman" w:cs="Times New Roman"/>
          <w:lang w:eastAsia="zh-CN"/>
        </w:rPr>
        <w:t>补充采样阶段共布设土壤监测点</w:t>
      </w:r>
      <w:r>
        <w:rPr>
          <w:rFonts w:hint="default" w:ascii="Times New Roman" w:hAnsi="Times New Roman" w:cs="Times New Roman"/>
          <w:lang w:val="en-US" w:eastAsia="zh-CN"/>
        </w:rPr>
        <w:t>5个，</w:t>
      </w:r>
      <w:r>
        <w:rPr>
          <w:rFonts w:hint="default" w:ascii="Times New Roman" w:hAnsi="Times New Roman" w:cs="Times New Roman"/>
          <w:lang w:eastAsia="zh-CN"/>
        </w:rPr>
        <w:t>共采集</w:t>
      </w:r>
      <w:r>
        <w:rPr>
          <w:rFonts w:hint="default" w:ascii="Times New Roman" w:hAnsi="Times New Roman" w:cs="Times New Roman"/>
          <w:lang w:val="en-US" w:eastAsia="zh-CN"/>
        </w:rPr>
        <w:t>10个土壤样品，另采集1个土壤平行盲样及1个运输空白样，共送检样品12个，</w:t>
      </w:r>
      <w:r>
        <w:rPr>
          <w:rFonts w:hint="default" w:ascii="Times New Roman" w:hAnsi="Times New Roman" w:cs="Times New Roman"/>
        </w:rPr>
        <w:t>送检</w:t>
      </w:r>
      <w:r>
        <w:rPr>
          <w:rFonts w:hint="default" w:ascii="Times New Roman" w:hAnsi="Times New Roman" w:cs="Times New Roman"/>
          <w:lang w:eastAsia="zh-CN"/>
        </w:rPr>
        <w:t>半挥发性有机物指标</w:t>
      </w:r>
      <w:r>
        <w:rPr>
          <w:rFonts w:hint="default" w:ascii="Times New Roman" w:hAnsi="Times New Roman" w:cs="Times New Roman"/>
          <w:lang w:val="en-US" w:eastAsia="zh-CN"/>
        </w:rPr>
        <w:t>并(a)芘</w:t>
      </w:r>
      <w:r>
        <w:rPr>
          <w:rFonts w:hint="default" w:ascii="Times New Roman" w:hAnsi="Times New Roman" w:cs="Times New Roman"/>
        </w:rPr>
        <w:t>。</w:t>
      </w:r>
      <w:r>
        <w:rPr>
          <w:rFonts w:hint="default" w:ascii="Times New Roman" w:hAnsi="Times New Roman" w:cs="Times New Roman"/>
          <w:color w:val="auto"/>
          <w:highlight w:val="none"/>
        </w:rPr>
        <w:t>各采样点位土层土壤类型、颜色、湿度、气味、夹杂物情况等性状，以及土壤样品采集情况详见表</w:t>
      </w:r>
      <w:r>
        <w:rPr>
          <w:rFonts w:hint="eastAsia" w:cs="Times New Roman"/>
          <w:color w:val="auto"/>
          <w:highlight w:val="none"/>
          <w:lang w:val="en-US" w:eastAsia="zh-CN"/>
        </w:rPr>
        <w:t>5-3-8</w:t>
      </w:r>
      <w:r>
        <w:rPr>
          <w:rFonts w:hint="default" w:ascii="Times New Roman" w:hAnsi="Times New Roman" w:cs="Times New Roman"/>
          <w:color w:val="auto"/>
          <w:sz w:val="24"/>
          <w:highlight w:val="none"/>
        </w:rPr>
        <w:t>典型监测点位现场采样及样品照片</w:t>
      </w:r>
      <w:r>
        <w:rPr>
          <w:rFonts w:hint="default" w:ascii="Times New Roman" w:hAnsi="Times New Roman" w:cs="Times New Roman"/>
          <w:color w:val="auto"/>
          <w:sz w:val="24"/>
          <w:highlight w:val="none"/>
          <w:lang w:eastAsia="zh-CN"/>
        </w:rPr>
        <w:t>见图</w:t>
      </w:r>
      <w:r>
        <w:rPr>
          <w:rFonts w:hint="eastAsia" w:cs="Times New Roman"/>
          <w:color w:val="auto"/>
          <w:sz w:val="24"/>
          <w:highlight w:val="none"/>
          <w:lang w:val="en-US" w:eastAsia="zh-CN"/>
        </w:rPr>
        <w:t>5-3-13</w:t>
      </w:r>
      <w:r>
        <w:rPr>
          <w:rFonts w:hint="default" w:ascii="Times New Roman" w:hAnsi="Times New Roman" w:cs="Times New Roman"/>
          <w:color w:val="auto"/>
          <w:sz w:val="24"/>
          <w:highlight w:val="none"/>
        </w:rPr>
        <w:t>。</w:t>
      </w:r>
    </w:p>
    <w:p w14:paraId="687CCD36">
      <w:pPr>
        <w:spacing w:line="400" w:lineRule="atLeast"/>
        <w:jc w:val="center"/>
        <w:rPr>
          <w:rFonts w:hint="default" w:ascii="Times New Roman" w:hAnsi="Times New Roman" w:cs="Times New Roman"/>
          <w:lang w:eastAsia="zh-CN"/>
        </w:rPr>
      </w:pPr>
      <w:r>
        <w:rPr>
          <w:rFonts w:hint="default" w:ascii="Times New Roman" w:hAnsi="Times New Roman" w:eastAsia="黑体" w:cs="Times New Roman"/>
          <w:b/>
          <w:color w:val="auto"/>
          <w:sz w:val="24"/>
          <w:szCs w:val="20"/>
          <w:highlight w:val="none"/>
        </w:rPr>
        <w:t>表</w:t>
      </w:r>
      <w:r>
        <w:rPr>
          <w:rFonts w:hint="eastAsia" w:eastAsia="黑体" w:cs="Times New Roman"/>
          <w:b/>
          <w:color w:val="auto"/>
          <w:sz w:val="24"/>
          <w:szCs w:val="20"/>
          <w:highlight w:val="none"/>
          <w:lang w:val="en-US" w:eastAsia="zh-CN"/>
        </w:rPr>
        <w:t>5-3-8</w:t>
      </w:r>
      <w:r>
        <w:rPr>
          <w:rFonts w:hint="default" w:ascii="Times New Roman" w:hAnsi="Times New Roman" w:eastAsia="黑体" w:cs="Times New Roman"/>
          <w:b/>
          <w:color w:val="auto"/>
          <w:sz w:val="24"/>
          <w:szCs w:val="20"/>
          <w:highlight w:val="none"/>
        </w:rPr>
        <w:t xml:space="preserve"> </w:t>
      </w:r>
      <w:r>
        <w:rPr>
          <w:rFonts w:hint="default" w:ascii="Times New Roman" w:hAnsi="Times New Roman" w:eastAsia="黑体" w:cs="Times New Roman"/>
          <w:b/>
          <w:color w:val="auto"/>
          <w:sz w:val="24"/>
          <w:szCs w:val="20"/>
          <w:highlight w:val="none"/>
          <w:lang w:val="en-US" w:eastAsia="zh-CN"/>
        </w:rPr>
        <w:t xml:space="preserve"> </w:t>
      </w:r>
      <w:r>
        <w:rPr>
          <w:rFonts w:hint="default" w:ascii="Times New Roman" w:hAnsi="Times New Roman" w:eastAsia="黑体" w:cs="Times New Roman"/>
          <w:b/>
          <w:color w:val="auto"/>
          <w:sz w:val="24"/>
          <w:szCs w:val="20"/>
          <w:highlight w:val="none"/>
        </w:rPr>
        <w:t>土壤</w:t>
      </w:r>
      <w:r>
        <w:rPr>
          <w:rFonts w:hint="default" w:ascii="Times New Roman" w:hAnsi="Times New Roman" w:eastAsia="黑体" w:cs="Times New Roman"/>
          <w:b/>
          <w:color w:val="auto"/>
          <w:sz w:val="24"/>
          <w:szCs w:val="20"/>
          <w:highlight w:val="none"/>
          <w:lang w:eastAsia="zh-CN"/>
        </w:rPr>
        <w:t>补充</w:t>
      </w:r>
      <w:r>
        <w:rPr>
          <w:rFonts w:hint="default" w:ascii="Times New Roman" w:hAnsi="Times New Roman" w:eastAsia="黑体" w:cs="Times New Roman"/>
          <w:b/>
          <w:color w:val="auto"/>
          <w:sz w:val="24"/>
          <w:szCs w:val="20"/>
          <w:highlight w:val="none"/>
        </w:rPr>
        <w:t>采样点位现场记录统计表</w:t>
      </w:r>
    </w:p>
    <w:tbl>
      <w:tblPr>
        <w:tblStyle w:val="21"/>
        <w:tblW w:w="424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52"/>
        <w:gridCol w:w="874"/>
        <w:gridCol w:w="874"/>
        <w:gridCol w:w="660"/>
        <w:gridCol w:w="452"/>
        <w:gridCol w:w="452"/>
        <w:gridCol w:w="663"/>
        <w:gridCol w:w="3390"/>
        <w:gridCol w:w="870"/>
        <w:gridCol w:w="874"/>
      </w:tblGrid>
      <w:tr w14:paraId="698A6D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blHeader/>
          <w:jc w:val="center"/>
        </w:trPr>
        <w:tc>
          <w:tcPr>
            <w:tcW w:w="236" w:type="pct"/>
            <w:tcBorders>
              <w:bottom w:val="single" w:color="auto" w:sz="12" w:space="0"/>
            </w:tcBorders>
            <w:shd w:val="clear" w:color="auto" w:fill="auto"/>
            <w:noWrap/>
            <w:tcMar>
              <w:top w:w="15" w:type="dxa"/>
              <w:left w:w="15" w:type="dxa"/>
              <w:right w:w="15" w:type="dxa"/>
            </w:tcMar>
            <w:vAlign w:val="center"/>
          </w:tcPr>
          <w:p w14:paraId="09261C0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序号</w:t>
            </w:r>
          </w:p>
        </w:tc>
        <w:tc>
          <w:tcPr>
            <w:tcW w:w="456" w:type="pct"/>
            <w:tcBorders>
              <w:bottom w:val="single" w:color="auto" w:sz="12" w:space="0"/>
            </w:tcBorders>
            <w:shd w:val="clear" w:color="auto" w:fill="auto"/>
            <w:noWrap/>
            <w:tcMar>
              <w:top w:w="15" w:type="dxa"/>
              <w:left w:w="15" w:type="dxa"/>
              <w:right w:w="15" w:type="dxa"/>
            </w:tcMar>
            <w:vAlign w:val="center"/>
          </w:tcPr>
          <w:p w14:paraId="33DBA59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kern w:val="0"/>
                <w:sz w:val="21"/>
                <w:szCs w:val="21"/>
                <w:u w:val="none"/>
                <w:lang w:val="en-US" w:eastAsia="zh-CN" w:bidi="ar"/>
              </w:rPr>
            </w:pPr>
            <w:r>
              <w:rPr>
                <w:rFonts w:hint="default" w:ascii="Times New Roman" w:hAnsi="Times New Roman" w:eastAsia="宋体" w:cs="Times New Roman"/>
                <w:b/>
                <w:i w:val="0"/>
                <w:color w:val="000000"/>
                <w:kern w:val="0"/>
                <w:sz w:val="21"/>
                <w:szCs w:val="21"/>
                <w:u w:val="none"/>
                <w:lang w:val="en-US" w:eastAsia="zh-CN" w:bidi="ar"/>
              </w:rPr>
              <w:t>点位编号</w:t>
            </w:r>
          </w:p>
        </w:tc>
        <w:tc>
          <w:tcPr>
            <w:tcW w:w="456" w:type="pct"/>
            <w:tcBorders>
              <w:bottom w:val="single" w:color="auto" w:sz="12" w:space="0"/>
            </w:tcBorders>
            <w:shd w:val="clear" w:color="auto" w:fill="auto"/>
            <w:noWrap/>
            <w:tcMar>
              <w:top w:w="15" w:type="dxa"/>
              <w:left w:w="15" w:type="dxa"/>
              <w:right w:w="15" w:type="dxa"/>
            </w:tcMar>
            <w:vAlign w:val="center"/>
          </w:tcPr>
          <w:p w14:paraId="2902C54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土壤类型</w:t>
            </w:r>
          </w:p>
        </w:tc>
        <w:tc>
          <w:tcPr>
            <w:tcW w:w="345" w:type="pct"/>
            <w:tcBorders>
              <w:bottom w:val="single" w:color="auto" w:sz="12" w:space="0"/>
            </w:tcBorders>
            <w:shd w:val="clear" w:color="auto" w:fill="auto"/>
            <w:noWrap/>
            <w:tcMar>
              <w:top w:w="15" w:type="dxa"/>
              <w:left w:w="15" w:type="dxa"/>
              <w:right w:w="15" w:type="dxa"/>
            </w:tcMar>
            <w:vAlign w:val="center"/>
          </w:tcPr>
          <w:p w14:paraId="31FACD5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颜色</w:t>
            </w:r>
          </w:p>
        </w:tc>
        <w:tc>
          <w:tcPr>
            <w:tcW w:w="237" w:type="pct"/>
            <w:tcBorders>
              <w:bottom w:val="single" w:color="auto" w:sz="12" w:space="0"/>
            </w:tcBorders>
            <w:shd w:val="clear" w:color="auto" w:fill="auto"/>
            <w:noWrap/>
            <w:tcMar>
              <w:top w:w="15" w:type="dxa"/>
              <w:left w:w="15" w:type="dxa"/>
              <w:right w:w="15" w:type="dxa"/>
            </w:tcMar>
            <w:vAlign w:val="center"/>
          </w:tcPr>
          <w:p w14:paraId="1BB940D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湿度</w:t>
            </w:r>
          </w:p>
        </w:tc>
        <w:tc>
          <w:tcPr>
            <w:tcW w:w="237" w:type="pct"/>
            <w:tcBorders>
              <w:bottom w:val="single" w:color="auto" w:sz="12" w:space="0"/>
            </w:tcBorders>
            <w:shd w:val="clear" w:color="auto" w:fill="auto"/>
            <w:noWrap/>
            <w:tcMar>
              <w:top w:w="15" w:type="dxa"/>
              <w:left w:w="15" w:type="dxa"/>
              <w:right w:w="15" w:type="dxa"/>
            </w:tcMar>
            <w:vAlign w:val="center"/>
          </w:tcPr>
          <w:p w14:paraId="6F87DF7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气味</w:t>
            </w:r>
          </w:p>
        </w:tc>
        <w:tc>
          <w:tcPr>
            <w:tcW w:w="347" w:type="pct"/>
            <w:tcBorders>
              <w:bottom w:val="single" w:color="auto" w:sz="12" w:space="0"/>
            </w:tcBorders>
            <w:shd w:val="clear" w:color="auto" w:fill="auto"/>
            <w:noWrap/>
            <w:tcMar>
              <w:top w:w="15" w:type="dxa"/>
              <w:left w:w="15" w:type="dxa"/>
              <w:right w:w="15" w:type="dxa"/>
            </w:tcMar>
            <w:vAlign w:val="center"/>
          </w:tcPr>
          <w:p w14:paraId="472F3B7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可塑性</w:t>
            </w:r>
          </w:p>
        </w:tc>
        <w:tc>
          <w:tcPr>
            <w:tcW w:w="1771" w:type="pct"/>
            <w:tcBorders>
              <w:bottom w:val="single" w:color="auto" w:sz="12" w:space="0"/>
            </w:tcBorders>
            <w:shd w:val="clear" w:color="auto" w:fill="auto"/>
            <w:noWrap/>
            <w:tcMar>
              <w:top w:w="15" w:type="dxa"/>
              <w:left w:w="15" w:type="dxa"/>
              <w:right w:w="15" w:type="dxa"/>
            </w:tcMar>
            <w:vAlign w:val="center"/>
          </w:tcPr>
          <w:p w14:paraId="6FA9D76A">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夹杂物</w:t>
            </w:r>
          </w:p>
        </w:tc>
        <w:tc>
          <w:tcPr>
            <w:tcW w:w="454" w:type="pct"/>
            <w:tcBorders>
              <w:bottom w:val="single" w:color="auto" w:sz="12" w:space="0"/>
            </w:tcBorders>
            <w:shd w:val="clear" w:color="auto" w:fill="auto"/>
            <w:noWrap/>
            <w:tcMar>
              <w:top w:w="15" w:type="dxa"/>
              <w:left w:w="15" w:type="dxa"/>
              <w:right w:w="15" w:type="dxa"/>
            </w:tcMar>
            <w:vAlign w:val="center"/>
          </w:tcPr>
          <w:p w14:paraId="5EDB1638">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采样深度</w:t>
            </w:r>
          </w:p>
        </w:tc>
        <w:tc>
          <w:tcPr>
            <w:tcW w:w="456" w:type="pct"/>
            <w:tcBorders>
              <w:bottom w:val="single" w:color="auto" w:sz="12" w:space="0"/>
            </w:tcBorders>
            <w:shd w:val="clear" w:color="auto" w:fill="auto"/>
            <w:noWrap/>
            <w:tcMar>
              <w:top w:w="15" w:type="dxa"/>
              <w:left w:w="15" w:type="dxa"/>
              <w:right w:w="15" w:type="dxa"/>
            </w:tcMar>
            <w:vAlign w:val="center"/>
          </w:tcPr>
          <w:p w14:paraId="53CA7BD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b/>
                <w:i w:val="0"/>
                <w:color w:val="000000"/>
                <w:kern w:val="2"/>
                <w:sz w:val="21"/>
                <w:szCs w:val="21"/>
                <w:u w:val="none"/>
                <w:lang w:val="en-US" w:eastAsia="zh-CN" w:bidi="ar-SA"/>
              </w:rPr>
            </w:pPr>
            <w:r>
              <w:rPr>
                <w:rFonts w:hint="default" w:ascii="Times New Roman" w:hAnsi="Times New Roman" w:eastAsia="宋体" w:cs="Times New Roman"/>
                <w:b/>
                <w:i w:val="0"/>
                <w:color w:val="000000"/>
                <w:kern w:val="0"/>
                <w:sz w:val="21"/>
                <w:szCs w:val="21"/>
                <w:u w:val="none"/>
                <w:lang w:val="en-US" w:eastAsia="zh-CN" w:bidi="ar"/>
              </w:rPr>
              <w:t>样品编号</w:t>
            </w:r>
          </w:p>
        </w:tc>
      </w:tr>
      <w:tr w14:paraId="452EB8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236" w:type="pct"/>
            <w:tcBorders>
              <w:top w:val="single" w:color="auto" w:sz="12" w:space="0"/>
              <w:tl2br w:val="nil"/>
              <w:tr2bl w:val="nil"/>
            </w:tcBorders>
            <w:shd w:val="clear" w:color="auto" w:fill="auto"/>
            <w:noWrap/>
            <w:tcMar>
              <w:top w:w="15" w:type="dxa"/>
              <w:left w:w="15" w:type="dxa"/>
              <w:right w:w="15" w:type="dxa"/>
            </w:tcMar>
            <w:vAlign w:val="center"/>
          </w:tcPr>
          <w:p w14:paraId="16841E4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456" w:type="pct"/>
            <w:vMerge w:val="restart"/>
            <w:tcBorders>
              <w:top w:val="single" w:color="auto" w:sz="12" w:space="0"/>
              <w:tl2br w:val="nil"/>
              <w:tr2bl w:val="nil"/>
            </w:tcBorders>
            <w:shd w:val="clear" w:color="auto" w:fill="auto"/>
            <w:noWrap/>
            <w:tcMar>
              <w:top w:w="15" w:type="dxa"/>
              <w:left w:w="15" w:type="dxa"/>
              <w:right w:w="15" w:type="dxa"/>
            </w:tcMar>
            <w:vAlign w:val="center"/>
          </w:tcPr>
          <w:p w14:paraId="1C99318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C-1</w:t>
            </w:r>
          </w:p>
        </w:tc>
        <w:tc>
          <w:tcPr>
            <w:tcW w:w="456" w:type="pct"/>
            <w:tcBorders>
              <w:top w:val="single" w:color="auto" w:sz="12" w:space="0"/>
              <w:tl2br w:val="nil"/>
              <w:tr2bl w:val="nil"/>
            </w:tcBorders>
            <w:shd w:val="clear" w:color="auto" w:fill="auto"/>
            <w:noWrap/>
            <w:tcMar>
              <w:top w:w="15" w:type="dxa"/>
              <w:left w:w="15" w:type="dxa"/>
              <w:right w:w="15" w:type="dxa"/>
            </w:tcMar>
            <w:vAlign w:val="center"/>
          </w:tcPr>
          <w:p w14:paraId="6306383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op w:val="single" w:color="auto" w:sz="12" w:space="0"/>
              <w:tl2br w:val="nil"/>
              <w:tr2bl w:val="nil"/>
            </w:tcBorders>
            <w:shd w:val="clear" w:color="auto" w:fill="auto"/>
            <w:noWrap/>
            <w:tcMar>
              <w:top w:w="15" w:type="dxa"/>
              <w:left w:w="15" w:type="dxa"/>
              <w:right w:w="15" w:type="dxa"/>
            </w:tcMar>
            <w:vAlign w:val="center"/>
          </w:tcPr>
          <w:p w14:paraId="052667B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op w:val="single" w:color="auto" w:sz="12" w:space="0"/>
              <w:tl2br w:val="nil"/>
              <w:tr2bl w:val="nil"/>
            </w:tcBorders>
            <w:shd w:val="clear" w:color="auto" w:fill="auto"/>
            <w:noWrap/>
            <w:tcMar>
              <w:top w:w="15" w:type="dxa"/>
              <w:left w:w="15" w:type="dxa"/>
              <w:right w:w="15" w:type="dxa"/>
            </w:tcMar>
            <w:vAlign w:val="center"/>
          </w:tcPr>
          <w:p w14:paraId="4E93013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op w:val="single" w:color="auto" w:sz="12" w:space="0"/>
              <w:tl2br w:val="nil"/>
              <w:tr2bl w:val="nil"/>
            </w:tcBorders>
            <w:shd w:val="clear" w:color="auto" w:fill="auto"/>
            <w:noWrap/>
            <w:tcMar>
              <w:top w:w="15" w:type="dxa"/>
              <w:left w:w="15" w:type="dxa"/>
              <w:right w:w="15" w:type="dxa"/>
            </w:tcMar>
            <w:vAlign w:val="center"/>
          </w:tcPr>
          <w:p w14:paraId="69698E7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op w:val="single" w:color="auto" w:sz="12" w:space="0"/>
              <w:tl2br w:val="nil"/>
              <w:tr2bl w:val="nil"/>
            </w:tcBorders>
            <w:shd w:val="clear" w:color="auto" w:fill="auto"/>
            <w:noWrap/>
            <w:tcMar>
              <w:top w:w="15" w:type="dxa"/>
              <w:left w:w="15" w:type="dxa"/>
              <w:right w:w="15" w:type="dxa"/>
            </w:tcMar>
            <w:vAlign w:val="center"/>
          </w:tcPr>
          <w:p w14:paraId="1618F76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op w:val="single" w:color="auto" w:sz="12" w:space="0"/>
              <w:tl2br w:val="nil"/>
              <w:tr2bl w:val="nil"/>
            </w:tcBorders>
            <w:shd w:val="clear" w:color="auto" w:fill="auto"/>
            <w:noWrap/>
            <w:tcMar>
              <w:top w:w="15" w:type="dxa"/>
              <w:left w:w="15" w:type="dxa"/>
              <w:right w:w="15" w:type="dxa"/>
            </w:tcMar>
            <w:vAlign w:val="center"/>
          </w:tcPr>
          <w:p w14:paraId="09FEAA6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含较多石子，含少量根系</w:t>
            </w:r>
          </w:p>
        </w:tc>
        <w:tc>
          <w:tcPr>
            <w:tcW w:w="454" w:type="pct"/>
            <w:tcBorders>
              <w:top w:val="single" w:color="auto" w:sz="12" w:space="0"/>
              <w:tl2br w:val="nil"/>
              <w:tr2bl w:val="nil"/>
            </w:tcBorders>
            <w:shd w:val="clear" w:color="auto" w:fill="auto"/>
            <w:noWrap/>
            <w:tcMar>
              <w:top w:w="15" w:type="dxa"/>
              <w:left w:w="15" w:type="dxa"/>
              <w:right w:w="15" w:type="dxa"/>
            </w:tcMar>
            <w:vAlign w:val="center"/>
          </w:tcPr>
          <w:p w14:paraId="182FCB1A">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0.2-0.5</w:t>
            </w:r>
          </w:p>
        </w:tc>
        <w:tc>
          <w:tcPr>
            <w:tcW w:w="456" w:type="pct"/>
            <w:tcBorders>
              <w:top w:val="single" w:color="auto" w:sz="12" w:space="0"/>
              <w:tl2br w:val="nil"/>
              <w:tr2bl w:val="nil"/>
            </w:tcBorders>
            <w:shd w:val="clear" w:color="auto" w:fill="auto"/>
            <w:noWrap/>
            <w:tcMar>
              <w:top w:w="15" w:type="dxa"/>
              <w:left w:w="15" w:type="dxa"/>
              <w:right w:w="15" w:type="dxa"/>
            </w:tcMar>
            <w:vAlign w:val="center"/>
          </w:tcPr>
          <w:p w14:paraId="2E08385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C-1-1</w:t>
            </w:r>
          </w:p>
        </w:tc>
      </w:tr>
      <w:tr w14:paraId="15227F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168" w:hRule="atLeast"/>
          <w:jc w:val="center"/>
        </w:trPr>
        <w:tc>
          <w:tcPr>
            <w:tcW w:w="236" w:type="pct"/>
            <w:vMerge w:val="restart"/>
            <w:tcBorders>
              <w:tl2br w:val="nil"/>
              <w:tr2bl w:val="nil"/>
            </w:tcBorders>
            <w:shd w:val="clear" w:color="auto" w:fill="auto"/>
            <w:noWrap/>
            <w:tcMar>
              <w:top w:w="15" w:type="dxa"/>
              <w:left w:w="15" w:type="dxa"/>
              <w:right w:w="15" w:type="dxa"/>
            </w:tcMar>
            <w:vAlign w:val="center"/>
          </w:tcPr>
          <w:p w14:paraId="1DE09CE3">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456" w:type="pct"/>
            <w:vMerge w:val="continue"/>
            <w:tcBorders>
              <w:tl2br w:val="nil"/>
              <w:tr2bl w:val="nil"/>
            </w:tcBorders>
            <w:shd w:val="clear" w:color="auto" w:fill="auto"/>
            <w:noWrap/>
            <w:tcMar>
              <w:top w:w="15" w:type="dxa"/>
              <w:left w:w="15" w:type="dxa"/>
              <w:right w:w="15" w:type="dxa"/>
            </w:tcMar>
            <w:vAlign w:val="center"/>
          </w:tcPr>
          <w:p w14:paraId="4333B34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456" w:type="pct"/>
            <w:vMerge w:val="restart"/>
            <w:tcBorders>
              <w:tl2br w:val="nil"/>
              <w:tr2bl w:val="nil"/>
            </w:tcBorders>
            <w:shd w:val="clear" w:color="auto" w:fill="auto"/>
            <w:noWrap/>
            <w:tcMar>
              <w:top w:w="15" w:type="dxa"/>
              <w:left w:w="15" w:type="dxa"/>
              <w:right w:w="15" w:type="dxa"/>
            </w:tcMar>
            <w:vAlign w:val="center"/>
          </w:tcPr>
          <w:p w14:paraId="6DBE5773">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vMerge w:val="restart"/>
            <w:tcBorders>
              <w:tl2br w:val="nil"/>
              <w:tr2bl w:val="nil"/>
            </w:tcBorders>
            <w:shd w:val="clear" w:color="auto" w:fill="auto"/>
            <w:noWrap/>
            <w:tcMar>
              <w:top w:w="15" w:type="dxa"/>
              <w:left w:w="15" w:type="dxa"/>
              <w:right w:w="15" w:type="dxa"/>
            </w:tcMar>
            <w:vAlign w:val="center"/>
          </w:tcPr>
          <w:p w14:paraId="3287A76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vMerge w:val="restart"/>
            <w:tcBorders>
              <w:tl2br w:val="nil"/>
              <w:tr2bl w:val="nil"/>
            </w:tcBorders>
            <w:shd w:val="clear" w:color="auto" w:fill="auto"/>
            <w:noWrap/>
            <w:tcMar>
              <w:top w:w="15" w:type="dxa"/>
              <w:left w:w="15" w:type="dxa"/>
              <w:right w:w="15" w:type="dxa"/>
            </w:tcMar>
            <w:vAlign w:val="center"/>
          </w:tcPr>
          <w:p w14:paraId="4C206B2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vMerge w:val="restart"/>
            <w:tcBorders>
              <w:tl2br w:val="nil"/>
              <w:tr2bl w:val="nil"/>
            </w:tcBorders>
            <w:shd w:val="clear" w:color="auto" w:fill="auto"/>
            <w:noWrap/>
            <w:tcMar>
              <w:top w:w="15" w:type="dxa"/>
              <w:left w:w="15" w:type="dxa"/>
              <w:right w:w="15" w:type="dxa"/>
            </w:tcMar>
            <w:vAlign w:val="center"/>
          </w:tcPr>
          <w:p w14:paraId="2347226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vMerge w:val="restart"/>
            <w:tcBorders>
              <w:tl2br w:val="nil"/>
              <w:tr2bl w:val="nil"/>
            </w:tcBorders>
            <w:shd w:val="clear" w:color="auto" w:fill="auto"/>
            <w:noWrap/>
            <w:tcMar>
              <w:top w:w="15" w:type="dxa"/>
              <w:left w:w="15" w:type="dxa"/>
              <w:right w:w="15" w:type="dxa"/>
            </w:tcMar>
            <w:vAlign w:val="center"/>
          </w:tcPr>
          <w:p w14:paraId="0F51E75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vMerge w:val="restart"/>
            <w:tcBorders>
              <w:tl2br w:val="nil"/>
              <w:tr2bl w:val="nil"/>
            </w:tcBorders>
            <w:shd w:val="clear" w:color="auto" w:fill="auto"/>
            <w:noWrap/>
            <w:tcMar>
              <w:top w:w="15" w:type="dxa"/>
              <w:left w:w="15" w:type="dxa"/>
              <w:right w:w="15" w:type="dxa"/>
            </w:tcMar>
            <w:vAlign w:val="center"/>
          </w:tcPr>
          <w:p w14:paraId="5B0692B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以粘土为主，含少量的砂质</w:t>
            </w:r>
          </w:p>
        </w:tc>
        <w:tc>
          <w:tcPr>
            <w:tcW w:w="454" w:type="pct"/>
            <w:vMerge w:val="restart"/>
            <w:tcBorders>
              <w:tl2br w:val="nil"/>
              <w:tr2bl w:val="nil"/>
            </w:tcBorders>
            <w:shd w:val="clear" w:color="auto" w:fill="auto"/>
            <w:noWrap/>
            <w:tcMar>
              <w:top w:w="15" w:type="dxa"/>
              <w:left w:w="15" w:type="dxa"/>
              <w:right w:w="15" w:type="dxa"/>
            </w:tcMar>
            <w:vAlign w:val="center"/>
          </w:tcPr>
          <w:p w14:paraId="02A0682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0.5-1.0</w:t>
            </w:r>
          </w:p>
        </w:tc>
        <w:tc>
          <w:tcPr>
            <w:tcW w:w="456" w:type="pct"/>
            <w:tcBorders>
              <w:tl2br w:val="nil"/>
              <w:tr2bl w:val="nil"/>
            </w:tcBorders>
            <w:shd w:val="clear" w:color="auto" w:fill="auto"/>
            <w:noWrap/>
            <w:tcMar>
              <w:top w:w="15" w:type="dxa"/>
              <w:left w:w="15" w:type="dxa"/>
              <w:right w:w="15" w:type="dxa"/>
            </w:tcMar>
            <w:vAlign w:val="center"/>
          </w:tcPr>
          <w:p w14:paraId="128DD2BF">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C-1-2</w:t>
            </w:r>
          </w:p>
        </w:tc>
      </w:tr>
      <w:tr w14:paraId="66E16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168" w:hRule="atLeast"/>
          <w:jc w:val="center"/>
        </w:trPr>
        <w:tc>
          <w:tcPr>
            <w:tcW w:w="236" w:type="pct"/>
            <w:vMerge w:val="continue"/>
            <w:tcBorders>
              <w:tl2br w:val="nil"/>
              <w:tr2bl w:val="nil"/>
            </w:tcBorders>
            <w:shd w:val="clear" w:color="auto" w:fill="auto"/>
            <w:noWrap/>
            <w:tcMar>
              <w:top w:w="15" w:type="dxa"/>
              <w:left w:w="15" w:type="dxa"/>
              <w:right w:w="15" w:type="dxa"/>
            </w:tcMar>
            <w:vAlign w:val="center"/>
          </w:tcPr>
          <w:p w14:paraId="47888ED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456" w:type="pct"/>
            <w:vMerge w:val="continue"/>
            <w:tcBorders>
              <w:tl2br w:val="nil"/>
              <w:tr2bl w:val="nil"/>
            </w:tcBorders>
            <w:shd w:val="clear" w:color="auto" w:fill="auto"/>
            <w:noWrap/>
            <w:tcMar>
              <w:top w:w="15" w:type="dxa"/>
              <w:left w:w="15" w:type="dxa"/>
              <w:right w:w="15" w:type="dxa"/>
            </w:tcMar>
            <w:vAlign w:val="center"/>
          </w:tcPr>
          <w:p w14:paraId="7237BF6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456" w:type="pct"/>
            <w:vMerge w:val="continue"/>
            <w:tcBorders>
              <w:tl2br w:val="nil"/>
              <w:tr2bl w:val="nil"/>
            </w:tcBorders>
            <w:shd w:val="clear" w:color="auto" w:fill="auto"/>
            <w:noWrap/>
            <w:tcMar>
              <w:top w:w="15" w:type="dxa"/>
              <w:left w:w="15" w:type="dxa"/>
              <w:right w:w="15" w:type="dxa"/>
            </w:tcMar>
            <w:vAlign w:val="center"/>
          </w:tcPr>
          <w:p w14:paraId="2161B513">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345" w:type="pct"/>
            <w:vMerge w:val="continue"/>
            <w:tcBorders>
              <w:tl2br w:val="nil"/>
              <w:tr2bl w:val="nil"/>
            </w:tcBorders>
            <w:shd w:val="clear" w:color="auto" w:fill="auto"/>
            <w:noWrap/>
            <w:tcMar>
              <w:top w:w="15" w:type="dxa"/>
              <w:left w:w="15" w:type="dxa"/>
              <w:right w:w="15" w:type="dxa"/>
            </w:tcMar>
            <w:vAlign w:val="center"/>
          </w:tcPr>
          <w:p w14:paraId="731E33D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237" w:type="pct"/>
            <w:vMerge w:val="continue"/>
            <w:tcBorders>
              <w:tl2br w:val="nil"/>
              <w:tr2bl w:val="nil"/>
            </w:tcBorders>
            <w:shd w:val="clear" w:color="auto" w:fill="auto"/>
            <w:noWrap/>
            <w:tcMar>
              <w:top w:w="15" w:type="dxa"/>
              <w:left w:w="15" w:type="dxa"/>
              <w:right w:w="15" w:type="dxa"/>
            </w:tcMar>
            <w:vAlign w:val="center"/>
          </w:tcPr>
          <w:p w14:paraId="731B6B3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237" w:type="pct"/>
            <w:vMerge w:val="continue"/>
            <w:tcBorders>
              <w:tl2br w:val="nil"/>
              <w:tr2bl w:val="nil"/>
            </w:tcBorders>
            <w:shd w:val="clear" w:color="auto" w:fill="auto"/>
            <w:noWrap/>
            <w:tcMar>
              <w:top w:w="15" w:type="dxa"/>
              <w:left w:w="15" w:type="dxa"/>
              <w:right w:w="15" w:type="dxa"/>
            </w:tcMar>
            <w:vAlign w:val="center"/>
          </w:tcPr>
          <w:p w14:paraId="3772695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347" w:type="pct"/>
            <w:vMerge w:val="continue"/>
            <w:tcBorders>
              <w:tl2br w:val="nil"/>
              <w:tr2bl w:val="nil"/>
            </w:tcBorders>
            <w:shd w:val="clear" w:color="auto" w:fill="auto"/>
            <w:noWrap/>
            <w:tcMar>
              <w:top w:w="15" w:type="dxa"/>
              <w:left w:w="15" w:type="dxa"/>
              <w:right w:w="15" w:type="dxa"/>
            </w:tcMar>
            <w:vAlign w:val="center"/>
          </w:tcPr>
          <w:p w14:paraId="0BDBACE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1771" w:type="pct"/>
            <w:vMerge w:val="continue"/>
            <w:tcBorders>
              <w:tl2br w:val="nil"/>
              <w:tr2bl w:val="nil"/>
            </w:tcBorders>
            <w:shd w:val="clear" w:color="auto" w:fill="auto"/>
            <w:noWrap/>
            <w:tcMar>
              <w:top w:w="15" w:type="dxa"/>
              <w:left w:w="15" w:type="dxa"/>
              <w:right w:w="15" w:type="dxa"/>
            </w:tcMar>
            <w:vAlign w:val="center"/>
          </w:tcPr>
          <w:p w14:paraId="1C0DC10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454" w:type="pct"/>
            <w:vMerge w:val="continue"/>
            <w:tcBorders>
              <w:tl2br w:val="nil"/>
              <w:tr2bl w:val="nil"/>
            </w:tcBorders>
            <w:shd w:val="clear" w:color="auto" w:fill="auto"/>
            <w:noWrap/>
            <w:tcMar>
              <w:top w:w="15" w:type="dxa"/>
              <w:left w:w="15" w:type="dxa"/>
              <w:right w:w="15" w:type="dxa"/>
            </w:tcMar>
            <w:vAlign w:val="center"/>
          </w:tcPr>
          <w:p w14:paraId="7A1B76D5">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cs="Times New Roman"/>
              </w:rPr>
            </w:pPr>
          </w:p>
        </w:tc>
        <w:tc>
          <w:tcPr>
            <w:tcW w:w="456" w:type="pct"/>
            <w:tcBorders>
              <w:tl2br w:val="nil"/>
              <w:tr2bl w:val="nil"/>
            </w:tcBorders>
            <w:shd w:val="clear" w:color="auto" w:fill="auto"/>
            <w:noWrap/>
            <w:tcMar>
              <w:top w:w="15" w:type="dxa"/>
              <w:left w:w="15" w:type="dxa"/>
              <w:right w:w="15" w:type="dxa"/>
            </w:tcMar>
            <w:vAlign w:val="center"/>
          </w:tcPr>
          <w:p w14:paraId="1E708D5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QC-8</w:t>
            </w:r>
          </w:p>
        </w:tc>
      </w:tr>
      <w:tr w14:paraId="409A72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597E303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c>
          <w:tcPr>
            <w:tcW w:w="456" w:type="pct"/>
            <w:vMerge w:val="restart"/>
            <w:tcBorders>
              <w:tl2br w:val="nil"/>
              <w:tr2bl w:val="nil"/>
            </w:tcBorders>
            <w:shd w:val="clear" w:color="auto" w:fill="auto"/>
            <w:noWrap/>
            <w:tcMar>
              <w:top w:w="15" w:type="dxa"/>
              <w:left w:w="15" w:type="dxa"/>
              <w:right w:w="15" w:type="dxa"/>
            </w:tcMar>
            <w:vAlign w:val="center"/>
          </w:tcPr>
          <w:p w14:paraId="5AF7123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C-2</w:t>
            </w:r>
          </w:p>
        </w:tc>
        <w:tc>
          <w:tcPr>
            <w:tcW w:w="456" w:type="pct"/>
            <w:tcBorders>
              <w:tl2br w:val="nil"/>
              <w:tr2bl w:val="nil"/>
            </w:tcBorders>
            <w:shd w:val="clear" w:color="auto" w:fill="auto"/>
            <w:noWrap/>
            <w:tcMar>
              <w:top w:w="15" w:type="dxa"/>
              <w:left w:w="15" w:type="dxa"/>
              <w:right w:w="15" w:type="dxa"/>
            </w:tcMar>
            <w:vAlign w:val="center"/>
          </w:tcPr>
          <w:p w14:paraId="10006A38">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78B3C9F3">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08B38D3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0BC6EF6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12844C3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0F85D93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含石子，含少量根系</w:t>
            </w:r>
          </w:p>
        </w:tc>
        <w:tc>
          <w:tcPr>
            <w:tcW w:w="454" w:type="pct"/>
            <w:tcBorders>
              <w:tl2br w:val="nil"/>
              <w:tr2bl w:val="nil"/>
            </w:tcBorders>
            <w:shd w:val="clear" w:color="auto" w:fill="auto"/>
            <w:noWrap/>
            <w:tcMar>
              <w:top w:w="15" w:type="dxa"/>
              <w:left w:w="15" w:type="dxa"/>
              <w:right w:w="15" w:type="dxa"/>
            </w:tcMar>
            <w:vAlign w:val="center"/>
          </w:tcPr>
          <w:p w14:paraId="41DB383A">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0.3-0.5</w:t>
            </w:r>
          </w:p>
        </w:tc>
        <w:tc>
          <w:tcPr>
            <w:tcW w:w="456" w:type="pct"/>
            <w:tcBorders>
              <w:tl2br w:val="nil"/>
              <w:tr2bl w:val="nil"/>
            </w:tcBorders>
            <w:shd w:val="clear" w:color="auto" w:fill="auto"/>
            <w:noWrap/>
            <w:tcMar>
              <w:top w:w="15" w:type="dxa"/>
              <w:left w:w="15" w:type="dxa"/>
              <w:right w:w="15" w:type="dxa"/>
            </w:tcMar>
            <w:vAlign w:val="center"/>
          </w:tcPr>
          <w:p w14:paraId="2F9C32E5">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C-2-1</w:t>
            </w:r>
          </w:p>
        </w:tc>
      </w:tr>
      <w:tr w14:paraId="516190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18DCDB5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456" w:type="pct"/>
            <w:vMerge w:val="continue"/>
            <w:tcBorders>
              <w:tl2br w:val="nil"/>
              <w:tr2bl w:val="nil"/>
            </w:tcBorders>
            <w:shd w:val="clear" w:color="auto" w:fill="auto"/>
            <w:noWrap/>
            <w:tcMar>
              <w:top w:w="15" w:type="dxa"/>
              <w:left w:w="15" w:type="dxa"/>
              <w:right w:w="15" w:type="dxa"/>
            </w:tcMar>
            <w:vAlign w:val="center"/>
          </w:tcPr>
          <w:p w14:paraId="6A319E2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456" w:type="pct"/>
            <w:tcBorders>
              <w:tl2br w:val="nil"/>
              <w:tr2bl w:val="nil"/>
            </w:tcBorders>
            <w:shd w:val="clear" w:color="auto" w:fill="auto"/>
            <w:noWrap/>
            <w:tcMar>
              <w:top w:w="15" w:type="dxa"/>
              <w:left w:w="15" w:type="dxa"/>
              <w:right w:w="15" w:type="dxa"/>
            </w:tcMar>
            <w:vAlign w:val="center"/>
          </w:tcPr>
          <w:p w14:paraId="29772B32">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353AD2A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5B25AD8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39588DB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228DBC4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506AFEB2">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以粉质粘土为主，含少量铁锰质矿物</w:t>
            </w:r>
          </w:p>
        </w:tc>
        <w:tc>
          <w:tcPr>
            <w:tcW w:w="454" w:type="pct"/>
            <w:tcBorders>
              <w:tl2br w:val="nil"/>
              <w:tr2bl w:val="nil"/>
            </w:tcBorders>
            <w:shd w:val="clear" w:color="auto" w:fill="auto"/>
            <w:noWrap/>
            <w:tcMar>
              <w:top w:w="15" w:type="dxa"/>
              <w:left w:w="15" w:type="dxa"/>
              <w:right w:w="15" w:type="dxa"/>
            </w:tcMar>
            <w:vAlign w:val="center"/>
          </w:tcPr>
          <w:p w14:paraId="47B81EF5">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0.5-1.0</w:t>
            </w:r>
          </w:p>
        </w:tc>
        <w:tc>
          <w:tcPr>
            <w:tcW w:w="456" w:type="pct"/>
            <w:tcBorders>
              <w:tl2br w:val="nil"/>
              <w:tr2bl w:val="nil"/>
            </w:tcBorders>
            <w:shd w:val="clear" w:color="auto" w:fill="auto"/>
            <w:noWrap/>
            <w:tcMar>
              <w:top w:w="15" w:type="dxa"/>
              <w:left w:w="15" w:type="dxa"/>
              <w:right w:w="15" w:type="dxa"/>
            </w:tcMar>
            <w:vAlign w:val="center"/>
          </w:tcPr>
          <w:p w14:paraId="160E4FD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C-2-2</w:t>
            </w:r>
          </w:p>
        </w:tc>
      </w:tr>
      <w:tr w14:paraId="4275E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4B6EAC02">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c>
          <w:tcPr>
            <w:tcW w:w="456" w:type="pct"/>
            <w:vMerge w:val="restart"/>
            <w:tcBorders>
              <w:tl2br w:val="nil"/>
              <w:tr2bl w:val="nil"/>
            </w:tcBorders>
            <w:shd w:val="clear" w:color="auto" w:fill="auto"/>
            <w:noWrap/>
            <w:tcMar>
              <w:top w:w="15" w:type="dxa"/>
              <w:left w:w="15" w:type="dxa"/>
              <w:right w:w="15" w:type="dxa"/>
            </w:tcMar>
            <w:vAlign w:val="center"/>
          </w:tcPr>
          <w:p w14:paraId="512A83BA">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C-3</w:t>
            </w:r>
          </w:p>
        </w:tc>
        <w:tc>
          <w:tcPr>
            <w:tcW w:w="456" w:type="pct"/>
            <w:tcBorders>
              <w:tl2br w:val="nil"/>
              <w:tr2bl w:val="nil"/>
            </w:tcBorders>
            <w:shd w:val="clear" w:color="auto" w:fill="auto"/>
            <w:noWrap/>
            <w:tcMar>
              <w:top w:w="15" w:type="dxa"/>
              <w:left w:w="15" w:type="dxa"/>
              <w:right w:w="15" w:type="dxa"/>
            </w:tcMar>
            <w:vAlign w:val="center"/>
          </w:tcPr>
          <w:p w14:paraId="5CA1E42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7BFBBFF9">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1ED5F4D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23A69AC8">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294DA379">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1EABED3A">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表面含石子、根系</w:t>
            </w:r>
          </w:p>
        </w:tc>
        <w:tc>
          <w:tcPr>
            <w:tcW w:w="454" w:type="pct"/>
            <w:tcBorders>
              <w:tl2br w:val="nil"/>
              <w:tr2bl w:val="nil"/>
            </w:tcBorders>
            <w:shd w:val="clear" w:color="auto" w:fill="auto"/>
            <w:noWrap/>
            <w:tcMar>
              <w:top w:w="15" w:type="dxa"/>
              <w:left w:w="15" w:type="dxa"/>
              <w:right w:w="15" w:type="dxa"/>
            </w:tcMar>
            <w:vAlign w:val="center"/>
          </w:tcPr>
          <w:p w14:paraId="1041970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0.2-0.5</w:t>
            </w:r>
          </w:p>
        </w:tc>
        <w:tc>
          <w:tcPr>
            <w:tcW w:w="456" w:type="pct"/>
            <w:tcBorders>
              <w:tl2br w:val="nil"/>
              <w:tr2bl w:val="nil"/>
            </w:tcBorders>
            <w:shd w:val="clear" w:color="auto" w:fill="auto"/>
            <w:noWrap/>
            <w:tcMar>
              <w:top w:w="15" w:type="dxa"/>
              <w:left w:w="15" w:type="dxa"/>
              <w:right w:w="15" w:type="dxa"/>
            </w:tcMar>
            <w:vAlign w:val="center"/>
          </w:tcPr>
          <w:p w14:paraId="1B10FCE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C-3-1</w:t>
            </w:r>
          </w:p>
        </w:tc>
      </w:tr>
      <w:tr w14:paraId="737323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70F9980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456" w:type="pct"/>
            <w:vMerge w:val="continue"/>
            <w:tcBorders>
              <w:tl2br w:val="nil"/>
              <w:tr2bl w:val="nil"/>
            </w:tcBorders>
            <w:shd w:val="clear" w:color="auto" w:fill="auto"/>
            <w:noWrap/>
            <w:tcMar>
              <w:top w:w="15" w:type="dxa"/>
              <w:left w:w="15" w:type="dxa"/>
              <w:right w:w="15" w:type="dxa"/>
            </w:tcMar>
            <w:vAlign w:val="center"/>
          </w:tcPr>
          <w:p w14:paraId="35B7A845">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456" w:type="pct"/>
            <w:tcBorders>
              <w:tl2br w:val="nil"/>
              <w:tr2bl w:val="nil"/>
            </w:tcBorders>
            <w:shd w:val="clear" w:color="auto" w:fill="auto"/>
            <w:noWrap/>
            <w:tcMar>
              <w:top w:w="15" w:type="dxa"/>
              <w:left w:w="15" w:type="dxa"/>
              <w:right w:w="15" w:type="dxa"/>
            </w:tcMar>
            <w:vAlign w:val="center"/>
          </w:tcPr>
          <w:p w14:paraId="15DFE37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0533DF6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2FB8F2C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4EE333B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54B504E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103C2CC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以粘土为主，含少量铁锰质矿物</w:t>
            </w:r>
          </w:p>
        </w:tc>
        <w:tc>
          <w:tcPr>
            <w:tcW w:w="454" w:type="pct"/>
            <w:tcBorders>
              <w:tl2br w:val="nil"/>
              <w:tr2bl w:val="nil"/>
            </w:tcBorders>
            <w:shd w:val="clear" w:color="auto" w:fill="auto"/>
            <w:noWrap/>
            <w:tcMar>
              <w:top w:w="15" w:type="dxa"/>
              <w:left w:w="15" w:type="dxa"/>
              <w:right w:w="15" w:type="dxa"/>
            </w:tcMar>
            <w:vAlign w:val="center"/>
          </w:tcPr>
          <w:p w14:paraId="16EA5B0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0.5-1.0</w:t>
            </w:r>
          </w:p>
        </w:tc>
        <w:tc>
          <w:tcPr>
            <w:tcW w:w="456" w:type="pct"/>
            <w:tcBorders>
              <w:tl2br w:val="nil"/>
              <w:tr2bl w:val="nil"/>
            </w:tcBorders>
            <w:shd w:val="clear" w:color="auto" w:fill="auto"/>
            <w:noWrap/>
            <w:tcMar>
              <w:top w:w="15" w:type="dxa"/>
              <w:left w:w="15" w:type="dxa"/>
              <w:right w:w="15" w:type="dxa"/>
            </w:tcMar>
            <w:vAlign w:val="center"/>
          </w:tcPr>
          <w:p w14:paraId="28EB12A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C-3-2</w:t>
            </w:r>
          </w:p>
        </w:tc>
      </w:tr>
      <w:tr w14:paraId="5A8F6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28318A3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7</w:t>
            </w:r>
          </w:p>
        </w:tc>
        <w:tc>
          <w:tcPr>
            <w:tcW w:w="456" w:type="pct"/>
            <w:vMerge w:val="restart"/>
            <w:tcBorders>
              <w:tl2br w:val="nil"/>
              <w:tr2bl w:val="nil"/>
            </w:tcBorders>
            <w:shd w:val="clear" w:color="auto" w:fill="auto"/>
            <w:noWrap/>
            <w:tcMar>
              <w:top w:w="15" w:type="dxa"/>
              <w:left w:w="15" w:type="dxa"/>
              <w:right w:w="15" w:type="dxa"/>
            </w:tcMar>
            <w:vAlign w:val="center"/>
          </w:tcPr>
          <w:p w14:paraId="0ACB2E7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C-4</w:t>
            </w:r>
          </w:p>
        </w:tc>
        <w:tc>
          <w:tcPr>
            <w:tcW w:w="456" w:type="pct"/>
            <w:tcBorders>
              <w:tl2br w:val="nil"/>
              <w:tr2bl w:val="nil"/>
            </w:tcBorders>
            <w:shd w:val="clear" w:color="auto" w:fill="auto"/>
            <w:noWrap/>
            <w:tcMar>
              <w:top w:w="15" w:type="dxa"/>
              <w:left w:w="15" w:type="dxa"/>
              <w:right w:w="15" w:type="dxa"/>
            </w:tcMar>
            <w:vAlign w:val="center"/>
          </w:tcPr>
          <w:p w14:paraId="09938BF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40A08CB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497A5955">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3BEE0A3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1EC282B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2A41C682">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表面含石子、根系</w:t>
            </w:r>
          </w:p>
        </w:tc>
        <w:tc>
          <w:tcPr>
            <w:tcW w:w="454" w:type="pct"/>
            <w:tcBorders>
              <w:tl2br w:val="nil"/>
              <w:tr2bl w:val="nil"/>
            </w:tcBorders>
            <w:shd w:val="clear" w:color="auto" w:fill="auto"/>
            <w:noWrap/>
            <w:tcMar>
              <w:top w:w="15" w:type="dxa"/>
              <w:left w:w="15" w:type="dxa"/>
              <w:right w:w="15" w:type="dxa"/>
            </w:tcMar>
            <w:vAlign w:val="center"/>
          </w:tcPr>
          <w:p w14:paraId="302B73E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0.2-0.5</w:t>
            </w:r>
          </w:p>
        </w:tc>
        <w:tc>
          <w:tcPr>
            <w:tcW w:w="456" w:type="pct"/>
            <w:tcBorders>
              <w:tl2br w:val="nil"/>
              <w:tr2bl w:val="nil"/>
            </w:tcBorders>
            <w:shd w:val="clear" w:color="auto" w:fill="auto"/>
            <w:noWrap/>
            <w:tcMar>
              <w:top w:w="15" w:type="dxa"/>
              <w:left w:w="15" w:type="dxa"/>
              <w:right w:w="15" w:type="dxa"/>
            </w:tcMar>
            <w:vAlign w:val="center"/>
          </w:tcPr>
          <w:p w14:paraId="1F336EC9">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C-4-1</w:t>
            </w:r>
          </w:p>
        </w:tc>
      </w:tr>
      <w:tr w14:paraId="3C23C9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3820058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w:t>
            </w:r>
          </w:p>
        </w:tc>
        <w:tc>
          <w:tcPr>
            <w:tcW w:w="456" w:type="pct"/>
            <w:vMerge w:val="continue"/>
            <w:tcBorders>
              <w:tl2br w:val="nil"/>
              <w:tr2bl w:val="nil"/>
            </w:tcBorders>
            <w:shd w:val="clear" w:color="auto" w:fill="auto"/>
            <w:noWrap/>
            <w:tcMar>
              <w:top w:w="15" w:type="dxa"/>
              <w:left w:w="15" w:type="dxa"/>
              <w:right w:w="15" w:type="dxa"/>
            </w:tcMar>
            <w:vAlign w:val="center"/>
          </w:tcPr>
          <w:p w14:paraId="2D123208">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456" w:type="pct"/>
            <w:tcBorders>
              <w:tl2br w:val="nil"/>
              <w:tr2bl w:val="nil"/>
            </w:tcBorders>
            <w:shd w:val="clear" w:color="auto" w:fill="auto"/>
            <w:noWrap/>
            <w:tcMar>
              <w:top w:w="15" w:type="dxa"/>
              <w:left w:w="15" w:type="dxa"/>
              <w:right w:w="15" w:type="dxa"/>
            </w:tcMar>
            <w:vAlign w:val="center"/>
          </w:tcPr>
          <w:p w14:paraId="09F98C93">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48BB26B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299603F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70C52DE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556DF4E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57AA4903">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以粉质粘土为主，含少量铁锰质矿物</w:t>
            </w:r>
          </w:p>
        </w:tc>
        <w:tc>
          <w:tcPr>
            <w:tcW w:w="454" w:type="pct"/>
            <w:tcBorders>
              <w:tl2br w:val="nil"/>
              <w:tr2bl w:val="nil"/>
            </w:tcBorders>
            <w:shd w:val="clear" w:color="auto" w:fill="auto"/>
            <w:noWrap/>
            <w:tcMar>
              <w:top w:w="15" w:type="dxa"/>
              <w:left w:w="15" w:type="dxa"/>
              <w:right w:w="15" w:type="dxa"/>
            </w:tcMar>
            <w:vAlign w:val="center"/>
          </w:tcPr>
          <w:p w14:paraId="46F28145">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0.5-1.0</w:t>
            </w:r>
          </w:p>
        </w:tc>
        <w:tc>
          <w:tcPr>
            <w:tcW w:w="456" w:type="pct"/>
            <w:tcBorders>
              <w:tl2br w:val="nil"/>
              <w:tr2bl w:val="nil"/>
            </w:tcBorders>
            <w:shd w:val="clear" w:color="auto" w:fill="auto"/>
            <w:noWrap/>
            <w:tcMar>
              <w:top w:w="15" w:type="dxa"/>
              <w:left w:w="15" w:type="dxa"/>
              <w:right w:w="15" w:type="dxa"/>
            </w:tcMar>
            <w:vAlign w:val="center"/>
          </w:tcPr>
          <w:p w14:paraId="7F468CC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C-4-2</w:t>
            </w:r>
          </w:p>
        </w:tc>
      </w:tr>
      <w:tr w14:paraId="182622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5CF391B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w:t>
            </w:r>
          </w:p>
        </w:tc>
        <w:tc>
          <w:tcPr>
            <w:tcW w:w="456" w:type="pct"/>
            <w:vMerge w:val="restart"/>
            <w:tcBorders>
              <w:tl2br w:val="nil"/>
              <w:tr2bl w:val="nil"/>
            </w:tcBorders>
            <w:shd w:val="clear" w:color="auto" w:fill="auto"/>
            <w:noWrap/>
            <w:tcMar>
              <w:top w:w="15" w:type="dxa"/>
              <w:left w:w="15" w:type="dxa"/>
              <w:right w:w="15" w:type="dxa"/>
            </w:tcMar>
            <w:vAlign w:val="center"/>
          </w:tcPr>
          <w:p w14:paraId="2062957A">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C-5</w:t>
            </w:r>
          </w:p>
        </w:tc>
        <w:tc>
          <w:tcPr>
            <w:tcW w:w="456" w:type="pct"/>
            <w:tcBorders>
              <w:tl2br w:val="nil"/>
              <w:tr2bl w:val="nil"/>
            </w:tcBorders>
            <w:shd w:val="clear" w:color="auto" w:fill="auto"/>
            <w:noWrap/>
            <w:tcMar>
              <w:top w:w="15" w:type="dxa"/>
              <w:left w:w="15" w:type="dxa"/>
              <w:right w:w="15" w:type="dxa"/>
            </w:tcMar>
            <w:vAlign w:val="center"/>
          </w:tcPr>
          <w:p w14:paraId="322E113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433E72C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3F4EB1F1">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4E6D5FD8">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2BEAE90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2EBBEA9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表面含石子、根系</w:t>
            </w:r>
          </w:p>
        </w:tc>
        <w:tc>
          <w:tcPr>
            <w:tcW w:w="454" w:type="pct"/>
            <w:tcBorders>
              <w:tl2br w:val="nil"/>
              <w:tr2bl w:val="nil"/>
            </w:tcBorders>
            <w:shd w:val="clear" w:color="auto" w:fill="auto"/>
            <w:noWrap/>
            <w:tcMar>
              <w:top w:w="15" w:type="dxa"/>
              <w:left w:w="15" w:type="dxa"/>
              <w:right w:w="15" w:type="dxa"/>
            </w:tcMar>
            <w:vAlign w:val="center"/>
          </w:tcPr>
          <w:p w14:paraId="59229BCC">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0.2-0.5</w:t>
            </w:r>
          </w:p>
        </w:tc>
        <w:tc>
          <w:tcPr>
            <w:tcW w:w="456" w:type="pct"/>
            <w:tcBorders>
              <w:tl2br w:val="nil"/>
              <w:tr2bl w:val="nil"/>
            </w:tcBorders>
            <w:shd w:val="clear" w:color="auto" w:fill="auto"/>
            <w:noWrap/>
            <w:tcMar>
              <w:top w:w="15" w:type="dxa"/>
              <w:left w:w="15" w:type="dxa"/>
              <w:right w:w="15" w:type="dxa"/>
            </w:tcMar>
            <w:vAlign w:val="center"/>
          </w:tcPr>
          <w:p w14:paraId="093280CB">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C-5-1</w:t>
            </w:r>
          </w:p>
        </w:tc>
      </w:tr>
      <w:tr w14:paraId="34A167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0" w:hRule="atLeast"/>
          <w:jc w:val="center"/>
        </w:trPr>
        <w:tc>
          <w:tcPr>
            <w:tcW w:w="236" w:type="pct"/>
            <w:tcBorders>
              <w:tl2br w:val="nil"/>
              <w:tr2bl w:val="nil"/>
            </w:tcBorders>
            <w:shd w:val="clear" w:color="auto" w:fill="auto"/>
            <w:noWrap/>
            <w:tcMar>
              <w:top w:w="15" w:type="dxa"/>
              <w:left w:w="15" w:type="dxa"/>
              <w:right w:w="15" w:type="dxa"/>
            </w:tcMar>
            <w:vAlign w:val="center"/>
          </w:tcPr>
          <w:p w14:paraId="4C8601DE">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w:t>
            </w:r>
          </w:p>
        </w:tc>
        <w:tc>
          <w:tcPr>
            <w:tcW w:w="456" w:type="pct"/>
            <w:vMerge w:val="continue"/>
            <w:tcBorders>
              <w:tl2br w:val="nil"/>
              <w:tr2bl w:val="nil"/>
            </w:tcBorders>
            <w:shd w:val="clear" w:color="auto" w:fill="auto"/>
            <w:noWrap/>
            <w:tcMar>
              <w:top w:w="15" w:type="dxa"/>
              <w:left w:w="15" w:type="dxa"/>
              <w:right w:w="15" w:type="dxa"/>
            </w:tcMar>
            <w:vAlign w:val="center"/>
          </w:tcPr>
          <w:p w14:paraId="6B362D15">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456" w:type="pct"/>
            <w:tcBorders>
              <w:tl2br w:val="nil"/>
              <w:tr2bl w:val="nil"/>
            </w:tcBorders>
            <w:shd w:val="clear" w:color="auto" w:fill="auto"/>
            <w:noWrap/>
            <w:tcMar>
              <w:top w:w="15" w:type="dxa"/>
              <w:left w:w="15" w:type="dxa"/>
              <w:right w:w="15" w:type="dxa"/>
            </w:tcMar>
            <w:vAlign w:val="center"/>
          </w:tcPr>
          <w:p w14:paraId="6958467A">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杂填土</w:t>
            </w:r>
          </w:p>
        </w:tc>
        <w:tc>
          <w:tcPr>
            <w:tcW w:w="345" w:type="pct"/>
            <w:tcBorders>
              <w:tl2br w:val="nil"/>
              <w:tr2bl w:val="nil"/>
            </w:tcBorders>
            <w:shd w:val="clear" w:color="auto" w:fill="auto"/>
            <w:noWrap/>
            <w:tcMar>
              <w:top w:w="15" w:type="dxa"/>
              <w:left w:w="15" w:type="dxa"/>
              <w:right w:w="15" w:type="dxa"/>
            </w:tcMar>
            <w:vAlign w:val="center"/>
          </w:tcPr>
          <w:p w14:paraId="01228E36">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棕褐色</w:t>
            </w:r>
          </w:p>
        </w:tc>
        <w:tc>
          <w:tcPr>
            <w:tcW w:w="237" w:type="pct"/>
            <w:tcBorders>
              <w:tl2br w:val="nil"/>
              <w:tr2bl w:val="nil"/>
            </w:tcBorders>
            <w:shd w:val="clear" w:color="auto" w:fill="auto"/>
            <w:noWrap/>
            <w:tcMar>
              <w:top w:w="15" w:type="dxa"/>
              <w:left w:w="15" w:type="dxa"/>
              <w:right w:w="15" w:type="dxa"/>
            </w:tcMar>
            <w:vAlign w:val="center"/>
          </w:tcPr>
          <w:p w14:paraId="2B33DC20">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稍湿</w:t>
            </w:r>
          </w:p>
        </w:tc>
        <w:tc>
          <w:tcPr>
            <w:tcW w:w="237" w:type="pct"/>
            <w:tcBorders>
              <w:tl2br w:val="nil"/>
              <w:tr2bl w:val="nil"/>
            </w:tcBorders>
            <w:shd w:val="clear" w:color="auto" w:fill="auto"/>
            <w:noWrap/>
            <w:tcMar>
              <w:top w:w="15" w:type="dxa"/>
              <w:left w:w="15" w:type="dxa"/>
              <w:right w:w="15" w:type="dxa"/>
            </w:tcMar>
            <w:vAlign w:val="center"/>
          </w:tcPr>
          <w:p w14:paraId="4041A76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无</w:t>
            </w:r>
          </w:p>
        </w:tc>
        <w:tc>
          <w:tcPr>
            <w:tcW w:w="347" w:type="pct"/>
            <w:tcBorders>
              <w:tl2br w:val="nil"/>
              <w:tr2bl w:val="nil"/>
            </w:tcBorders>
            <w:shd w:val="clear" w:color="auto" w:fill="auto"/>
            <w:noWrap/>
            <w:tcMar>
              <w:top w:w="15" w:type="dxa"/>
              <w:left w:w="15" w:type="dxa"/>
              <w:right w:w="15" w:type="dxa"/>
            </w:tcMar>
            <w:vAlign w:val="center"/>
          </w:tcPr>
          <w:p w14:paraId="05843D24">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松散</w:t>
            </w:r>
          </w:p>
        </w:tc>
        <w:tc>
          <w:tcPr>
            <w:tcW w:w="1771" w:type="pct"/>
            <w:tcBorders>
              <w:tl2br w:val="nil"/>
              <w:tr2bl w:val="nil"/>
            </w:tcBorders>
            <w:shd w:val="clear" w:color="auto" w:fill="auto"/>
            <w:noWrap/>
            <w:tcMar>
              <w:top w:w="15" w:type="dxa"/>
              <w:left w:w="15" w:type="dxa"/>
              <w:right w:w="15" w:type="dxa"/>
            </w:tcMar>
            <w:vAlign w:val="center"/>
          </w:tcPr>
          <w:p w14:paraId="5B180AE7">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以粉质粘土为主，含少量铁锰质矿物</w:t>
            </w:r>
          </w:p>
        </w:tc>
        <w:tc>
          <w:tcPr>
            <w:tcW w:w="454" w:type="pct"/>
            <w:tcBorders>
              <w:tl2br w:val="nil"/>
              <w:tr2bl w:val="nil"/>
            </w:tcBorders>
            <w:shd w:val="clear" w:color="auto" w:fill="auto"/>
            <w:noWrap/>
            <w:tcMar>
              <w:top w:w="15" w:type="dxa"/>
              <w:left w:w="15" w:type="dxa"/>
              <w:right w:w="15" w:type="dxa"/>
            </w:tcMar>
            <w:vAlign w:val="center"/>
          </w:tcPr>
          <w:p w14:paraId="6EE2045D">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0.5-1.0</w:t>
            </w:r>
          </w:p>
        </w:tc>
        <w:tc>
          <w:tcPr>
            <w:tcW w:w="456" w:type="pct"/>
            <w:tcBorders>
              <w:tl2br w:val="nil"/>
              <w:tr2bl w:val="nil"/>
            </w:tcBorders>
            <w:shd w:val="clear" w:color="auto" w:fill="auto"/>
            <w:noWrap/>
            <w:tcMar>
              <w:top w:w="15" w:type="dxa"/>
              <w:left w:w="15" w:type="dxa"/>
              <w:right w:w="15" w:type="dxa"/>
            </w:tcMar>
            <w:vAlign w:val="center"/>
          </w:tcPr>
          <w:p w14:paraId="6C989D82">
            <w:pPr>
              <w:keepNext w:val="0"/>
              <w:keepLines w:val="0"/>
              <w:widowControl/>
              <w:suppressLineNumbers w:val="0"/>
              <w:spacing w:before="0" w:beforeAutospacing="0" w:after="0" w:afterAutospacing="0" w:line="320" w:lineRule="exact"/>
              <w:ind w:left="0" w:right="0"/>
              <w:jc w:val="center"/>
              <w:textAlignment w:val="center"/>
              <w:rPr>
                <w:rFonts w:hint="default" w:ascii="Times New Roman" w:hAnsi="Times New Roman" w:eastAsia="宋体" w:cs="Times New Roman"/>
                <w:i w:val="0"/>
                <w:color w:val="000000"/>
                <w:kern w:val="2"/>
                <w:sz w:val="21"/>
                <w:szCs w:val="21"/>
                <w:u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C-5-2</w:t>
            </w:r>
          </w:p>
        </w:tc>
      </w:tr>
    </w:tbl>
    <w:p w14:paraId="58FB3089">
      <w:pPr>
        <w:rPr>
          <w:rFonts w:hint="default" w:ascii="Times New Roman" w:hAnsi="Times New Roman" w:cs="Times New Roman"/>
        </w:rPr>
      </w:pPr>
    </w:p>
    <w:tbl>
      <w:tblPr>
        <w:tblStyle w:val="21"/>
        <w:tblW w:w="490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38"/>
        <w:gridCol w:w="4728"/>
      </w:tblGrid>
      <w:tr w14:paraId="00C9B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41" w:type="pct"/>
            <w:noWrap w:val="0"/>
            <w:vAlign w:val="center"/>
          </w:tcPr>
          <w:p w14:paraId="1CAB05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2903220" cy="2177415"/>
                  <wp:effectExtent l="0" t="0" r="7620" b="1905"/>
                  <wp:docPr id="3" name="图片 3" descr="3ee753f8bd3b36d391d75363a81bf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ee753f8bd3b36d391d75363a81bf8a"/>
                          <pic:cNvPicPr>
                            <a:picLocks noChangeAspect="1"/>
                          </pic:cNvPicPr>
                        </pic:nvPicPr>
                        <pic:blipFill>
                          <a:blip r:embed="rId47"/>
                          <a:stretch>
                            <a:fillRect/>
                          </a:stretch>
                        </pic:blipFill>
                        <pic:spPr>
                          <a:xfrm>
                            <a:off x="0" y="0"/>
                            <a:ext cx="2903220" cy="2177415"/>
                          </a:xfrm>
                          <a:prstGeom prst="rect">
                            <a:avLst/>
                          </a:prstGeom>
                        </pic:spPr>
                      </pic:pic>
                    </a:graphicData>
                  </a:graphic>
                </wp:inline>
              </w:drawing>
            </w:r>
          </w:p>
        </w:tc>
        <w:tc>
          <w:tcPr>
            <w:tcW w:w="2258" w:type="pct"/>
            <w:noWrap w:val="0"/>
            <w:vAlign w:val="center"/>
          </w:tcPr>
          <w:p w14:paraId="07F90B2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2853055" cy="2139950"/>
                  <wp:effectExtent l="0" t="0" r="12065" b="8890"/>
                  <wp:docPr id="11" name="图片 11" descr="326aa73dc0742c7f0a4eea8e1878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26aa73dc0742c7f0a4eea8e1878ce1"/>
                          <pic:cNvPicPr>
                            <a:picLocks noChangeAspect="1"/>
                          </pic:cNvPicPr>
                        </pic:nvPicPr>
                        <pic:blipFill>
                          <a:blip r:embed="rId48"/>
                          <a:stretch>
                            <a:fillRect/>
                          </a:stretch>
                        </pic:blipFill>
                        <pic:spPr>
                          <a:xfrm>
                            <a:off x="0" y="0"/>
                            <a:ext cx="2853055" cy="2139950"/>
                          </a:xfrm>
                          <a:prstGeom prst="rect">
                            <a:avLst/>
                          </a:prstGeom>
                        </pic:spPr>
                      </pic:pic>
                    </a:graphicData>
                  </a:graphic>
                </wp:inline>
              </w:drawing>
            </w:r>
          </w:p>
        </w:tc>
      </w:tr>
      <w:tr w14:paraId="5863D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41" w:type="pct"/>
            <w:noWrap w:val="0"/>
            <w:vAlign w:val="center"/>
          </w:tcPr>
          <w:p w14:paraId="4F014ED0">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color w:val="auto"/>
                <w:highlight w:val="none"/>
              </w:rPr>
            </w:pPr>
            <w:r>
              <w:rPr>
                <w:rFonts w:hint="default" w:ascii="Times New Roman" w:hAnsi="Times New Roman" w:cs="Times New Roman"/>
                <w:b/>
                <w:bCs/>
                <w:color w:val="auto"/>
                <w:highlight w:val="none"/>
              </w:rPr>
              <w:t>现场采样照片</w:t>
            </w:r>
          </w:p>
        </w:tc>
        <w:tc>
          <w:tcPr>
            <w:tcW w:w="2258" w:type="pct"/>
            <w:noWrap w:val="0"/>
            <w:vAlign w:val="center"/>
          </w:tcPr>
          <w:p w14:paraId="49B3A0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color w:val="auto"/>
                <w:highlight w:val="none"/>
              </w:rPr>
            </w:pPr>
            <w:r>
              <w:rPr>
                <w:rFonts w:hint="default" w:ascii="Times New Roman" w:hAnsi="Times New Roman" w:cs="Times New Roman"/>
                <w:b/>
                <w:bCs/>
                <w:color w:val="auto"/>
                <w:highlight w:val="none"/>
              </w:rPr>
              <w:t>现场</w:t>
            </w:r>
            <w:r>
              <w:rPr>
                <w:rFonts w:hint="default" w:ascii="Times New Roman" w:hAnsi="Times New Roman" w:cs="Times New Roman"/>
                <w:b/>
                <w:bCs/>
                <w:color w:val="auto"/>
                <w:highlight w:val="none"/>
                <w:lang w:eastAsia="zh-CN"/>
              </w:rPr>
              <w:t>样品</w:t>
            </w:r>
            <w:r>
              <w:rPr>
                <w:rFonts w:hint="default" w:ascii="Times New Roman" w:hAnsi="Times New Roman" w:cs="Times New Roman"/>
                <w:b/>
                <w:bCs/>
                <w:color w:val="auto"/>
                <w:highlight w:val="none"/>
              </w:rPr>
              <w:t>照片</w:t>
            </w:r>
          </w:p>
        </w:tc>
      </w:tr>
    </w:tbl>
    <w:p w14:paraId="6AE5B5EA">
      <w:pPr>
        <w:spacing w:line="360" w:lineRule="auto"/>
        <w:jc w:val="center"/>
        <w:rPr>
          <w:rFonts w:hint="default" w:ascii="Times New Roman" w:hAnsi="Times New Roman" w:cs="Times New Roman"/>
          <w:lang w:eastAsia="zh-CN"/>
        </w:rPr>
      </w:pPr>
      <w:r>
        <w:rPr>
          <w:rFonts w:hint="default" w:ascii="Times New Roman" w:hAnsi="Times New Roman" w:eastAsia="黑体" w:cs="Times New Roman"/>
          <w:b/>
          <w:color w:val="auto"/>
          <w:sz w:val="24"/>
          <w:szCs w:val="20"/>
          <w:highlight w:val="none"/>
        </w:rPr>
        <w:t>图</w:t>
      </w:r>
      <w:r>
        <w:rPr>
          <w:rFonts w:hint="eastAsia" w:eastAsia="黑体" w:cs="Times New Roman"/>
          <w:b/>
          <w:color w:val="auto"/>
          <w:sz w:val="24"/>
          <w:szCs w:val="20"/>
          <w:highlight w:val="none"/>
          <w:lang w:val="en-US" w:eastAsia="zh-CN"/>
        </w:rPr>
        <w:t>5-3-13</w:t>
      </w:r>
      <w:r>
        <w:rPr>
          <w:rFonts w:hint="default" w:ascii="Times New Roman" w:hAnsi="Times New Roman" w:eastAsia="黑体" w:cs="Times New Roman"/>
          <w:b/>
          <w:color w:val="auto"/>
          <w:sz w:val="24"/>
          <w:szCs w:val="20"/>
          <w:highlight w:val="none"/>
        </w:rPr>
        <w:t xml:space="preserve">  典型监测点位现场采样及样品照片</w:t>
      </w:r>
    </w:p>
    <w:p w14:paraId="0A4FC276">
      <w:pPr>
        <w:pStyle w:val="6"/>
        <w:numPr>
          <w:ilvl w:val="0"/>
          <w:numId w:val="0"/>
        </w:numPr>
        <w:bidi w:val="0"/>
        <w:spacing w:after="0"/>
        <w:jc w:val="left"/>
        <w:rPr>
          <w:rFonts w:hint="eastAsia" w:ascii="Times New Roman" w:hAnsi="Times New Roman" w:cs="Times New Roman"/>
          <w:color w:val="auto"/>
          <w:kern w:val="0"/>
          <w:highlight w:val="none"/>
          <w:lang w:eastAsia="zh-CN"/>
        </w:rPr>
      </w:pPr>
      <w:r>
        <w:rPr>
          <w:rFonts w:hint="eastAsia" w:cs="Times New Roman"/>
          <w:color w:val="auto"/>
          <w:kern w:val="0"/>
          <w:highlight w:val="none"/>
          <w:lang w:val="en-US" w:eastAsia="zh-CN"/>
        </w:rPr>
        <w:t>5.3.2.3.</w:t>
      </w:r>
      <w:r>
        <w:rPr>
          <w:rFonts w:hint="eastAsia" w:ascii="Times New Roman" w:hAnsi="Times New Roman" w:cs="Times New Roman"/>
          <w:color w:val="auto"/>
          <w:kern w:val="0"/>
          <w:highlight w:val="none"/>
          <w:lang w:eastAsia="zh-CN"/>
        </w:rPr>
        <w:t>现场质量控制</w:t>
      </w:r>
    </w:p>
    <w:p w14:paraId="0B314866">
      <w:pPr>
        <w:ind w:firstLine="420" w:firstLineChars="0"/>
        <w:rPr>
          <w:rFonts w:hint="default" w:ascii="Times New Roman" w:hAnsi="Times New Roman" w:cs="Times New Roman"/>
          <w:lang w:val="en-US" w:eastAsia="zh-CN"/>
        </w:rPr>
      </w:pPr>
      <w:r>
        <w:rPr>
          <w:rFonts w:hint="default" w:ascii="Times New Roman" w:hAnsi="Times New Roman" w:cs="Times New Roman"/>
          <w:lang w:eastAsia="zh-CN"/>
        </w:rPr>
        <w:t>送检的土壤平行盲样（</w:t>
      </w:r>
      <w:r>
        <w:rPr>
          <w:rFonts w:hint="default" w:ascii="Times New Roman" w:hAnsi="Times New Roman" w:cs="Times New Roman"/>
          <w:lang w:val="en-US" w:eastAsia="zh-CN"/>
        </w:rPr>
        <w:t>QC-8</w:t>
      </w:r>
      <w:r>
        <w:rPr>
          <w:rFonts w:hint="default" w:ascii="Times New Roman" w:hAnsi="Times New Roman" w:cs="Times New Roman"/>
          <w:lang w:eastAsia="zh-CN"/>
        </w:rPr>
        <w:t>）和对应采样点位</w:t>
      </w:r>
      <w:r>
        <w:rPr>
          <w:rFonts w:hint="default" w:ascii="Times New Roman" w:hAnsi="Times New Roman" w:cs="Times New Roman"/>
          <w:lang w:val="en-US" w:eastAsia="zh-CN"/>
        </w:rPr>
        <w:t>C-1-2</w:t>
      </w:r>
      <w:r>
        <w:rPr>
          <w:rFonts w:hint="default" w:ascii="Times New Roman" w:hAnsi="Times New Roman" w:cs="Times New Roman"/>
          <w:lang w:eastAsia="zh-CN"/>
        </w:rPr>
        <w:t>半挥发性有机物指标</w:t>
      </w:r>
      <w:r>
        <w:rPr>
          <w:rFonts w:hint="default" w:ascii="Times New Roman" w:hAnsi="Times New Roman" w:cs="Times New Roman"/>
          <w:lang w:val="en-US" w:eastAsia="zh-CN"/>
        </w:rPr>
        <w:t>并(a)芘均未检出，因此不作相对偏差的分析。</w:t>
      </w:r>
    </w:p>
    <w:p w14:paraId="3046D71C">
      <w:pPr>
        <w:pStyle w:val="6"/>
        <w:numPr>
          <w:ilvl w:val="0"/>
          <w:numId w:val="0"/>
        </w:numPr>
        <w:bidi w:val="0"/>
        <w:spacing w:after="0"/>
        <w:jc w:val="left"/>
        <w:rPr>
          <w:rFonts w:hint="eastAsia" w:ascii="Times New Roman" w:hAnsi="Times New Roman" w:cs="Times New Roman"/>
          <w:color w:val="auto"/>
          <w:kern w:val="0"/>
          <w:highlight w:val="none"/>
          <w:lang w:eastAsia="zh-CN"/>
        </w:rPr>
      </w:pPr>
      <w:r>
        <w:rPr>
          <w:rFonts w:hint="eastAsia" w:cs="Times New Roman"/>
          <w:color w:val="auto"/>
          <w:kern w:val="0"/>
          <w:highlight w:val="none"/>
          <w:lang w:val="en-US" w:eastAsia="zh-CN"/>
        </w:rPr>
        <w:t>5.3.2.4. 补充监测结果</w:t>
      </w:r>
    </w:p>
    <w:p w14:paraId="25F477C0">
      <w:pPr>
        <w:pStyle w:val="2"/>
        <w:bidi w:val="0"/>
        <w:spacing w:after="0"/>
        <w:ind w:firstLine="480" w:firstLineChars="200"/>
        <w:rPr>
          <w:rFonts w:hint="default" w:ascii="Times New Roman" w:hAnsi="Times New Roman" w:cs="Times New Roman"/>
          <w:color w:val="auto"/>
          <w:highlight w:val="none"/>
          <w:lang w:eastAsia="zh-CN"/>
        </w:rPr>
      </w:pPr>
      <w:r>
        <w:rPr>
          <w:rFonts w:hint="default" w:ascii="Times New Roman" w:hAnsi="Times New Roman" w:cs="Times New Roman"/>
          <w:highlight w:val="none"/>
          <w:lang w:eastAsia="zh-CN"/>
        </w:rPr>
        <w:t>根据</w:t>
      </w:r>
      <w:r>
        <w:rPr>
          <w:rFonts w:hint="default" w:ascii="Times New Roman" w:hAnsi="Times New Roman" w:cs="Times New Roman"/>
          <w:color w:val="auto"/>
          <w:sz w:val="24"/>
          <w:highlight w:val="none"/>
          <w:lang w:val="en-US" w:eastAsia="zh-CN"/>
        </w:rPr>
        <w:t>检测结果</w:t>
      </w:r>
      <w:r>
        <w:rPr>
          <w:rFonts w:hint="default"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eastAsia="zh-CN"/>
        </w:rPr>
        <w:t>见</w:t>
      </w:r>
      <w:r>
        <w:rPr>
          <w:rFonts w:hint="default" w:ascii="Times New Roman" w:hAnsi="Times New Roman" w:cs="Times New Roman"/>
          <w:sz w:val="24"/>
          <w:szCs w:val="24"/>
          <w:highlight w:val="none"/>
          <w:lang w:val="en-US" w:eastAsia="zh-CN"/>
        </w:rPr>
        <w:t>附件3</w:t>
      </w:r>
      <w:r>
        <w:rPr>
          <w:rFonts w:hint="default" w:ascii="Times New Roman" w:hAnsi="Times New Roman" w:eastAsia="宋体" w:cs="Times New Roman"/>
          <w:sz w:val="24"/>
          <w:szCs w:val="24"/>
          <w:highlight w:val="none"/>
          <w:lang w:eastAsia="zh-CN"/>
        </w:rPr>
        <w:t>监测报告</w:t>
      </w:r>
      <w:r>
        <w:rPr>
          <w:rFonts w:hint="default" w:ascii="Times New Roman" w:hAnsi="Times New Roman" w:eastAsia="宋体" w:cs="Times New Roman"/>
          <w:sz w:val="24"/>
          <w:szCs w:val="24"/>
          <w:highlight w:val="none"/>
          <w:lang w:val="en-US" w:eastAsia="zh-CN"/>
        </w:rPr>
        <w:t>BJ20A0964</w:t>
      </w:r>
      <w:r>
        <w:rPr>
          <w:rFonts w:hint="default" w:ascii="Times New Roman" w:hAnsi="Times New Roman" w:cs="Times New Roman"/>
          <w:sz w:val="24"/>
          <w:szCs w:val="24"/>
          <w:highlight w:val="none"/>
          <w:lang w:val="en-US" w:eastAsia="zh-CN"/>
        </w:rPr>
        <w:t>）</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highlight w:val="none"/>
          <w:lang w:val="en-US" w:eastAsia="zh-CN"/>
        </w:rPr>
        <w:t>SJG-JJ-8</w:t>
      </w:r>
      <w:r>
        <w:rPr>
          <w:rFonts w:hint="default" w:ascii="Times New Roman" w:hAnsi="Times New Roman" w:cs="Times New Roman"/>
          <w:sz w:val="24"/>
          <w:szCs w:val="24"/>
          <w:highlight w:val="none"/>
          <w:lang w:val="en-US" w:eastAsia="zh-CN"/>
        </w:rPr>
        <w:t>周边</w:t>
      </w:r>
      <w:r>
        <w:rPr>
          <w:rFonts w:hint="default" w:ascii="Times New Roman" w:hAnsi="Times New Roman" w:eastAsia="宋体" w:cs="Times New Roman"/>
          <w:sz w:val="24"/>
          <w:szCs w:val="24"/>
          <w:highlight w:val="none"/>
        </w:rPr>
        <w:t>1m范围内布设</w:t>
      </w:r>
      <w:r>
        <w:rPr>
          <w:rFonts w:hint="default" w:ascii="Times New Roman" w:hAnsi="Times New Roman" w:cs="Times New Roman"/>
          <w:sz w:val="24"/>
          <w:szCs w:val="24"/>
          <w:highlight w:val="none"/>
          <w:lang w:eastAsia="zh-CN"/>
        </w:rPr>
        <w:t>的</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个采样点</w:t>
      </w:r>
      <w:r>
        <w:rPr>
          <w:rFonts w:hint="default" w:ascii="Times New Roman" w:hAnsi="Times New Roman" w:cs="Times New Roman"/>
          <w:sz w:val="24"/>
          <w:szCs w:val="24"/>
          <w:highlight w:val="none"/>
          <w:lang w:val="en-US" w:eastAsia="zh-CN"/>
        </w:rPr>
        <w:t>10个送检样品中污染物</w:t>
      </w:r>
      <w:r>
        <w:rPr>
          <w:rFonts w:hint="default" w:ascii="Times New Roman" w:hAnsi="Times New Roman" w:cs="Times New Roman"/>
          <w:sz w:val="24"/>
          <w:szCs w:val="24"/>
          <w:highlight w:val="none"/>
          <w:lang w:eastAsia="zh-CN"/>
        </w:rPr>
        <w:t>指标</w:t>
      </w:r>
      <w:r>
        <w:rPr>
          <w:rFonts w:hint="default" w:ascii="Times New Roman" w:hAnsi="Times New Roman" w:cs="Times New Roman"/>
          <w:highlight w:val="none"/>
          <w:lang w:val="en-US" w:eastAsia="zh-CN"/>
        </w:rPr>
        <w:t>苯并(a)芘均为未检出。因此，可以判断</w:t>
      </w:r>
      <w:r>
        <w:rPr>
          <w:rFonts w:hint="default" w:ascii="Times New Roman" w:hAnsi="Times New Roman" w:eastAsia="宋体" w:cs="Times New Roman"/>
          <w:sz w:val="24"/>
          <w:szCs w:val="24"/>
          <w:highlight w:val="none"/>
          <w:lang w:val="en-US" w:eastAsia="zh-CN"/>
        </w:rPr>
        <w:t>SJG-JJ-8</w:t>
      </w:r>
      <w:r>
        <w:rPr>
          <w:rFonts w:hint="default" w:ascii="Times New Roman" w:hAnsi="Times New Roman" w:cs="Times New Roman"/>
          <w:sz w:val="24"/>
          <w:szCs w:val="24"/>
          <w:highlight w:val="none"/>
          <w:lang w:val="en-US" w:eastAsia="zh-CN"/>
        </w:rPr>
        <w:t>点位</w:t>
      </w:r>
      <w:r>
        <w:rPr>
          <w:rFonts w:hint="default" w:ascii="Times New Roman" w:hAnsi="Times New Roman" w:cs="Times New Roman"/>
          <w:highlight w:val="none"/>
          <w:lang w:val="en-US" w:eastAsia="zh-CN"/>
        </w:rPr>
        <w:t>苯并(a)芘超标属于异常情况，不具代表性。</w:t>
      </w:r>
    </w:p>
    <w:p w14:paraId="7C273C93">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地下水样品检测结果分析</w:t>
      </w:r>
    </w:p>
    <w:p w14:paraId="46C1E599">
      <w:pPr>
        <w:spacing w:line="360" w:lineRule="auto"/>
        <w:ind w:left="1"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内共采集</w:t>
      </w:r>
      <w:r>
        <w:rPr>
          <w:rFonts w:hint="default" w:ascii="Times New Roman" w:hAnsi="Times New Roman" w:cs="Times New Roman"/>
          <w:color w:val="auto"/>
          <w:sz w:val="24"/>
          <w:highlight w:val="none"/>
          <w:lang w:eastAsia="zh-CN"/>
        </w:rPr>
        <w:t>地下水样品</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w:t>
      </w:r>
      <w:r>
        <w:rPr>
          <w:rFonts w:hint="default" w:ascii="Times New Roman" w:hAnsi="Times New Roman" w:cs="Times New Roman"/>
          <w:color w:val="auto"/>
          <w:sz w:val="24"/>
          <w:highlight w:val="none"/>
          <w:lang w:eastAsia="zh-CN"/>
        </w:rPr>
        <w:t>不</w:t>
      </w:r>
      <w:r>
        <w:rPr>
          <w:rFonts w:hint="default" w:ascii="Times New Roman" w:hAnsi="Times New Roman" w:cs="Times New Roman"/>
          <w:color w:val="auto"/>
          <w:sz w:val="24"/>
          <w:highlight w:val="none"/>
        </w:rPr>
        <w:t>含现场平行样），所有样品全部送检</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测试项目中</w:t>
      </w:r>
      <w:r>
        <w:rPr>
          <w:rFonts w:hint="default" w:ascii="Times New Roman" w:hAnsi="Times New Roman" w:cs="Times New Roman"/>
          <w:color w:val="auto"/>
          <w:sz w:val="24"/>
          <w:highlight w:val="none"/>
          <w:lang w:eastAsia="zh-CN"/>
        </w:rPr>
        <w:t>未检出项目包括：阴离子表面活性剂、铁、铜、铝、锌、铅、铬、汞、硒、镉、铬（六价）、氰化物、挥发酚、硫化物、氯仿、四氯化碳、苯、甲苯。</w:t>
      </w:r>
      <w:r>
        <w:rPr>
          <w:rFonts w:hint="default" w:ascii="Times New Roman" w:hAnsi="Times New Roman" w:cs="Times New Roman"/>
          <w:color w:val="auto"/>
          <w:sz w:val="24"/>
          <w:highlight w:val="none"/>
          <w:lang w:val="en-US" w:eastAsia="zh-CN"/>
        </w:rPr>
        <w:t>其余检出指标均满足</w:t>
      </w:r>
      <w:r>
        <w:rPr>
          <w:rFonts w:hint="default" w:ascii="Times New Roman" w:hAnsi="Times New Roman" w:cs="Times New Roman"/>
          <w:color w:val="auto"/>
          <w:sz w:val="24"/>
          <w:highlight w:val="none"/>
        </w:rPr>
        <w:t>《地下水质量标准》（</w:t>
      </w:r>
      <w:r>
        <w:rPr>
          <w:rFonts w:hint="default" w:ascii="Times New Roman" w:hAnsi="Times New Roman" w:cs="Times New Roman"/>
          <w:color w:val="auto"/>
          <w:sz w:val="24"/>
          <w:highlight w:val="none"/>
          <w:lang w:eastAsia="zh-CN"/>
        </w:rPr>
        <w:t>GB/T 14848-2017</w:t>
      </w:r>
      <w:r>
        <w:rPr>
          <w:rFonts w:hint="default" w:ascii="Times New Roman" w:hAnsi="Times New Roman" w:cs="Times New Roman"/>
          <w:color w:val="auto"/>
          <w:sz w:val="24"/>
          <w:highlight w:val="none"/>
        </w:rPr>
        <w:t>）中</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类标准限值</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具体</w:t>
      </w:r>
      <w:r>
        <w:rPr>
          <w:rFonts w:hint="default" w:ascii="Times New Roman" w:hAnsi="Times New Roman" w:cs="Times New Roman"/>
          <w:color w:val="auto"/>
          <w:sz w:val="24"/>
          <w:highlight w:val="none"/>
          <w:lang w:eastAsia="zh-CN"/>
        </w:rPr>
        <w:t>检测</w:t>
      </w:r>
      <w:r>
        <w:rPr>
          <w:rFonts w:hint="default" w:ascii="Times New Roman" w:hAnsi="Times New Roman" w:cs="Times New Roman"/>
          <w:color w:val="auto"/>
          <w:sz w:val="24"/>
          <w:highlight w:val="none"/>
        </w:rPr>
        <w:t>结果见表</w:t>
      </w:r>
      <w:r>
        <w:rPr>
          <w:rFonts w:hint="default" w:ascii="Times New Roman" w:hAnsi="Times New Roman" w:cs="Times New Roman"/>
          <w:color w:val="auto"/>
          <w:sz w:val="24"/>
          <w:highlight w:val="none"/>
          <w:lang w:val="en-US" w:eastAsia="zh-CN"/>
        </w:rPr>
        <w:t>5-3-</w:t>
      </w:r>
      <w:r>
        <w:rPr>
          <w:rFonts w:hint="eastAsia" w:cs="Times New Roman"/>
          <w:color w:val="auto"/>
          <w:sz w:val="24"/>
          <w:highlight w:val="none"/>
          <w:lang w:val="en-US" w:eastAsia="zh-CN"/>
        </w:rPr>
        <w:t>9</w:t>
      </w:r>
      <w:r>
        <w:rPr>
          <w:rFonts w:hint="default" w:ascii="Times New Roman" w:hAnsi="Times New Roman" w:cs="Times New Roman"/>
          <w:color w:val="auto"/>
          <w:sz w:val="24"/>
          <w:highlight w:val="none"/>
        </w:rPr>
        <w:t>。</w:t>
      </w:r>
    </w:p>
    <w:p w14:paraId="090A2094">
      <w:pPr>
        <w:jc w:val="center"/>
        <w:rPr>
          <w:rFonts w:hint="default" w:ascii="Times New Roman" w:hAnsi="Times New Roman" w:cs="Times New Roman"/>
          <w:color w:val="auto"/>
          <w:highlight w:val="none"/>
          <w:lang w:eastAsia="zh-CN"/>
        </w:rPr>
      </w:pPr>
      <w:r>
        <w:rPr>
          <w:rFonts w:hint="default" w:ascii="Times New Roman" w:hAnsi="Times New Roman" w:eastAsia="黑体" w:cs="Times New Roman"/>
          <w:b/>
          <w:bCs/>
          <w:color w:val="auto"/>
          <w:sz w:val="24"/>
          <w:highlight w:val="none"/>
        </w:rPr>
        <w:t>表5-3-</w:t>
      </w:r>
      <w:r>
        <w:rPr>
          <w:rFonts w:hint="eastAsia" w:eastAsia="黑体" w:cs="Times New Roman"/>
          <w:b/>
          <w:bCs/>
          <w:color w:val="auto"/>
          <w:sz w:val="24"/>
          <w:highlight w:val="none"/>
          <w:lang w:val="en-US" w:eastAsia="zh-CN"/>
        </w:rPr>
        <w:t>9</w:t>
      </w:r>
      <w:r>
        <w:rPr>
          <w:rFonts w:hint="default" w:ascii="Times New Roman" w:hAnsi="Times New Roman" w:eastAsia="黑体" w:cs="Times New Roman"/>
          <w:b/>
          <w:bCs/>
          <w:color w:val="auto"/>
          <w:sz w:val="24"/>
          <w:highlight w:val="none"/>
        </w:rPr>
        <w:t xml:space="preserve"> </w:t>
      </w:r>
      <w:r>
        <w:rPr>
          <w:rFonts w:hint="default" w:ascii="Times New Roman" w:hAnsi="Times New Roman" w:eastAsia="黑体" w:cs="Times New Roman"/>
          <w:b/>
          <w:bCs/>
          <w:color w:val="auto"/>
          <w:sz w:val="24"/>
          <w:highlight w:val="none"/>
          <w:lang w:eastAsia="zh-CN"/>
        </w:rPr>
        <w:t>地下水样品已检出指标监测结果</w:t>
      </w:r>
    </w:p>
    <w:tbl>
      <w:tblPr>
        <w:tblStyle w:val="21"/>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69"/>
        <w:gridCol w:w="2542"/>
        <w:gridCol w:w="1548"/>
        <w:gridCol w:w="1216"/>
        <w:gridCol w:w="1299"/>
        <w:gridCol w:w="1084"/>
        <w:gridCol w:w="1299"/>
      </w:tblGrid>
      <w:tr w14:paraId="058FF0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PrEx>
        <w:trPr>
          <w:trHeight w:val="90" w:hRule="atLeast"/>
          <w:tblHeader/>
          <w:jc w:val="center"/>
        </w:trPr>
        <w:tc>
          <w:tcPr>
            <w:tcW w:w="346" w:type="pct"/>
            <w:tcBorders>
              <w:bottom w:val="single" w:color="auto" w:sz="12" w:space="0"/>
            </w:tcBorders>
            <w:shd w:val="clear" w:color="auto" w:fill="auto"/>
            <w:noWrap/>
            <w:tcMar>
              <w:top w:w="15" w:type="dxa"/>
              <w:left w:w="15" w:type="dxa"/>
              <w:right w:w="15" w:type="dxa"/>
            </w:tcMar>
            <w:vAlign w:val="center"/>
          </w:tcPr>
          <w:p w14:paraId="39FD1E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315" w:type="pct"/>
            <w:tcBorders>
              <w:bottom w:val="single" w:color="auto" w:sz="12" w:space="0"/>
            </w:tcBorders>
            <w:shd w:val="clear" w:color="auto" w:fill="auto"/>
            <w:noWrap/>
            <w:tcMar>
              <w:top w:w="15" w:type="dxa"/>
              <w:left w:w="15" w:type="dxa"/>
              <w:right w:w="15" w:type="dxa"/>
            </w:tcMar>
            <w:vAlign w:val="center"/>
          </w:tcPr>
          <w:p w14:paraId="599AB5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指标</w:t>
            </w:r>
          </w:p>
        </w:tc>
        <w:tc>
          <w:tcPr>
            <w:tcW w:w="801" w:type="pct"/>
            <w:tcBorders>
              <w:bottom w:val="single" w:color="auto" w:sz="12" w:space="0"/>
            </w:tcBorders>
            <w:shd w:val="clear" w:color="auto" w:fill="auto"/>
            <w:noWrap/>
            <w:tcMar>
              <w:top w:w="15" w:type="dxa"/>
              <w:left w:w="15" w:type="dxa"/>
              <w:right w:w="15" w:type="dxa"/>
            </w:tcMar>
            <w:vAlign w:val="center"/>
          </w:tcPr>
          <w:p w14:paraId="081ACC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标准值</w:t>
            </w:r>
          </w:p>
        </w:tc>
        <w:tc>
          <w:tcPr>
            <w:tcW w:w="629" w:type="pct"/>
            <w:tcBorders>
              <w:bottom w:val="single" w:color="auto" w:sz="12" w:space="0"/>
            </w:tcBorders>
            <w:shd w:val="clear" w:color="auto" w:fill="auto"/>
            <w:noWrap/>
            <w:tcMar>
              <w:top w:w="15" w:type="dxa"/>
              <w:left w:w="15" w:type="dxa"/>
              <w:right w:w="15" w:type="dxa"/>
            </w:tcMar>
            <w:vAlign w:val="center"/>
          </w:tcPr>
          <w:p w14:paraId="256C13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2"/>
                <w:sz w:val="21"/>
                <w:szCs w:val="21"/>
                <w:highlight w:val="none"/>
                <w:u w:val="none"/>
                <w:lang w:val="en-US" w:eastAsia="zh-CN" w:bidi="ar-SA"/>
              </w:rPr>
            </w:pPr>
            <w:r>
              <w:rPr>
                <w:rFonts w:hint="default" w:ascii="Times New Roman" w:hAnsi="Times New Roman" w:cs="Times New Roman"/>
                <w:b/>
                <w:i w:val="0"/>
                <w:color w:val="auto"/>
                <w:kern w:val="0"/>
                <w:sz w:val="21"/>
                <w:szCs w:val="21"/>
                <w:highlight w:val="none"/>
                <w:u w:val="none"/>
                <w:lang w:val="en-US" w:eastAsia="zh-CN" w:bidi="ar"/>
              </w:rPr>
              <w:t>SJG</w:t>
            </w:r>
            <w:r>
              <w:rPr>
                <w:rFonts w:hint="default" w:ascii="Times New Roman" w:hAnsi="Times New Roman" w:eastAsia="宋体" w:cs="Times New Roman"/>
                <w:b/>
                <w:i w:val="0"/>
                <w:color w:val="auto"/>
                <w:kern w:val="0"/>
                <w:sz w:val="21"/>
                <w:szCs w:val="21"/>
                <w:highlight w:val="none"/>
                <w:u w:val="none"/>
                <w:lang w:val="en-US" w:eastAsia="zh-CN" w:bidi="ar"/>
              </w:rPr>
              <w:t>-W1</w:t>
            </w:r>
          </w:p>
        </w:tc>
        <w:tc>
          <w:tcPr>
            <w:tcW w:w="672" w:type="pct"/>
            <w:tcBorders>
              <w:bottom w:val="single" w:color="auto" w:sz="12" w:space="0"/>
            </w:tcBorders>
            <w:shd w:val="clear" w:color="auto" w:fill="auto"/>
            <w:noWrap/>
            <w:tcMar>
              <w:top w:w="15" w:type="dxa"/>
              <w:left w:w="15" w:type="dxa"/>
              <w:right w:w="15" w:type="dxa"/>
            </w:tcMar>
            <w:vAlign w:val="center"/>
          </w:tcPr>
          <w:p w14:paraId="3EA1B8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达标情况</w:t>
            </w:r>
          </w:p>
        </w:tc>
        <w:tc>
          <w:tcPr>
            <w:tcW w:w="561" w:type="pct"/>
            <w:tcBorders>
              <w:bottom w:val="single" w:color="auto" w:sz="12" w:space="0"/>
            </w:tcBorders>
            <w:shd w:val="clear" w:color="auto" w:fill="auto"/>
            <w:noWrap/>
            <w:tcMar>
              <w:top w:w="15" w:type="dxa"/>
              <w:left w:w="15" w:type="dxa"/>
              <w:right w:w="15" w:type="dxa"/>
            </w:tcMar>
            <w:vAlign w:val="center"/>
          </w:tcPr>
          <w:p w14:paraId="25BCCD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SJG</w:t>
            </w:r>
            <w:r>
              <w:rPr>
                <w:rFonts w:hint="default" w:ascii="Times New Roman" w:hAnsi="Times New Roman" w:eastAsia="宋体" w:cs="Times New Roman"/>
                <w:b/>
                <w:i w:val="0"/>
                <w:color w:val="auto"/>
                <w:kern w:val="0"/>
                <w:sz w:val="21"/>
                <w:szCs w:val="21"/>
                <w:highlight w:val="none"/>
                <w:u w:val="none"/>
                <w:lang w:val="en-US" w:eastAsia="zh-CN" w:bidi="ar"/>
              </w:rPr>
              <w:t>-W2</w:t>
            </w:r>
          </w:p>
        </w:tc>
        <w:tc>
          <w:tcPr>
            <w:tcW w:w="672" w:type="pct"/>
            <w:tcBorders>
              <w:bottom w:val="single" w:color="auto" w:sz="12" w:space="0"/>
            </w:tcBorders>
            <w:shd w:val="clear" w:color="auto" w:fill="auto"/>
            <w:noWrap/>
            <w:tcMar>
              <w:top w:w="15" w:type="dxa"/>
              <w:left w:w="15" w:type="dxa"/>
              <w:right w:w="15" w:type="dxa"/>
            </w:tcMar>
            <w:vAlign w:val="center"/>
          </w:tcPr>
          <w:p w14:paraId="00C843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达标情况</w:t>
            </w:r>
          </w:p>
        </w:tc>
      </w:tr>
      <w:tr w14:paraId="2DF10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346" w:type="pct"/>
            <w:tcBorders>
              <w:top w:val="single" w:color="auto" w:sz="12" w:space="0"/>
              <w:tl2br w:val="nil"/>
              <w:tr2bl w:val="nil"/>
            </w:tcBorders>
            <w:shd w:val="clear" w:color="auto" w:fill="auto"/>
            <w:noWrap/>
            <w:tcMar>
              <w:top w:w="15" w:type="dxa"/>
              <w:left w:w="15" w:type="dxa"/>
              <w:right w:w="15" w:type="dxa"/>
            </w:tcMar>
            <w:vAlign w:val="center"/>
          </w:tcPr>
          <w:p w14:paraId="62A16F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315" w:type="pct"/>
            <w:tcBorders>
              <w:top w:val="single" w:color="auto" w:sz="12" w:space="0"/>
              <w:tl2br w:val="nil"/>
              <w:tr2bl w:val="nil"/>
            </w:tcBorders>
            <w:shd w:val="clear" w:color="auto" w:fill="auto"/>
            <w:noWrap/>
            <w:tcMar>
              <w:top w:w="15" w:type="dxa"/>
              <w:left w:w="15" w:type="dxa"/>
              <w:right w:w="15" w:type="dxa"/>
            </w:tcMar>
            <w:vAlign w:val="center"/>
          </w:tcPr>
          <w:p w14:paraId="42B4B3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pH 值</w:t>
            </w:r>
          </w:p>
        </w:tc>
        <w:tc>
          <w:tcPr>
            <w:tcW w:w="801" w:type="pct"/>
            <w:tcBorders>
              <w:top w:val="single" w:color="auto" w:sz="12" w:space="0"/>
              <w:tl2br w:val="nil"/>
              <w:tr2bl w:val="nil"/>
            </w:tcBorders>
            <w:shd w:val="clear" w:color="auto" w:fill="auto"/>
            <w:noWrap/>
            <w:tcMar>
              <w:top w:w="15" w:type="dxa"/>
              <w:left w:w="15" w:type="dxa"/>
              <w:right w:w="15" w:type="dxa"/>
            </w:tcMar>
            <w:vAlign w:val="center"/>
          </w:tcPr>
          <w:p w14:paraId="518C2F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5.</w:t>
            </w:r>
            <w:r>
              <w:rPr>
                <w:rFonts w:hint="default" w:ascii="Times New Roman" w:hAnsi="Times New Roman" w:cs="Times New Roman"/>
                <w:i w:val="0"/>
                <w:color w:val="auto"/>
                <w:kern w:val="0"/>
                <w:sz w:val="21"/>
                <w:szCs w:val="21"/>
                <w:highlight w:val="none"/>
                <w:u w:val="none"/>
                <w:lang w:val="en-US" w:eastAsia="zh-CN" w:bidi="ar"/>
              </w:rPr>
              <w:t>5</w:t>
            </w: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pH＜6.5</w:t>
            </w:r>
          </w:p>
          <w:p w14:paraId="792A1F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或8.5＜pH</w:t>
            </w:r>
            <w:r>
              <w:rPr>
                <w:rFonts w:hint="default" w:ascii="Times New Roman" w:hAnsi="Times New Roman" w:eastAsia="宋体" w:cs="Times New Roman"/>
                <w:i w:val="0"/>
                <w:color w:val="auto"/>
                <w:kern w:val="0"/>
                <w:sz w:val="21"/>
                <w:szCs w:val="21"/>
                <w:highlight w:val="none"/>
                <w:u w:val="none"/>
                <w:lang w:val="en-US" w:eastAsia="zh-CN" w:bidi="ar"/>
              </w:rPr>
              <w:t>≤9.0</w:t>
            </w:r>
          </w:p>
        </w:tc>
        <w:tc>
          <w:tcPr>
            <w:tcW w:w="629" w:type="pct"/>
            <w:tcBorders>
              <w:top w:val="single" w:color="auto" w:sz="12" w:space="0"/>
              <w:tl2br w:val="nil"/>
              <w:tr2bl w:val="nil"/>
            </w:tcBorders>
            <w:shd w:val="clear" w:color="auto" w:fill="auto"/>
            <w:noWrap/>
            <w:tcMar>
              <w:top w:w="15" w:type="dxa"/>
              <w:left w:w="15" w:type="dxa"/>
              <w:right w:w="15" w:type="dxa"/>
            </w:tcMar>
            <w:vAlign w:val="center"/>
          </w:tcPr>
          <w:p w14:paraId="7D2F69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7.23</w:t>
            </w:r>
          </w:p>
        </w:tc>
        <w:tc>
          <w:tcPr>
            <w:tcW w:w="672" w:type="pct"/>
            <w:tcBorders>
              <w:top w:val="single" w:color="auto" w:sz="12" w:space="0"/>
              <w:tl2br w:val="nil"/>
              <w:tr2bl w:val="nil"/>
            </w:tcBorders>
            <w:shd w:val="clear" w:color="auto" w:fill="auto"/>
            <w:noWrap/>
            <w:tcMar>
              <w:top w:w="15" w:type="dxa"/>
              <w:left w:w="15" w:type="dxa"/>
              <w:right w:w="15" w:type="dxa"/>
            </w:tcMar>
            <w:vAlign w:val="center"/>
          </w:tcPr>
          <w:p w14:paraId="2FE62C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op w:val="single" w:color="auto" w:sz="12" w:space="0"/>
              <w:tl2br w:val="nil"/>
              <w:tr2bl w:val="nil"/>
            </w:tcBorders>
            <w:shd w:val="clear" w:color="auto" w:fill="auto"/>
            <w:noWrap/>
            <w:tcMar>
              <w:top w:w="15" w:type="dxa"/>
              <w:left w:w="15" w:type="dxa"/>
              <w:right w:w="15" w:type="dxa"/>
            </w:tcMar>
            <w:vAlign w:val="center"/>
          </w:tcPr>
          <w:p w14:paraId="386BA4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7.61</w:t>
            </w:r>
          </w:p>
        </w:tc>
        <w:tc>
          <w:tcPr>
            <w:tcW w:w="672" w:type="pct"/>
            <w:tcBorders>
              <w:top w:val="single" w:color="auto" w:sz="12" w:space="0"/>
              <w:tl2br w:val="nil"/>
              <w:tr2bl w:val="nil"/>
            </w:tcBorders>
            <w:shd w:val="clear" w:color="auto" w:fill="auto"/>
            <w:noWrap/>
            <w:tcMar>
              <w:top w:w="15" w:type="dxa"/>
              <w:left w:w="15" w:type="dxa"/>
              <w:right w:w="15" w:type="dxa"/>
            </w:tcMar>
            <w:vAlign w:val="center"/>
          </w:tcPr>
          <w:p w14:paraId="183A04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11727F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262F98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315" w:type="pct"/>
            <w:tcBorders>
              <w:tl2br w:val="nil"/>
              <w:tr2bl w:val="nil"/>
            </w:tcBorders>
            <w:shd w:val="clear" w:color="auto" w:fill="auto"/>
            <w:noWrap/>
            <w:tcMar>
              <w:top w:w="15" w:type="dxa"/>
              <w:left w:w="15" w:type="dxa"/>
              <w:right w:w="15" w:type="dxa"/>
            </w:tcMar>
            <w:vAlign w:val="center"/>
          </w:tcPr>
          <w:p w14:paraId="0C43B2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801" w:type="pct"/>
            <w:tcBorders>
              <w:tl2br w:val="nil"/>
              <w:tr2bl w:val="nil"/>
            </w:tcBorders>
            <w:shd w:val="clear" w:color="auto" w:fill="auto"/>
            <w:noWrap/>
            <w:tcMar>
              <w:top w:w="15" w:type="dxa"/>
              <w:left w:w="15" w:type="dxa"/>
              <w:right w:w="15" w:type="dxa"/>
            </w:tcMar>
            <w:vAlign w:val="center"/>
          </w:tcPr>
          <w:p w14:paraId="0CA632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650</w:t>
            </w:r>
          </w:p>
        </w:tc>
        <w:tc>
          <w:tcPr>
            <w:tcW w:w="629" w:type="pct"/>
            <w:tcBorders>
              <w:tl2br w:val="nil"/>
              <w:tr2bl w:val="nil"/>
            </w:tcBorders>
            <w:shd w:val="clear" w:color="auto" w:fill="auto"/>
            <w:noWrap/>
            <w:tcMar>
              <w:top w:w="15" w:type="dxa"/>
              <w:left w:w="15" w:type="dxa"/>
              <w:right w:w="15" w:type="dxa"/>
            </w:tcMar>
            <w:vAlign w:val="center"/>
          </w:tcPr>
          <w:p w14:paraId="7BD5FA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290</w:t>
            </w:r>
          </w:p>
        </w:tc>
        <w:tc>
          <w:tcPr>
            <w:tcW w:w="672" w:type="pct"/>
            <w:tcBorders>
              <w:tl2br w:val="nil"/>
              <w:tr2bl w:val="nil"/>
            </w:tcBorders>
            <w:shd w:val="clear" w:color="auto" w:fill="auto"/>
            <w:noWrap/>
            <w:tcMar>
              <w:top w:w="15" w:type="dxa"/>
              <w:left w:w="15" w:type="dxa"/>
              <w:right w:w="15" w:type="dxa"/>
            </w:tcMar>
            <w:vAlign w:val="center"/>
          </w:tcPr>
          <w:p w14:paraId="451E60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5588FE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315</w:t>
            </w:r>
          </w:p>
        </w:tc>
        <w:tc>
          <w:tcPr>
            <w:tcW w:w="672" w:type="pct"/>
            <w:tcBorders>
              <w:tl2br w:val="nil"/>
              <w:tr2bl w:val="nil"/>
            </w:tcBorders>
            <w:shd w:val="clear" w:color="auto" w:fill="auto"/>
            <w:noWrap/>
            <w:tcMar>
              <w:top w:w="15" w:type="dxa"/>
              <w:left w:w="15" w:type="dxa"/>
              <w:right w:w="15" w:type="dxa"/>
            </w:tcMar>
            <w:vAlign w:val="center"/>
          </w:tcPr>
          <w:p w14:paraId="39D2E8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5A280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18F879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315" w:type="pct"/>
            <w:tcBorders>
              <w:tl2br w:val="nil"/>
              <w:tr2bl w:val="nil"/>
            </w:tcBorders>
            <w:shd w:val="clear" w:color="auto" w:fill="auto"/>
            <w:noWrap/>
            <w:tcMar>
              <w:top w:w="15" w:type="dxa"/>
              <w:left w:w="15" w:type="dxa"/>
              <w:right w:w="15" w:type="dxa"/>
            </w:tcMar>
            <w:vAlign w:val="center"/>
          </w:tcPr>
          <w:p w14:paraId="254BEB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801" w:type="pct"/>
            <w:tcBorders>
              <w:tl2br w:val="nil"/>
              <w:tr2bl w:val="nil"/>
            </w:tcBorders>
            <w:shd w:val="clear" w:color="auto" w:fill="auto"/>
            <w:noWrap/>
            <w:tcMar>
              <w:top w:w="15" w:type="dxa"/>
              <w:left w:w="15" w:type="dxa"/>
              <w:right w:w="15" w:type="dxa"/>
            </w:tcMar>
            <w:vAlign w:val="center"/>
          </w:tcPr>
          <w:p w14:paraId="2E1475C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w:t>
            </w: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629" w:type="pct"/>
            <w:tcBorders>
              <w:tl2br w:val="nil"/>
              <w:tr2bl w:val="nil"/>
            </w:tcBorders>
            <w:shd w:val="clear" w:color="auto" w:fill="auto"/>
            <w:noWrap/>
            <w:tcMar>
              <w:top w:w="15" w:type="dxa"/>
              <w:left w:w="15" w:type="dxa"/>
              <w:right w:w="15" w:type="dxa"/>
            </w:tcMar>
            <w:vAlign w:val="center"/>
          </w:tcPr>
          <w:p w14:paraId="36796B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391</w:t>
            </w:r>
          </w:p>
        </w:tc>
        <w:tc>
          <w:tcPr>
            <w:tcW w:w="672" w:type="pct"/>
            <w:tcBorders>
              <w:tl2br w:val="nil"/>
              <w:tr2bl w:val="nil"/>
            </w:tcBorders>
            <w:shd w:val="clear" w:color="auto" w:fill="auto"/>
            <w:noWrap/>
            <w:tcMar>
              <w:top w:w="15" w:type="dxa"/>
              <w:left w:w="15" w:type="dxa"/>
              <w:right w:w="15" w:type="dxa"/>
            </w:tcMar>
            <w:vAlign w:val="center"/>
          </w:tcPr>
          <w:p w14:paraId="2B6A7C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6B2885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335</w:t>
            </w:r>
          </w:p>
        </w:tc>
        <w:tc>
          <w:tcPr>
            <w:tcW w:w="672" w:type="pct"/>
            <w:tcBorders>
              <w:tl2br w:val="nil"/>
              <w:tr2bl w:val="nil"/>
            </w:tcBorders>
            <w:shd w:val="clear" w:color="auto" w:fill="auto"/>
            <w:noWrap/>
            <w:tcMar>
              <w:top w:w="15" w:type="dxa"/>
              <w:left w:w="15" w:type="dxa"/>
              <w:right w:w="15" w:type="dxa"/>
            </w:tcMar>
            <w:vAlign w:val="center"/>
          </w:tcPr>
          <w:p w14:paraId="32BF83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51304D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6F4AB2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315" w:type="pct"/>
            <w:tcBorders>
              <w:tl2br w:val="nil"/>
              <w:tr2bl w:val="nil"/>
            </w:tcBorders>
            <w:shd w:val="clear" w:color="auto" w:fill="auto"/>
            <w:noWrap/>
            <w:tcMar>
              <w:top w:w="15" w:type="dxa"/>
              <w:left w:w="15" w:type="dxa"/>
              <w:right w:w="15" w:type="dxa"/>
            </w:tcMar>
            <w:vAlign w:val="center"/>
          </w:tcPr>
          <w:p w14:paraId="4A5F24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耗氧量</w:t>
            </w:r>
            <w:r>
              <w:rPr>
                <w:rFonts w:hint="default" w:ascii="Times New Roman" w:hAnsi="Times New Roman" w:cs="Times New Roman"/>
                <w:i w:val="0"/>
                <w:color w:val="auto"/>
                <w:kern w:val="0"/>
                <w:sz w:val="21"/>
                <w:szCs w:val="21"/>
                <w:highlight w:val="none"/>
                <w:u w:val="none"/>
                <w:lang w:val="en-US" w:eastAsia="zh-CN" w:bidi="ar"/>
              </w:rPr>
              <w:t>（高锰酸盐指数）</w:t>
            </w:r>
          </w:p>
        </w:tc>
        <w:tc>
          <w:tcPr>
            <w:tcW w:w="801" w:type="pct"/>
            <w:tcBorders>
              <w:tl2br w:val="nil"/>
              <w:tr2bl w:val="nil"/>
            </w:tcBorders>
            <w:shd w:val="clear" w:color="auto" w:fill="auto"/>
            <w:noWrap/>
            <w:tcMar>
              <w:top w:w="15" w:type="dxa"/>
              <w:left w:w="15" w:type="dxa"/>
              <w:right w:w="15" w:type="dxa"/>
            </w:tcMar>
            <w:vAlign w:val="center"/>
          </w:tcPr>
          <w:p w14:paraId="044FD1B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10</w:t>
            </w:r>
          </w:p>
        </w:tc>
        <w:tc>
          <w:tcPr>
            <w:tcW w:w="629" w:type="pct"/>
            <w:tcBorders>
              <w:tl2br w:val="nil"/>
              <w:tr2bl w:val="nil"/>
            </w:tcBorders>
            <w:shd w:val="clear" w:color="auto" w:fill="auto"/>
            <w:noWrap/>
            <w:tcMar>
              <w:top w:w="15" w:type="dxa"/>
              <w:left w:w="15" w:type="dxa"/>
              <w:right w:w="15" w:type="dxa"/>
            </w:tcMar>
            <w:vAlign w:val="center"/>
          </w:tcPr>
          <w:p w14:paraId="629345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0.611</w:t>
            </w:r>
          </w:p>
        </w:tc>
        <w:tc>
          <w:tcPr>
            <w:tcW w:w="672" w:type="pct"/>
            <w:tcBorders>
              <w:tl2br w:val="nil"/>
              <w:tr2bl w:val="nil"/>
            </w:tcBorders>
            <w:shd w:val="clear" w:color="auto" w:fill="auto"/>
            <w:noWrap/>
            <w:tcMar>
              <w:top w:w="15" w:type="dxa"/>
              <w:left w:w="15" w:type="dxa"/>
              <w:right w:w="15" w:type="dxa"/>
            </w:tcMar>
            <w:vAlign w:val="center"/>
          </w:tcPr>
          <w:p w14:paraId="6F5F36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79DDB5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0.889</w:t>
            </w:r>
          </w:p>
        </w:tc>
        <w:tc>
          <w:tcPr>
            <w:tcW w:w="672" w:type="pct"/>
            <w:tcBorders>
              <w:tl2br w:val="nil"/>
              <w:tr2bl w:val="nil"/>
            </w:tcBorders>
            <w:shd w:val="clear" w:color="auto" w:fill="auto"/>
            <w:noWrap/>
            <w:tcMar>
              <w:top w:w="15" w:type="dxa"/>
              <w:left w:w="15" w:type="dxa"/>
              <w:right w:w="15" w:type="dxa"/>
            </w:tcMar>
            <w:vAlign w:val="center"/>
          </w:tcPr>
          <w:p w14:paraId="7FC23E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49B674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0490C7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315" w:type="pct"/>
            <w:tcBorders>
              <w:tl2br w:val="nil"/>
              <w:tr2bl w:val="nil"/>
            </w:tcBorders>
            <w:shd w:val="clear" w:color="auto" w:fill="auto"/>
            <w:noWrap/>
            <w:tcMar>
              <w:top w:w="15" w:type="dxa"/>
              <w:left w:w="15" w:type="dxa"/>
              <w:right w:w="15" w:type="dxa"/>
            </w:tcMar>
            <w:vAlign w:val="center"/>
          </w:tcPr>
          <w:p w14:paraId="467D46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801" w:type="pct"/>
            <w:tcBorders>
              <w:tl2br w:val="nil"/>
              <w:tr2bl w:val="nil"/>
            </w:tcBorders>
            <w:shd w:val="clear" w:color="auto" w:fill="auto"/>
            <w:noWrap/>
            <w:tcMar>
              <w:top w:w="15" w:type="dxa"/>
              <w:left w:w="15" w:type="dxa"/>
              <w:right w:w="15" w:type="dxa"/>
            </w:tcMar>
            <w:vAlign w:val="center"/>
          </w:tcPr>
          <w:p w14:paraId="39BCC4E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50</w:t>
            </w:r>
          </w:p>
        </w:tc>
        <w:tc>
          <w:tcPr>
            <w:tcW w:w="629" w:type="pct"/>
            <w:tcBorders>
              <w:tl2br w:val="nil"/>
              <w:tr2bl w:val="nil"/>
            </w:tcBorders>
            <w:shd w:val="clear" w:color="auto" w:fill="auto"/>
            <w:noWrap/>
            <w:tcMar>
              <w:top w:w="15" w:type="dxa"/>
              <w:left w:w="15" w:type="dxa"/>
              <w:right w:w="15" w:type="dxa"/>
            </w:tcMar>
            <w:vAlign w:val="center"/>
          </w:tcPr>
          <w:p w14:paraId="6BABE0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1.93</w:t>
            </w:r>
          </w:p>
        </w:tc>
        <w:tc>
          <w:tcPr>
            <w:tcW w:w="672" w:type="pct"/>
            <w:tcBorders>
              <w:tl2br w:val="nil"/>
              <w:tr2bl w:val="nil"/>
            </w:tcBorders>
            <w:shd w:val="clear" w:color="auto" w:fill="auto"/>
            <w:noWrap/>
            <w:tcMar>
              <w:top w:w="15" w:type="dxa"/>
              <w:left w:w="15" w:type="dxa"/>
              <w:right w:w="15" w:type="dxa"/>
            </w:tcMar>
            <w:vAlign w:val="center"/>
          </w:tcPr>
          <w:p w14:paraId="741D32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3946A2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7.37</w:t>
            </w:r>
          </w:p>
        </w:tc>
        <w:tc>
          <w:tcPr>
            <w:tcW w:w="672" w:type="pct"/>
            <w:tcBorders>
              <w:tl2br w:val="nil"/>
              <w:tr2bl w:val="nil"/>
            </w:tcBorders>
            <w:shd w:val="clear" w:color="auto" w:fill="auto"/>
            <w:noWrap/>
            <w:tcMar>
              <w:top w:w="15" w:type="dxa"/>
              <w:left w:w="15" w:type="dxa"/>
              <w:right w:w="15" w:type="dxa"/>
            </w:tcMar>
            <w:vAlign w:val="center"/>
          </w:tcPr>
          <w:p w14:paraId="4CBE7D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13A6A1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133633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315" w:type="pct"/>
            <w:tcBorders>
              <w:tl2br w:val="nil"/>
              <w:tr2bl w:val="nil"/>
            </w:tcBorders>
            <w:shd w:val="clear" w:color="auto" w:fill="auto"/>
            <w:noWrap/>
            <w:tcMar>
              <w:top w:w="15" w:type="dxa"/>
              <w:left w:w="15" w:type="dxa"/>
              <w:right w:w="15" w:type="dxa"/>
            </w:tcMar>
            <w:vAlign w:val="center"/>
          </w:tcPr>
          <w:p w14:paraId="4BE144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硝酸盐(以氮计)</w:t>
            </w:r>
          </w:p>
        </w:tc>
        <w:tc>
          <w:tcPr>
            <w:tcW w:w="801" w:type="pct"/>
            <w:tcBorders>
              <w:tl2br w:val="nil"/>
              <w:tr2bl w:val="nil"/>
            </w:tcBorders>
            <w:shd w:val="clear" w:color="auto" w:fill="auto"/>
            <w:noWrap/>
            <w:tcMar>
              <w:top w:w="15" w:type="dxa"/>
              <w:left w:w="15" w:type="dxa"/>
              <w:right w:w="15" w:type="dxa"/>
            </w:tcMar>
            <w:vAlign w:val="center"/>
          </w:tcPr>
          <w:p w14:paraId="211ED78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0</w:t>
            </w:r>
          </w:p>
        </w:tc>
        <w:tc>
          <w:tcPr>
            <w:tcW w:w="629" w:type="pct"/>
            <w:tcBorders>
              <w:tl2br w:val="nil"/>
              <w:tr2bl w:val="nil"/>
            </w:tcBorders>
            <w:shd w:val="clear" w:color="auto" w:fill="auto"/>
            <w:noWrap/>
            <w:tcMar>
              <w:top w:w="15" w:type="dxa"/>
              <w:left w:w="15" w:type="dxa"/>
              <w:right w:w="15" w:type="dxa"/>
            </w:tcMar>
            <w:vAlign w:val="center"/>
          </w:tcPr>
          <w:p w14:paraId="263753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0.492</w:t>
            </w:r>
          </w:p>
        </w:tc>
        <w:tc>
          <w:tcPr>
            <w:tcW w:w="672" w:type="pct"/>
            <w:tcBorders>
              <w:tl2br w:val="nil"/>
              <w:tr2bl w:val="nil"/>
            </w:tcBorders>
            <w:shd w:val="clear" w:color="auto" w:fill="auto"/>
            <w:noWrap/>
            <w:tcMar>
              <w:top w:w="15" w:type="dxa"/>
              <w:left w:w="15" w:type="dxa"/>
              <w:right w:w="15" w:type="dxa"/>
            </w:tcMar>
            <w:vAlign w:val="center"/>
          </w:tcPr>
          <w:p w14:paraId="5A3CE7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1D881B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0.968</w:t>
            </w:r>
          </w:p>
        </w:tc>
        <w:tc>
          <w:tcPr>
            <w:tcW w:w="672" w:type="pct"/>
            <w:tcBorders>
              <w:tl2br w:val="nil"/>
              <w:tr2bl w:val="nil"/>
            </w:tcBorders>
            <w:shd w:val="clear" w:color="auto" w:fill="auto"/>
            <w:noWrap/>
            <w:tcMar>
              <w:top w:w="15" w:type="dxa"/>
              <w:left w:w="15" w:type="dxa"/>
              <w:right w:w="15" w:type="dxa"/>
            </w:tcMar>
            <w:vAlign w:val="center"/>
          </w:tcPr>
          <w:p w14:paraId="3B8244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4EB6F7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759572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315" w:type="pct"/>
            <w:tcBorders>
              <w:tl2br w:val="nil"/>
              <w:tr2bl w:val="nil"/>
            </w:tcBorders>
            <w:shd w:val="clear" w:color="auto" w:fill="auto"/>
            <w:noWrap/>
            <w:tcMar>
              <w:top w:w="15" w:type="dxa"/>
              <w:left w:w="15" w:type="dxa"/>
              <w:right w:w="15" w:type="dxa"/>
            </w:tcMar>
            <w:vAlign w:val="center"/>
          </w:tcPr>
          <w:p w14:paraId="595830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801" w:type="pct"/>
            <w:tcBorders>
              <w:tl2br w:val="nil"/>
              <w:tr2bl w:val="nil"/>
            </w:tcBorders>
            <w:shd w:val="clear" w:color="auto" w:fill="auto"/>
            <w:noWrap/>
            <w:tcMar>
              <w:top w:w="15" w:type="dxa"/>
              <w:left w:w="15" w:type="dxa"/>
              <w:right w:w="15" w:type="dxa"/>
            </w:tcMar>
            <w:vAlign w:val="center"/>
          </w:tcPr>
          <w:p w14:paraId="5223D1B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350</w:t>
            </w:r>
          </w:p>
        </w:tc>
        <w:tc>
          <w:tcPr>
            <w:tcW w:w="629" w:type="pct"/>
            <w:tcBorders>
              <w:tl2br w:val="nil"/>
              <w:tr2bl w:val="nil"/>
            </w:tcBorders>
            <w:shd w:val="clear" w:color="auto" w:fill="auto"/>
            <w:noWrap/>
            <w:tcMar>
              <w:top w:w="15" w:type="dxa"/>
              <w:left w:w="15" w:type="dxa"/>
              <w:right w:w="15" w:type="dxa"/>
            </w:tcMar>
            <w:vAlign w:val="center"/>
          </w:tcPr>
          <w:p w14:paraId="4D2467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6.05</w:t>
            </w:r>
          </w:p>
        </w:tc>
        <w:tc>
          <w:tcPr>
            <w:tcW w:w="672" w:type="pct"/>
            <w:tcBorders>
              <w:tl2br w:val="nil"/>
              <w:tr2bl w:val="nil"/>
            </w:tcBorders>
            <w:shd w:val="clear" w:color="auto" w:fill="auto"/>
            <w:noWrap/>
            <w:tcMar>
              <w:top w:w="15" w:type="dxa"/>
              <w:left w:w="15" w:type="dxa"/>
              <w:right w:w="15" w:type="dxa"/>
            </w:tcMar>
            <w:vAlign w:val="center"/>
          </w:tcPr>
          <w:p w14:paraId="36BA5D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0E9B4A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4.57</w:t>
            </w:r>
          </w:p>
        </w:tc>
        <w:tc>
          <w:tcPr>
            <w:tcW w:w="672" w:type="pct"/>
            <w:tcBorders>
              <w:tl2br w:val="nil"/>
              <w:tr2bl w:val="nil"/>
            </w:tcBorders>
            <w:shd w:val="clear" w:color="auto" w:fill="auto"/>
            <w:noWrap/>
            <w:tcMar>
              <w:top w:w="15" w:type="dxa"/>
              <w:left w:w="15" w:type="dxa"/>
              <w:right w:w="15" w:type="dxa"/>
            </w:tcMar>
            <w:vAlign w:val="center"/>
          </w:tcPr>
          <w:p w14:paraId="7136C7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7644E0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415FBE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315" w:type="pct"/>
            <w:tcBorders>
              <w:tl2br w:val="nil"/>
              <w:tr2bl w:val="nil"/>
            </w:tcBorders>
            <w:shd w:val="clear" w:color="auto" w:fill="auto"/>
            <w:noWrap/>
            <w:tcMar>
              <w:top w:w="15" w:type="dxa"/>
              <w:left w:w="15" w:type="dxa"/>
              <w:right w:w="15" w:type="dxa"/>
            </w:tcMar>
            <w:vAlign w:val="center"/>
          </w:tcPr>
          <w:p w14:paraId="5CB407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总氟化物</w:t>
            </w:r>
          </w:p>
        </w:tc>
        <w:tc>
          <w:tcPr>
            <w:tcW w:w="801" w:type="pct"/>
            <w:tcBorders>
              <w:tl2br w:val="nil"/>
              <w:tr2bl w:val="nil"/>
            </w:tcBorders>
            <w:shd w:val="clear" w:color="auto" w:fill="auto"/>
            <w:noWrap/>
            <w:tcMar>
              <w:top w:w="15" w:type="dxa"/>
              <w:left w:w="15" w:type="dxa"/>
              <w:right w:w="15" w:type="dxa"/>
            </w:tcMar>
            <w:vAlign w:val="center"/>
          </w:tcPr>
          <w:p w14:paraId="4C935CE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2.0</w:t>
            </w:r>
          </w:p>
        </w:tc>
        <w:tc>
          <w:tcPr>
            <w:tcW w:w="629" w:type="pct"/>
            <w:tcBorders>
              <w:tl2br w:val="nil"/>
              <w:tr2bl w:val="nil"/>
            </w:tcBorders>
            <w:shd w:val="clear" w:color="auto" w:fill="auto"/>
            <w:noWrap/>
            <w:tcMar>
              <w:top w:w="15" w:type="dxa"/>
              <w:left w:w="15" w:type="dxa"/>
              <w:right w:w="15" w:type="dxa"/>
            </w:tcMar>
            <w:vAlign w:val="center"/>
          </w:tcPr>
          <w:p w14:paraId="46E297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0.202</w:t>
            </w:r>
          </w:p>
        </w:tc>
        <w:tc>
          <w:tcPr>
            <w:tcW w:w="672" w:type="pct"/>
            <w:tcBorders>
              <w:tl2br w:val="nil"/>
              <w:tr2bl w:val="nil"/>
            </w:tcBorders>
            <w:shd w:val="clear" w:color="auto" w:fill="auto"/>
            <w:noWrap/>
            <w:tcMar>
              <w:top w:w="15" w:type="dxa"/>
              <w:left w:w="15" w:type="dxa"/>
              <w:right w:w="15" w:type="dxa"/>
            </w:tcMar>
            <w:vAlign w:val="center"/>
          </w:tcPr>
          <w:p w14:paraId="301821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21CD1F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0.168</w:t>
            </w:r>
          </w:p>
        </w:tc>
        <w:tc>
          <w:tcPr>
            <w:tcW w:w="672" w:type="pct"/>
            <w:tcBorders>
              <w:tl2br w:val="nil"/>
              <w:tr2bl w:val="nil"/>
            </w:tcBorders>
            <w:shd w:val="clear" w:color="auto" w:fill="auto"/>
            <w:noWrap/>
            <w:tcMar>
              <w:top w:w="15" w:type="dxa"/>
              <w:left w:w="15" w:type="dxa"/>
              <w:right w:w="15" w:type="dxa"/>
            </w:tcMar>
            <w:vAlign w:val="center"/>
          </w:tcPr>
          <w:p w14:paraId="2EBA50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77FD11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34C9FC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9</w:t>
            </w:r>
          </w:p>
        </w:tc>
        <w:tc>
          <w:tcPr>
            <w:tcW w:w="1315" w:type="pct"/>
            <w:tcBorders>
              <w:tl2br w:val="nil"/>
              <w:tr2bl w:val="nil"/>
            </w:tcBorders>
            <w:shd w:val="clear" w:color="auto" w:fill="auto"/>
            <w:noWrap/>
            <w:tcMar>
              <w:top w:w="15" w:type="dxa"/>
              <w:left w:w="15" w:type="dxa"/>
              <w:right w:w="15" w:type="dxa"/>
            </w:tcMar>
            <w:vAlign w:val="center"/>
          </w:tcPr>
          <w:p w14:paraId="767B36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p>
        </w:tc>
        <w:tc>
          <w:tcPr>
            <w:tcW w:w="801" w:type="pct"/>
            <w:tcBorders>
              <w:tl2br w:val="nil"/>
              <w:tr2bl w:val="nil"/>
            </w:tcBorders>
            <w:shd w:val="clear" w:color="auto" w:fill="auto"/>
            <w:noWrap/>
            <w:tcMar>
              <w:top w:w="15" w:type="dxa"/>
              <w:left w:w="15" w:type="dxa"/>
              <w:right w:w="15" w:type="dxa"/>
            </w:tcMar>
            <w:vAlign w:val="center"/>
          </w:tcPr>
          <w:p w14:paraId="7C44CD3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1.50</w:t>
            </w:r>
          </w:p>
        </w:tc>
        <w:tc>
          <w:tcPr>
            <w:tcW w:w="629" w:type="pct"/>
            <w:tcBorders>
              <w:tl2br w:val="nil"/>
              <w:tr2bl w:val="nil"/>
            </w:tcBorders>
            <w:shd w:val="clear" w:color="auto" w:fill="auto"/>
            <w:noWrap/>
            <w:tcMar>
              <w:top w:w="15" w:type="dxa"/>
              <w:left w:w="15" w:type="dxa"/>
              <w:right w:w="15" w:type="dxa"/>
            </w:tcMar>
            <w:vAlign w:val="center"/>
          </w:tcPr>
          <w:p w14:paraId="554E01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0.13</w:t>
            </w:r>
          </w:p>
        </w:tc>
        <w:tc>
          <w:tcPr>
            <w:tcW w:w="672" w:type="pct"/>
            <w:tcBorders>
              <w:tl2br w:val="nil"/>
              <w:tr2bl w:val="nil"/>
            </w:tcBorders>
            <w:shd w:val="clear" w:color="auto" w:fill="auto"/>
            <w:noWrap/>
            <w:tcMar>
              <w:top w:w="15" w:type="dxa"/>
              <w:left w:w="15" w:type="dxa"/>
              <w:right w:w="15" w:type="dxa"/>
            </w:tcMar>
            <w:vAlign w:val="center"/>
          </w:tcPr>
          <w:p w14:paraId="23C5AA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7D09CE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0.38</w:t>
            </w:r>
          </w:p>
        </w:tc>
        <w:tc>
          <w:tcPr>
            <w:tcW w:w="672" w:type="pct"/>
            <w:tcBorders>
              <w:tl2br w:val="nil"/>
              <w:tr2bl w:val="nil"/>
            </w:tcBorders>
            <w:shd w:val="clear" w:color="auto" w:fill="auto"/>
            <w:noWrap/>
            <w:tcMar>
              <w:top w:w="15" w:type="dxa"/>
              <w:left w:w="15" w:type="dxa"/>
              <w:right w:w="15" w:type="dxa"/>
            </w:tcMar>
            <w:vAlign w:val="center"/>
          </w:tcPr>
          <w:p w14:paraId="5DAC88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7A6556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4D365B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10</w:t>
            </w:r>
          </w:p>
        </w:tc>
        <w:tc>
          <w:tcPr>
            <w:tcW w:w="1315" w:type="pct"/>
            <w:tcBorders>
              <w:tl2br w:val="nil"/>
              <w:tr2bl w:val="nil"/>
            </w:tcBorders>
            <w:shd w:val="clear" w:color="auto" w:fill="auto"/>
            <w:noWrap/>
            <w:tcMar>
              <w:top w:w="15" w:type="dxa"/>
              <w:left w:w="15" w:type="dxa"/>
              <w:right w:w="15" w:type="dxa"/>
            </w:tcMar>
            <w:vAlign w:val="center"/>
          </w:tcPr>
          <w:p w14:paraId="72BA2D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亚硝酸盐氮</w:t>
            </w:r>
          </w:p>
        </w:tc>
        <w:tc>
          <w:tcPr>
            <w:tcW w:w="801" w:type="pct"/>
            <w:tcBorders>
              <w:tl2br w:val="nil"/>
              <w:tr2bl w:val="nil"/>
            </w:tcBorders>
            <w:shd w:val="clear" w:color="auto" w:fill="auto"/>
            <w:noWrap/>
            <w:tcMar>
              <w:top w:w="15" w:type="dxa"/>
              <w:left w:w="15" w:type="dxa"/>
              <w:right w:w="15" w:type="dxa"/>
            </w:tcMar>
            <w:vAlign w:val="center"/>
          </w:tcPr>
          <w:p w14:paraId="3981533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4.80</w:t>
            </w:r>
          </w:p>
        </w:tc>
        <w:tc>
          <w:tcPr>
            <w:tcW w:w="629" w:type="pct"/>
            <w:tcBorders>
              <w:tl2br w:val="nil"/>
              <w:tr2bl w:val="nil"/>
            </w:tcBorders>
            <w:shd w:val="clear" w:color="auto" w:fill="auto"/>
            <w:noWrap/>
            <w:tcMar>
              <w:top w:w="15" w:type="dxa"/>
              <w:left w:w="15" w:type="dxa"/>
              <w:right w:w="15" w:type="dxa"/>
            </w:tcMar>
            <w:vAlign w:val="center"/>
          </w:tcPr>
          <w:p w14:paraId="086D44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0.002</w:t>
            </w:r>
          </w:p>
        </w:tc>
        <w:tc>
          <w:tcPr>
            <w:tcW w:w="672" w:type="pct"/>
            <w:tcBorders>
              <w:tl2br w:val="nil"/>
              <w:tr2bl w:val="nil"/>
            </w:tcBorders>
            <w:shd w:val="clear" w:color="auto" w:fill="auto"/>
            <w:noWrap/>
            <w:tcMar>
              <w:top w:w="15" w:type="dxa"/>
              <w:left w:w="15" w:type="dxa"/>
              <w:right w:w="15" w:type="dxa"/>
            </w:tcMar>
            <w:vAlign w:val="center"/>
          </w:tcPr>
          <w:p w14:paraId="148A4B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03C472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0.016</w:t>
            </w:r>
          </w:p>
        </w:tc>
        <w:tc>
          <w:tcPr>
            <w:tcW w:w="672" w:type="pct"/>
            <w:tcBorders>
              <w:tl2br w:val="nil"/>
              <w:tr2bl w:val="nil"/>
            </w:tcBorders>
            <w:shd w:val="clear" w:color="auto" w:fill="auto"/>
            <w:noWrap/>
            <w:tcMar>
              <w:top w:w="15" w:type="dxa"/>
              <w:left w:w="15" w:type="dxa"/>
              <w:right w:w="15" w:type="dxa"/>
            </w:tcMar>
            <w:vAlign w:val="center"/>
          </w:tcPr>
          <w:p w14:paraId="0D5232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6E2887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494449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11</w:t>
            </w:r>
          </w:p>
        </w:tc>
        <w:tc>
          <w:tcPr>
            <w:tcW w:w="1315" w:type="pct"/>
            <w:tcBorders>
              <w:tl2br w:val="nil"/>
              <w:tr2bl w:val="nil"/>
            </w:tcBorders>
            <w:shd w:val="clear" w:color="auto" w:fill="auto"/>
            <w:noWrap/>
            <w:tcMar>
              <w:top w:w="15" w:type="dxa"/>
              <w:left w:w="15" w:type="dxa"/>
              <w:right w:w="15" w:type="dxa"/>
            </w:tcMar>
            <w:vAlign w:val="center"/>
          </w:tcPr>
          <w:p w14:paraId="495D90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801" w:type="pct"/>
            <w:tcBorders>
              <w:tl2br w:val="nil"/>
              <w:tr2bl w:val="nil"/>
            </w:tcBorders>
            <w:shd w:val="clear" w:color="auto" w:fill="auto"/>
            <w:noWrap/>
            <w:tcMar>
              <w:top w:w="15" w:type="dxa"/>
              <w:left w:w="15" w:type="dxa"/>
              <w:right w:w="15" w:type="dxa"/>
            </w:tcMar>
            <w:vAlign w:val="center"/>
          </w:tcPr>
          <w:p w14:paraId="7EC69DF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1.50</w:t>
            </w:r>
          </w:p>
        </w:tc>
        <w:tc>
          <w:tcPr>
            <w:tcW w:w="629" w:type="pct"/>
            <w:tcBorders>
              <w:tl2br w:val="nil"/>
              <w:tr2bl w:val="nil"/>
            </w:tcBorders>
            <w:shd w:val="clear" w:color="auto" w:fill="auto"/>
            <w:noWrap/>
            <w:tcMar>
              <w:top w:w="15" w:type="dxa"/>
              <w:left w:w="15" w:type="dxa"/>
              <w:right w:w="15" w:type="dxa"/>
            </w:tcMar>
            <w:vAlign w:val="center"/>
          </w:tcPr>
          <w:p w14:paraId="2DC3D7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0.0928</w:t>
            </w:r>
          </w:p>
        </w:tc>
        <w:tc>
          <w:tcPr>
            <w:tcW w:w="672" w:type="pct"/>
            <w:tcBorders>
              <w:tl2br w:val="nil"/>
              <w:tr2bl w:val="nil"/>
            </w:tcBorders>
            <w:shd w:val="clear" w:color="auto" w:fill="auto"/>
            <w:noWrap/>
            <w:tcMar>
              <w:top w:w="15" w:type="dxa"/>
              <w:left w:w="15" w:type="dxa"/>
              <w:right w:w="15" w:type="dxa"/>
            </w:tcMar>
            <w:vAlign w:val="center"/>
          </w:tcPr>
          <w:p w14:paraId="73DD9F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1D9566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0.0957</w:t>
            </w:r>
          </w:p>
        </w:tc>
        <w:tc>
          <w:tcPr>
            <w:tcW w:w="672" w:type="pct"/>
            <w:tcBorders>
              <w:tl2br w:val="nil"/>
              <w:tr2bl w:val="nil"/>
            </w:tcBorders>
            <w:shd w:val="clear" w:color="auto" w:fill="auto"/>
            <w:noWrap/>
            <w:tcMar>
              <w:top w:w="15" w:type="dxa"/>
              <w:left w:w="15" w:type="dxa"/>
              <w:right w:w="15" w:type="dxa"/>
            </w:tcMar>
            <w:vAlign w:val="center"/>
          </w:tcPr>
          <w:p w14:paraId="1FFFCB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0E913C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4B2725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12</w:t>
            </w:r>
          </w:p>
        </w:tc>
        <w:tc>
          <w:tcPr>
            <w:tcW w:w="1315" w:type="pct"/>
            <w:tcBorders>
              <w:tl2br w:val="nil"/>
              <w:tr2bl w:val="nil"/>
            </w:tcBorders>
            <w:shd w:val="clear" w:color="auto" w:fill="auto"/>
            <w:noWrap/>
            <w:tcMar>
              <w:top w:w="15" w:type="dxa"/>
              <w:left w:w="15" w:type="dxa"/>
              <w:right w:w="15" w:type="dxa"/>
            </w:tcMar>
            <w:vAlign w:val="center"/>
          </w:tcPr>
          <w:p w14:paraId="5C0A2A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801" w:type="pct"/>
            <w:tcBorders>
              <w:tl2br w:val="nil"/>
              <w:tr2bl w:val="nil"/>
            </w:tcBorders>
            <w:shd w:val="clear" w:color="auto" w:fill="auto"/>
            <w:noWrap/>
            <w:tcMar>
              <w:top w:w="15" w:type="dxa"/>
              <w:left w:w="15" w:type="dxa"/>
              <w:right w:w="15" w:type="dxa"/>
            </w:tcMar>
            <w:vAlign w:val="center"/>
          </w:tcPr>
          <w:p w14:paraId="6B7788C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≤200</w:t>
            </w:r>
          </w:p>
        </w:tc>
        <w:tc>
          <w:tcPr>
            <w:tcW w:w="629" w:type="pct"/>
            <w:tcBorders>
              <w:tl2br w:val="nil"/>
              <w:tr2bl w:val="nil"/>
            </w:tcBorders>
            <w:shd w:val="clear" w:color="auto" w:fill="auto"/>
            <w:noWrap/>
            <w:tcMar>
              <w:top w:w="15" w:type="dxa"/>
              <w:left w:w="15" w:type="dxa"/>
              <w:right w:w="15" w:type="dxa"/>
            </w:tcMar>
            <w:vAlign w:val="center"/>
          </w:tcPr>
          <w:p w14:paraId="1D627B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cs="Times New Roman"/>
                <w:i w:val="0"/>
                <w:color w:val="auto"/>
                <w:kern w:val="0"/>
                <w:sz w:val="21"/>
                <w:szCs w:val="21"/>
                <w:highlight w:val="none"/>
                <w:u w:val="none"/>
                <w:lang w:val="en-US" w:eastAsia="zh-CN" w:bidi="ar"/>
              </w:rPr>
              <w:t>28</w:t>
            </w:r>
          </w:p>
        </w:tc>
        <w:tc>
          <w:tcPr>
            <w:tcW w:w="672" w:type="pct"/>
            <w:tcBorders>
              <w:tl2br w:val="nil"/>
              <w:tr2bl w:val="nil"/>
            </w:tcBorders>
            <w:shd w:val="clear" w:color="auto" w:fill="auto"/>
            <w:noWrap/>
            <w:tcMar>
              <w:top w:w="15" w:type="dxa"/>
              <w:left w:w="15" w:type="dxa"/>
              <w:right w:w="15" w:type="dxa"/>
            </w:tcMar>
            <w:vAlign w:val="center"/>
          </w:tcPr>
          <w:p w14:paraId="4E6F30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52F513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20</w:t>
            </w:r>
          </w:p>
        </w:tc>
        <w:tc>
          <w:tcPr>
            <w:tcW w:w="672" w:type="pct"/>
            <w:tcBorders>
              <w:tl2br w:val="nil"/>
              <w:tr2bl w:val="nil"/>
            </w:tcBorders>
            <w:shd w:val="clear" w:color="auto" w:fill="auto"/>
            <w:noWrap/>
            <w:tcMar>
              <w:top w:w="15" w:type="dxa"/>
              <w:left w:w="15" w:type="dxa"/>
              <w:right w:w="15" w:type="dxa"/>
            </w:tcMar>
            <w:vAlign w:val="center"/>
          </w:tcPr>
          <w:p w14:paraId="16FFFE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301F4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4D6A57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13</w:t>
            </w:r>
          </w:p>
        </w:tc>
        <w:tc>
          <w:tcPr>
            <w:tcW w:w="1315" w:type="pct"/>
            <w:tcBorders>
              <w:tl2br w:val="nil"/>
              <w:tr2bl w:val="nil"/>
            </w:tcBorders>
            <w:shd w:val="clear" w:color="auto" w:fill="auto"/>
            <w:noWrap/>
            <w:tcMar>
              <w:top w:w="15" w:type="dxa"/>
              <w:left w:w="15" w:type="dxa"/>
              <w:right w:w="15" w:type="dxa"/>
            </w:tcMar>
            <w:vAlign w:val="center"/>
          </w:tcPr>
          <w:p w14:paraId="1AE755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801" w:type="pct"/>
            <w:tcBorders>
              <w:tl2br w:val="nil"/>
              <w:tr2bl w:val="nil"/>
            </w:tcBorders>
            <w:shd w:val="clear" w:color="auto" w:fill="auto"/>
            <w:noWrap/>
            <w:tcMar>
              <w:top w:w="15" w:type="dxa"/>
              <w:left w:w="15" w:type="dxa"/>
              <w:right w:w="15" w:type="dxa"/>
            </w:tcMar>
            <w:vAlign w:val="center"/>
          </w:tcPr>
          <w:p w14:paraId="1C8EE32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5.00</w:t>
            </w:r>
          </w:p>
        </w:tc>
        <w:tc>
          <w:tcPr>
            <w:tcW w:w="629" w:type="pct"/>
            <w:tcBorders>
              <w:tl2br w:val="nil"/>
              <w:tr2bl w:val="nil"/>
            </w:tcBorders>
            <w:shd w:val="clear" w:color="auto" w:fill="auto"/>
            <w:noWrap/>
            <w:tcMar>
              <w:top w:w="15" w:type="dxa"/>
              <w:left w:w="15" w:type="dxa"/>
              <w:right w:w="15" w:type="dxa"/>
            </w:tcMar>
            <w:vAlign w:val="center"/>
          </w:tcPr>
          <w:p w14:paraId="784904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0.00</w:t>
            </w:r>
            <w:r>
              <w:rPr>
                <w:rFonts w:hint="default" w:ascii="Times New Roman" w:hAnsi="Times New Roman" w:cs="Times New Roman"/>
                <w:i w:val="0"/>
                <w:color w:val="auto"/>
                <w:kern w:val="0"/>
                <w:sz w:val="21"/>
                <w:szCs w:val="21"/>
                <w:highlight w:val="none"/>
                <w:u w:val="none"/>
                <w:lang w:val="en-US" w:eastAsia="zh-CN" w:bidi="ar"/>
              </w:rPr>
              <w:t>9</w:t>
            </w:r>
          </w:p>
        </w:tc>
        <w:tc>
          <w:tcPr>
            <w:tcW w:w="672" w:type="pct"/>
            <w:tcBorders>
              <w:tl2br w:val="nil"/>
              <w:tr2bl w:val="nil"/>
            </w:tcBorders>
            <w:shd w:val="clear" w:color="auto" w:fill="auto"/>
            <w:noWrap/>
            <w:tcMar>
              <w:top w:w="15" w:type="dxa"/>
              <w:left w:w="15" w:type="dxa"/>
              <w:right w:w="15" w:type="dxa"/>
            </w:tcMar>
            <w:vAlign w:val="center"/>
          </w:tcPr>
          <w:p w14:paraId="4414E6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5FA7A1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0.00</w:t>
            </w:r>
            <w:r>
              <w:rPr>
                <w:rFonts w:hint="default" w:ascii="Times New Roman" w:hAnsi="Times New Roman" w:cs="Times New Roman"/>
                <w:i w:val="0"/>
                <w:color w:val="auto"/>
                <w:kern w:val="0"/>
                <w:sz w:val="21"/>
                <w:szCs w:val="21"/>
                <w:highlight w:val="none"/>
                <w:u w:val="none"/>
                <w:lang w:val="en-US" w:eastAsia="zh-CN" w:bidi="ar"/>
              </w:rPr>
              <w:t>9</w:t>
            </w:r>
          </w:p>
        </w:tc>
        <w:tc>
          <w:tcPr>
            <w:tcW w:w="672" w:type="pct"/>
            <w:tcBorders>
              <w:tl2br w:val="nil"/>
              <w:tr2bl w:val="nil"/>
            </w:tcBorders>
            <w:shd w:val="clear" w:color="auto" w:fill="auto"/>
            <w:noWrap/>
            <w:tcMar>
              <w:top w:w="15" w:type="dxa"/>
              <w:left w:w="15" w:type="dxa"/>
              <w:right w:w="15" w:type="dxa"/>
            </w:tcMar>
            <w:vAlign w:val="center"/>
          </w:tcPr>
          <w:p w14:paraId="18F970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4BA197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5F5BB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14</w:t>
            </w:r>
          </w:p>
        </w:tc>
        <w:tc>
          <w:tcPr>
            <w:tcW w:w="1315" w:type="pct"/>
            <w:tcBorders>
              <w:tl2br w:val="nil"/>
              <w:tr2bl w:val="nil"/>
            </w:tcBorders>
            <w:shd w:val="clear" w:color="auto" w:fill="auto"/>
            <w:noWrap/>
            <w:tcMar>
              <w:top w:w="15" w:type="dxa"/>
              <w:left w:w="15" w:type="dxa"/>
              <w:right w:w="15" w:type="dxa"/>
            </w:tcMar>
            <w:vAlign w:val="center"/>
          </w:tcPr>
          <w:p w14:paraId="56E9A9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801" w:type="pct"/>
            <w:tcBorders>
              <w:tl2br w:val="nil"/>
              <w:tr2bl w:val="nil"/>
            </w:tcBorders>
            <w:shd w:val="clear" w:color="auto" w:fill="auto"/>
            <w:noWrap/>
            <w:tcMar>
              <w:top w:w="15" w:type="dxa"/>
              <w:left w:w="15" w:type="dxa"/>
              <w:right w:w="15" w:type="dxa"/>
            </w:tcMar>
            <w:vAlign w:val="center"/>
          </w:tcPr>
          <w:p w14:paraId="0BBF9C6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≤0.05</w:t>
            </w:r>
          </w:p>
        </w:tc>
        <w:tc>
          <w:tcPr>
            <w:tcW w:w="629" w:type="pct"/>
            <w:tcBorders>
              <w:tl2br w:val="nil"/>
              <w:tr2bl w:val="nil"/>
            </w:tcBorders>
            <w:shd w:val="clear" w:color="auto" w:fill="auto"/>
            <w:noWrap/>
            <w:tcMar>
              <w:top w:w="15" w:type="dxa"/>
              <w:left w:w="15" w:type="dxa"/>
              <w:right w:w="15" w:type="dxa"/>
            </w:tcMar>
            <w:vAlign w:val="center"/>
          </w:tcPr>
          <w:p w14:paraId="2061C8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w:t>
            </w:r>
            <w:r>
              <w:rPr>
                <w:rFonts w:hint="default" w:ascii="Times New Roman" w:hAnsi="Times New Roman" w:cs="Times New Roman"/>
                <w:i w:val="0"/>
                <w:color w:val="auto"/>
                <w:kern w:val="0"/>
                <w:sz w:val="21"/>
                <w:szCs w:val="21"/>
                <w:highlight w:val="none"/>
                <w:u w:val="none"/>
                <w:lang w:val="en-US" w:eastAsia="zh-CN" w:bidi="ar"/>
              </w:rPr>
              <w:t>003</w:t>
            </w:r>
          </w:p>
        </w:tc>
        <w:tc>
          <w:tcPr>
            <w:tcW w:w="672" w:type="pct"/>
            <w:tcBorders>
              <w:tl2br w:val="nil"/>
              <w:tr2bl w:val="nil"/>
            </w:tcBorders>
            <w:shd w:val="clear" w:color="auto" w:fill="auto"/>
            <w:noWrap/>
            <w:tcMar>
              <w:top w:w="15" w:type="dxa"/>
              <w:left w:w="15" w:type="dxa"/>
              <w:right w:w="15" w:type="dxa"/>
            </w:tcMar>
            <w:vAlign w:val="center"/>
          </w:tcPr>
          <w:p w14:paraId="12DADB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47F7A1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0.0008</w:t>
            </w:r>
          </w:p>
        </w:tc>
        <w:tc>
          <w:tcPr>
            <w:tcW w:w="672" w:type="pct"/>
            <w:tcBorders>
              <w:tl2br w:val="nil"/>
              <w:tr2bl w:val="nil"/>
            </w:tcBorders>
            <w:shd w:val="clear" w:color="auto" w:fill="auto"/>
            <w:noWrap/>
            <w:tcMar>
              <w:top w:w="15" w:type="dxa"/>
              <w:left w:w="15" w:type="dxa"/>
              <w:right w:w="15" w:type="dxa"/>
            </w:tcMar>
            <w:vAlign w:val="center"/>
          </w:tcPr>
          <w:p w14:paraId="3BD9B6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r w14:paraId="108A1C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46" w:type="pct"/>
            <w:tcBorders>
              <w:tl2br w:val="nil"/>
              <w:tr2bl w:val="nil"/>
            </w:tcBorders>
            <w:shd w:val="clear" w:color="auto" w:fill="auto"/>
            <w:noWrap/>
            <w:tcMar>
              <w:top w:w="15" w:type="dxa"/>
              <w:left w:w="15" w:type="dxa"/>
              <w:right w:w="15" w:type="dxa"/>
            </w:tcMar>
            <w:vAlign w:val="center"/>
          </w:tcPr>
          <w:p w14:paraId="7A284F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15</w:t>
            </w:r>
          </w:p>
        </w:tc>
        <w:tc>
          <w:tcPr>
            <w:tcW w:w="1315" w:type="pct"/>
            <w:tcBorders>
              <w:tl2br w:val="nil"/>
              <w:tr2bl w:val="nil"/>
            </w:tcBorders>
            <w:shd w:val="clear" w:color="auto" w:fill="auto"/>
            <w:noWrap/>
            <w:tcMar>
              <w:top w:w="15" w:type="dxa"/>
              <w:left w:w="15" w:type="dxa"/>
              <w:right w:w="15" w:type="dxa"/>
            </w:tcMar>
            <w:vAlign w:val="center"/>
          </w:tcPr>
          <w:p w14:paraId="2A9F56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801" w:type="pct"/>
            <w:tcBorders>
              <w:tl2br w:val="nil"/>
              <w:tr2bl w:val="nil"/>
            </w:tcBorders>
            <w:shd w:val="clear" w:color="auto" w:fill="auto"/>
            <w:noWrap/>
            <w:tcMar>
              <w:top w:w="15" w:type="dxa"/>
              <w:left w:w="15" w:type="dxa"/>
              <w:right w:w="15" w:type="dxa"/>
            </w:tcMar>
            <w:vAlign w:val="center"/>
          </w:tcPr>
          <w:p w14:paraId="485E0DD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default" w:ascii="Times New Roman" w:hAnsi="Times New Roman" w:cs="Times New Roman"/>
                <w:i w:val="0"/>
                <w:color w:val="auto"/>
                <w:kern w:val="0"/>
                <w:sz w:val="21"/>
                <w:szCs w:val="21"/>
                <w:highlight w:val="none"/>
                <w:u w:val="none"/>
                <w:lang w:val="en-US" w:eastAsia="zh-CN" w:bidi="ar"/>
              </w:rPr>
              <w:t>0.5</w:t>
            </w:r>
          </w:p>
        </w:tc>
        <w:tc>
          <w:tcPr>
            <w:tcW w:w="629" w:type="pct"/>
            <w:tcBorders>
              <w:tl2br w:val="nil"/>
              <w:tr2bl w:val="nil"/>
            </w:tcBorders>
            <w:shd w:val="clear" w:color="auto" w:fill="auto"/>
            <w:noWrap/>
            <w:tcMar>
              <w:top w:w="15" w:type="dxa"/>
              <w:left w:w="15" w:type="dxa"/>
              <w:right w:w="15" w:type="dxa"/>
            </w:tcMar>
            <w:vAlign w:val="center"/>
          </w:tcPr>
          <w:p w14:paraId="6D25A2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w:t>
            </w:r>
            <w:r>
              <w:rPr>
                <w:rFonts w:hint="default" w:ascii="Times New Roman" w:hAnsi="Times New Roman" w:cs="Times New Roman"/>
                <w:i w:val="0"/>
                <w:color w:val="auto"/>
                <w:kern w:val="0"/>
                <w:sz w:val="21"/>
                <w:szCs w:val="21"/>
                <w:highlight w:val="none"/>
                <w:u w:val="none"/>
                <w:lang w:val="en-US" w:eastAsia="zh-CN" w:bidi="ar"/>
              </w:rPr>
              <w:t>4</w:t>
            </w:r>
          </w:p>
        </w:tc>
        <w:tc>
          <w:tcPr>
            <w:tcW w:w="672" w:type="pct"/>
            <w:tcBorders>
              <w:tl2br w:val="nil"/>
              <w:tr2bl w:val="nil"/>
            </w:tcBorders>
            <w:shd w:val="clear" w:color="auto" w:fill="auto"/>
            <w:noWrap/>
            <w:tcMar>
              <w:top w:w="15" w:type="dxa"/>
              <w:left w:w="15" w:type="dxa"/>
              <w:right w:w="15" w:type="dxa"/>
            </w:tcMar>
            <w:vAlign w:val="center"/>
          </w:tcPr>
          <w:p w14:paraId="18C762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1F7B48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0.0</w:t>
            </w:r>
            <w:r>
              <w:rPr>
                <w:rFonts w:hint="default" w:ascii="Times New Roman" w:hAnsi="Times New Roman" w:cs="Times New Roman"/>
                <w:i w:val="0"/>
                <w:color w:val="auto"/>
                <w:kern w:val="0"/>
                <w:sz w:val="21"/>
                <w:szCs w:val="21"/>
                <w:highlight w:val="none"/>
                <w:u w:val="none"/>
                <w:lang w:val="en-US" w:eastAsia="zh-CN" w:bidi="ar"/>
              </w:rPr>
              <w:t>4</w:t>
            </w:r>
          </w:p>
        </w:tc>
        <w:tc>
          <w:tcPr>
            <w:tcW w:w="672" w:type="pct"/>
            <w:tcBorders>
              <w:tl2br w:val="nil"/>
              <w:tr2bl w:val="nil"/>
            </w:tcBorders>
            <w:shd w:val="clear" w:color="auto" w:fill="auto"/>
            <w:noWrap/>
            <w:tcMar>
              <w:top w:w="15" w:type="dxa"/>
              <w:left w:w="15" w:type="dxa"/>
              <w:right w:w="15" w:type="dxa"/>
            </w:tcMar>
            <w:vAlign w:val="center"/>
          </w:tcPr>
          <w:p w14:paraId="165FC7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达标</w:t>
            </w:r>
          </w:p>
        </w:tc>
      </w:tr>
    </w:tbl>
    <w:p w14:paraId="34B9CF46">
      <w:pPr>
        <w:bidi w:val="0"/>
        <w:spacing w:line="240" w:lineRule="auto"/>
        <w:rPr>
          <w:rFonts w:hint="default" w:ascii="Times New Roman" w:hAnsi="Times New Roman" w:cs="Times New Roman" w:eastAsiaTheme="minorEastAsia"/>
          <w:b/>
          <w:bCs/>
          <w:color w:val="auto"/>
          <w:sz w:val="18"/>
          <w:szCs w:val="18"/>
          <w:highlight w:val="none"/>
          <w:shd w:val="clear" w:color="auto" w:fill="auto"/>
          <w:lang w:val="en-US" w:eastAsia="zh-CN"/>
        </w:rPr>
      </w:pPr>
      <w:bookmarkStart w:id="71" w:name="_Toc3261"/>
      <w:bookmarkStart w:id="72" w:name="_Toc55399883"/>
      <w:r>
        <w:rPr>
          <w:rFonts w:hint="default" w:ascii="Times New Roman" w:hAnsi="Times New Roman" w:cs="Times New Roman" w:eastAsiaTheme="minorEastAsia"/>
          <w:b/>
          <w:bCs/>
          <w:color w:val="auto"/>
          <w:sz w:val="18"/>
          <w:szCs w:val="18"/>
          <w:highlight w:val="none"/>
          <w:shd w:val="clear" w:color="auto" w:fill="auto"/>
          <w:lang w:val="en-US" w:eastAsia="zh-CN"/>
        </w:rPr>
        <w:t>①</w:t>
      </w:r>
      <w:r>
        <w:rPr>
          <w:rFonts w:hint="default" w:ascii="Times New Roman" w:hAnsi="Times New Roman" w:cs="Times New Roman"/>
          <w:b/>
          <w:bCs/>
          <w:sz w:val="18"/>
          <w:szCs w:val="18"/>
          <w:highlight w:val="none"/>
          <w:lang w:val="en-US" w:eastAsia="zh-CN"/>
        </w:rPr>
        <w:t>GB14848地下水Ⅲ类标准值为6.5</w:t>
      </w:r>
      <w:r>
        <w:rPr>
          <w:rFonts w:hint="default" w:ascii="Times New Roman" w:hAnsi="Times New Roman" w:eastAsia="宋体" w:cs="Times New Roman"/>
          <w:b/>
          <w:bCs/>
          <w:i w:val="0"/>
          <w:color w:val="auto"/>
          <w:kern w:val="0"/>
          <w:sz w:val="18"/>
          <w:szCs w:val="18"/>
          <w:highlight w:val="none"/>
          <w:u w:val="none"/>
          <w:lang w:val="en-US" w:eastAsia="zh-CN" w:bidi="ar"/>
        </w:rPr>
        <w:t>≤</w:t>
      </w:r>
      <w:r>
        <w:rPr>
          <w:rFonts w:hint="default" w:ascii="Times New Roman" w:hAnsi="Times New Roman" w:cs="Times New Roman"/>
          <w:b/>
          <w:bCs/>
          <w:sz w:val="18"/>
          <w:szCs w:val="18"/>
          <w:highlight w:val="none"/>
          <w:lang w:val="en-US" w:eastAsia="zh-CN"/>
        </w:rPr>
        <w:t>pH</w:t>
      </w:r>
      <w:r>
        <w:rPr>
          <w:rFonts w:hint="default" w:ascii="Times New Roman" w:hAnsi="Times New Roman" w:eastAsia="宋体" w:cs="Times New Roman"/>
          <w:b/>
          <w:bCs/>
          <w:i w:val="0"/>
          <w:color w:val="auto"/>
          <w:kern w:val="0"/>
          <w:sz w:val="18"/>
          <w:szCs w:val="18"/>
          <w:highlight w:val="none"/>
          <w:u w:val="none"/>
          <w:lang w:val="en-US" w:eastAsia="zh-CN" w:bidi="ar"/>
        </w:rPr>
        <w:t>≤</w:t>
      </w:r>
      <w:r>
        <w:rPr>
          <w:rFonts w:hint="default" w:ascii="Times New Roman" w:hAnsi="Times New Roman" w:cs="Times New Roman"/>
          <w:b/>
          <w:bCs/>
          <w:i w:val="0"/>
          <w:color w:val="auto"/>
          <w:kern w:val="0"/>
          <w:sz w:val="18"/>
          <w:szCs w:val="18"/>
          <w:highlight w:val="none"/>
          <w:u w:val="none"/>
          <w:lang w:val="en-US" w:eastAsia="zh-CN" w:bidi="ar"/>
        </w:rPr>
        <w:t>8.5，SJG-W1、SJG-W2监测值均满足</w:t>
      </w:r>
      <w:r>
        <w:rPr>
          <w:rFonts w:hint="default" w:ascii="Times New Roman" w:hAnsi="Times New Roman" w:cs="Times New Roman"/>
          <w:b/>
          <w:bCs/>
          <w:sz w:val="18"/>
          <w:szCs w:val="18"/>
          <w:highlight w:val="none"/>
          <w:lang w:val="en-US" w:eastAsia="zh-CN"/>
        </w:rPr>
        <w:t>GB14848地下水Ⅲ类标准值，故也满足GB14848地下水Ⅳ类标准值</w:t>
      </w:r>
    </w:p>
    <w:p w14:paraId="5E45CA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lang w:val="en-US" w:eastAsia="zh-CN"/>
        </w:rPr>
        <w:t>由表可知，地下水样品SJG-W1、SJG-W2各指标均满足</w:t>
      </w:r>
      <w:r>
        <w:rPr>
          <w:rFonts w:hint="default" w:ascii="Times New Roman" w:hAnsi="Times New Roman" w:cs="Times New Roman"/>
          <w:color w:val="auto"/>
          <w:sz w:val="24"/>
          <w:highlight w:val="none"/>
        </w:rPr>
        <w:t>《地下水质量标准》（</w:t>
      </w:r>
      <w:r>
        <w:rPr>
          <w:rFonts w:hint="default" w:ascii="Times New Roman" w:hAnsi="Times New Roman" w:cs="Times New Roman"/>
          <w:color w:val="auto"/>
          <w:sz w:val="24"/>
          <w:highlight w:val="none"/>
          <w:lang w:eastAsia="zh-CN"/>
        </w:rPr>
        <w:t>GB/T 14848-2017</w:t>
      </w:r>
      <w:r>
        <w:rPr>
          <w:rFonts w:hint="default" w:ascii="Times New Roman" w:hAnsi="Times New Roman" w:cs="Times New Roman"/>
          <w:color w:val="auto"/>
          <w:sz w:val="24"/>
          <w:highlight w:val="none"/>
        </w:rPr>
        <w:t>）中</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类标准限值</w:t>
      </w:r>
      <w:r>
        <w:rPr>
          <w:rFonts w:hint="default" w:ascii="Times New Roman" w:hAnsi="Times New Roman" w:cs="Times New Roman"/>
          <w:color w:val="auto"/>
          <w:sz w:val="24"/>
          <w:highlight w:val="none"/>
          <w:lang w:val="en-US" w:eastAsia="zh-CN"/>
        </w:rPr>
        <w:t>要求，石油类满足《地表水环境质量标准》（GB3838-2002）（以下简称GB3838）Ⅳ类标准限值要求</w:t>
      </w:r>
      <w:r>
        <w:rPr>
          <w:rFonts w:hint="default" w:ascii="Times New Roman" w:hAnsi="Times New Roman" w:cs="Times New Roman" w:eastAsiaTheme="minorEastAsia"/>
          <w:color w:val="auto"/>
          <w:sz w:val="24"/>
          <w:szCs w:val="24"/>
          <w:highlight w:val="none"/>
          <w:shd w:val="clear" w:color="auto" w:fill="auto"/>
        </w:rPr>
        <w:t>。</w:t>
      </w:r>
    </w:p>
    <w:p w14:paraId="15CA17B3">
      <w:pPr>
        <w:pStyle w:val="4"/>
        <w:tabs>
          <w:tab w:val="clear" w:pos="425"/>
        </w:tabs>
        <w:bidi w:val="0"/>
        <w:rPr>
          <w:rFonts w:hint="default" w:ascii="Times New Roman" w:hAnsi="Times New Roman" w:cs="Times New Roman"/>
          <w:color w:val="auto"/>
          <w:highlight w:val="none"/>
          <w:lang w:val="en-US" w:eastAsia="zh-CN"/>
        </w:rPr>
      </w:pPr>
      <w:bookmarkStart w:id="73" w:name="_Toc28149"/>
      <w:r>
        <w:rPr>
          <w:rFonts w:hint="default" w:ascii="Times New Roman" w:hAnsi="Times New Roman" w:cs="Times New Roman"/>
          <w:color w:val="auto"/>
          <w:highlight w:val="none"/>
          <w:lang w:val="en-US" w:eastAsia="zh-CN"/>
        </w:rPr>
        <w:t>土壤环境质量评价</w:t>
      </w:r>
      <w:bookmarkEnd w:id="71"/>
      <w:bookmarkEnd w:id="73"/>
    </w:p>
    <w:p w14:paraId="75464BE5">
      <w:pPr>
        <w:pStyle w:val="5"/>
        <w:tabs>
          <w:tab w:val="left" w:pos="425"/>
        </w:tabs>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污染指数</w:t>
      </w:r>
    </w:p>
    <w:p w14:paraId="794D3B9B">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eastAsia="zh-CN"/>
        </w:rPr>
        <w:t>由于本次工业园周边调查未出现超标情况，故只对已检出的污染项目进行土壤单项污染指数分析。</w:t>
      </w:r>
      <w:r>
        <w:rPr>
          <w:rFonts w:hint="default" w:ascii="Times New Roman" w:hAnsi="Times New Roman" w:cs="Times New Roman"/>
          <w:color w:val="auto"/>
          <w:highlight w:val="none"/>
          <w:lang w:val="en-US" w:eastAsia="zh-CN"/>
        </w:rPr>
        <w:t>各项污染物项目单项污染指数见表5-4-1。</w:t>
      </w:r>
    </w:p>
    <w:p w14:paraId="5A8292D6">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highlight w:val="none"/>
          <w:lang w:eastAsia="zh-CN"/>
        </w:rPr>
      </w:pPr>
    </w:p>
    <w:p w14:paraId="5911A6D4">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highlight w:val="none"/>
          <w:lang w:val="en-US" w:eastAsia="zh-CN"/>
        </w:rPr>
        <w:sectPr>
          <w:headerReference r:id="rId19" w:type="default"/>
          <w:footerReference r:id="rId20"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5FB170F9">
      <w:pPr>
        <w:pStyle w:val="2"/>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
          <w:bCs/>
          <w:color w:val="auto"/>
          <w:sz w:val="24"/>
          <w:szCs w:val="24"/>
          <w:highlight w:val="none"/>
          <w:lang w:val="en-US" w:eastAsia="zh-CN"/>
        </w:rPr>
        <w:t>表5-4-1 土壤单项污染指数表</w:t>
      </w:r>
    </w:p>
    <w:tbl>
      <w:tblPr>
        <w:tblStyle w:val="21"/>
        <w:tblW w:w="1517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39"/>
        <w:gridCol w:w="1239"/>
        <w:gridCol w:w="1029"/>
        <w:gridCol w:w="894"/>
        <w:gridCol w:w="894"/>
        <w:gridCol w:w="980"/>
        <w:gridCol w:w="1017"/>
        <w:gridCol w:w="894"/>
        <w:gridCol w:w="894"/>
        <w:gridCol w:w="894"/>
        <w:gridCol w:w="919"/>
        <w:gridCol w:w="919"/>
        <w:gridCol w:w="1104"/>
        <w:gridCol w:w="895"/>
        <w:gridCol w:w="933"/>
        <w:gridCol w:w="1031"/>
      </w:tblGrid>
      <w:tr w14:paraId="0EF723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28" w:hRule="atLeast"/>
          <w:tblHeader/>
          <w:jc w:val="center"/>
        </w:trPr>
        <w:tc>
          <w:tcPr>
            <w:tcW w:w="639" w:type="dxa"/>
            <w:tcBorders>
              <w:bottom w:val="single" w:color="auto" w:sz="12" w:space="0"/>
            </w:tcBorders>
            <w:shd w:val="clear" w:color="auto" w:fill="auto"/>
            <w:noWrap/>
            <w:tcMar>
              <w:top w:w="15" w:type="dxa"/>
              <w:left w:w="15" w:type="dxa"/>
              <w:right w:w="15" w:type="dxa"/>
            </w:tcMar>
            <w:vAlign w:val="center"/>
          </w:tcPr>
          <w:p w14:paraId="4BE706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239" w:type="dxa"/>
            <w:tcBorders>
              <w:bottom w:val="single" w:color="auto" w:sz="12" w:space="0"/>
            </w:tcBorders>
            <w:shd w:val="clear" w:color="auto" w:fill="auto"/>
            <w:noWrap/>
            <w:tcMar>
              <w:top w:w="15" w:type="dxa"/>
              <w:left w:w="15" w:type="dxa"/>
              <w:right w:w="15" w:type="dxa"/>
            </w:tcMar>
            <w:vAlign w:val="center"/>
          </w:tcPr>
          <w:p w14:paraId="52CCD9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样品编号</w:t>
            </w:r>
          </w:p>
        </w:tc>
        <w:tc>
          <w:tcPr>
            <w:tcW w:w="1029" w:type="dxa"/>
            <w:tcBorders>
              <w:bottom w:val="single" w:color="auto" w:sz="12" w:space="0"/>
            </w:tcBorders>
            <w:shd w:val="clear" w:color="auto" w:fill="auto"/>
            <w:noWrap/>
            <w:tcMar>
              <w:top w:w="15" w:type="dxa"/>
              <w:left w:w="15" w:type="dxa"/>
              <w:right w:w="15" w:type="dxa"/>
            </w:tcMar>
            <w:vAlign w:val="center"/>
          </w:tcPr>
          <w:p w14:paraId="3D03B8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总氟化物</w:t>
            </w:r>
          </w:p>
        </w:tc>
        <w:tc>
          <w:tcPr>
            <w:tcW w:w="894" w:type="dxa"/>
            <w:tcBorders>
              <w:bottom w:val="single" w:color="auto" w:sz="12" w:space="0"/>
            </w:tcBorders>
            <w:shd w:val="clear" w:color="auto" w:fill="auto"/>
            <w:noWrap/>
            <w:tcMar>
              <w:top w:w="15" w:type="dxa"/>
              <w:left w:w="15" w:type="dxa"/>
              <w:right w:w="15" w:type="dxa"/>
            </w:tcMar>
            <w:vAlign w:val="center"/>
          </w:tcPr>
          <w:p w14:paraId="35900D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铅</w:t>
            </w:r>
          </w:p>
        </w:tc>
        <w:tc>
          <w:tcPr>
            <w:tcW w:w="894" w:type="dxa"/>
            <w:tcBorders>
              <w:bottom w:val="single" w:color="auto" w:sz="12" w:space="0"/>
            </w:tcBorders>
            <w:shd w:val="clear" w:color="auto" w:fill="auto"/>
            <w:noWrap/>
            <w:tcMar>
              <w:top w:w="15" w:type="dxa"/>
              <w:left w:w="15" w:type="dxa"/>
              <w:right w:w="15" w:type="dxa"/>
            </w:tcMar>
            <w:vAlign w:val="center"/>
          </w:tcPr>
          <w:p w14:paraId="38EBEB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汞</w:t>
            </w:r>
          </w:p>
        </w:tc>
        <w:tc>
          <w:tcPr>
            <w:tcW w:w="980" w:type="dxa"/>
            <w:tcBorders>
              <w:bottom w:val="single" w:color="auto" w:sz="12" w:space="0"/>
            </w:tcBorders>
            <w:shd w:val="clear" w:color="auto" w:fill="auto"/>
            <w:noWrap/>
            <w:tcMar>
              <w:top w:w="15" w:type="dxa"/>
              <w:left w:w="15" w:type="dxa"/>
              <w:right w:w="15" w:type="dxa"/>
            </w:tcMar>
            <w:vAlign w:val="center"/>
          </w:tcPr>
          <w:p w14:paraId="55891A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钴</w:t>
            </w:r>
          </w:p>
        </w:tc>
        <w:tc>
          <w:tcPr>
            <w:tcW w:w="1017" w:type="dxa"/>
            <w:tcBorders>
              <w:bottom w:val="single" w:color="auto" w:sz="12" w:space="0"/>
            </w:tcBorders>
            <w:shd w:val="clear" w:color="auto" w:fill="auto"/>
            <w:noWrap/>
            <w:tcMar>
              <w:top w:w="15" w:type="dxa"/>
              <w:left w:w="15" w:type="dxa"/>
              <w:right w:w="15" w:type="dxa"/>
            </w:tcMar>
            <w:vAlign w:val="center"/>
          </w:tcPr>
          <w:p w14:paraId="64B610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镉</w:t>
            </w:r>
          </w:p>
        </w:tc>
        <w:tc>
          <w:tcPr>
            <w:tcW w:w="894" w:type="dxa"/>
            <w:tcBorders>
              <w:bottom w:val="single" w:color="auto" w:sz="12" w:space="0"/>
            </w:tcBorders>
            <w:shd w:val="clear" w:color="auto" w:fill="auto"/>
            <w:noWrap/>
            <w:tcMar>
              <w:top w:w="15" w:type="dxa"/>
              <w:left w:w="15" w:type="dxa"/>
              <w:right w:w="15" w:type="dxa"/>
            </w:tcMar>
            <w:vAlign w:val="center"/>
          </w:tcPr>
          <w:p w14:paraId="33175C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铜</w:t>
            </w:r>
          </w:p>
        </w:tc>
        <w:tc>
          <w:tcPr>
            <w:tcW w:w="894" w:type="dxa"/>
            <w:tcBorders>
              <w:bottom w:val="single" w:color="auto" w:sz="12" w:space="0"/>
            </w:tcBorders>
            <w:shd w:val="clear" w:color="auto" w:fill="auto"/>
            <w:noWrap/>
            <w:tcMar>
              <w:top w:w="15" w:type="dxa"/>
              <w:left w:w="15" w:type="dxa"/>
              <w:right w:w="15" w:type="dxa"/>
            </w:tcMar>
            <w:vAlign w:val="center"/>
          </w:tcPr>
          <w:p w14:paraId="71AE24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镍</w:t>
            </w:r>
          </w:p>
        </w:tc>
        <w:tc>
          <w:tcPr>
            <w:tcW w:w="894" w:type="dxa"/>
            <w:tcBorders>
              <w:bottom w:val="single" w:color="auto" w:sz="12" w:space="0"/>
            </w:tcBorders>
            <w:shd w:val="clear" w:color="auto" w:fill="auto"/>
            <w:noWrap/>
            <w:tcMar>
              <w:top w:w="15" w:type="dxa"/>
              <w:left w:w="15" w:type="dxa"/>
              <w:right w:w="15" w:type="dxa"/>
            </w:tcMar>
            <w:vAlign w:val="center"/>
          </w:tcPr>
          <w:p w14:paraId="4FCB9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铬</w:t>
            </w:r>
          </w:p>
        </w:tc>
        <w:tc>
          <w:tcPr>
            <w:tcW w:w="919" w:type="dxa"/>
            <w:tcBorders>
              <w:bottom w:val="single" w:color="auto" w:sz="12" w:space="0"/>
            </w:tcBorders>
            <w:shd w:val="clear" w:color="auto" w:fill="auto"/>
            <w:noWrap/>
            <w:tcMar>
              <w:top w:w="15" w:type="dxa"/>
              <w:left w:w="15" w:type="dxa"/>
              <w:right w:w="15" w:type="dxa"/>
            </w:tcMar>
            <w:vAlign w:val="center"/>
          </w:tcPr>
          <w:p w14:paraId="7C1694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锌</w:t>
            </w:r>
          </w:p>
        </w:tc>
        <w:tc>
          <w:tcPr>
            <w:tcW w:w="919" w:type="dxa"/>
            <w:tcBorders>
              <w:bottom w:val="single" w:color="auto" w:sz="12" w:space="0"/>
            </w:tcBorders>
            <w:shd w:val="clear" w:color="auto" w:fill="auto"/>
            <w:noWrap/>
            <w:tcMar>
              <w:top w:w="15" w:type="dxa"/>
              <w:left w:w="15" w:type="dxa"/>
              <w:right w:w="15" w:type="dxa"/>
            </w:tcMar>
            <w:vAlign w:val="center"/>
          </w:tcPr>
          <w:p w14:paraId="6F1975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砷</w:t>
            </w:r>
          </w:p>
        </w:tc>
        <w:tc>
          <w:tcPr>
            <w:tcW w:w="1104" w:type="dxa"/>
            <w:tcBorders>
              <w:bottom w:val="single" w:color="auto" w:sz="12" w:space="0"/>
            </w:tcBorders>
            <w:shd w:val="clear" w:color="auto" w:fill="auto"/>
            <w:noWrap/>
            <w:tcMar>
              <w:top w:w="15" w:type="dxa"/>
              <w:left w:w="15" w:type="dxa"/>
              <w:right w:w="15" w:type="dxa"/>
            </w:tcMar>
            <w:vAlign w:val="center"/>
          </w:tcPr>
          <w:p w14:paraId="4E4F8F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钼</w:t>
            </w:r>
          </w:p>
        </w:tc>
        <w:tc>
          <w:tcPr>
            <w:tcW w:w="895" w:type="dxa"/>
            <w:tcBorders>
              <w:bottom w:val="single" w:color="auto" w:sz="12" w:space="0"/>
            </w:tcBorders>
            <w:shd w:val="clear" w:color="auto" w:fill="auto"/>
            <w:noWrap/>
            <w:tcMar>
              <w:top w:w="15" w:type="dxa"/>
              <w:left w:w="15" w:type="dxa"/>
              <w:right w:w="15" w:type="dxa"/>
            </w:tcMar>
            <w:vAlign w:val="center"/>
          </w:tcPr>
          <w:p w14:paraId="7CEB71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cs="Times New Roman"/>
                <w:b/>
                <w:i w:val="0"/>
                <w:color w:val="auto"/>
                <w:kern w:val="0"/>
                <w:sz w:val="21"/>
                <w:szCs w:val="21"/>
                <w:highlight w:val="none"/>
                <w:u w:val="none"/>
                <w:lang w:val="en-US" w:eastAsia="zh-CN" w:bidi="ar"/>
              </w:rPr>
              <w:t>锑</w:t>
            </w:r>
          </w:p>
        </w:tc>
        <w:tc>
          <w:tcPr>
            <w:tcW w:w="933" w:type="dxa"/>
            <w:tcBorders>
              <w:bottom w:val="single" w:color="auto" w:sz="12" w:space="0"/>
            </w:tcBorders>
            <w:shd w:val="clear" w:color="auto" w:fill="auto"/>
            <w:noWrap/>
            <w:tcMar>
              <w:top w:w="15" w:type="dxa"/>
              <w:left w:w="15" w:type="dxa"/>
              <w:right w:w="15" w:type="dxa"/>
            </w:tcMar>
            <w:vAlign w:val="center"/>
          </w:tcPr>
          <w:p w14:paraId="7A13EE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cs="Times New Roman"/>
                <w:b/>
                <w:i w:val="0"/>
                <w:color w:val="auto"/>
                <w:kern w:val="0"/>
                <w:sz w:val="21"/>
                <w:szCs w:val="21"/>
                <w:highlight w:val="none"/>
                <w:u w:val="none"/>
                <w:lang w:val="en-US" w:eastAsia="zh-CN" w:bidi="ar"/>
              </w:rPr>
              <w:t>石油烃</w:t>
            </w:r>
          </w:p>
        </w:tc>
        <w:tc>
          <w:tcPr>
            <w:tcW w:w="1031" w:type="dxa"/>
            <w:tcBorders>
              <w:bottom w:val="single" w:color="auto" w:sz="12" w:space="0"/>
            </w:tcBorders>
            <w:shd w:val="clear" w:color="auto" w:fill="auto"/>
            <w:noWrap/>
            <w:tcMar>
              <w:top w:w="15" w:type="dxa"/>
              <w:left w:w="15" w:type="dxa"/>
              <w:right w:w="15" w:type="dxa"/>
            </w:tcMar>
            <w:vAlign w:val="center"/>
          </w:tcPr>
          <w:p w14:paraId="2018A9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lang w:val="en-US" w:eastAsia="zh-CN"/>
              </w:rPr>
            </w:pPr>
            <w:r>
              <w:rPr>
                <w:rFonts w:hint="default" w:ascii="Times New Roman" w:hAnsi="Times New Roman" w:cs="Times New Roman"/>
                <w:b/>
                <w:i w:val="0"/>
                <w:color w:val="auto"/>
                <w:sz w:val="21"/>
                <w:szCs w:val="21"/>
                <w:highlight w:val="none"/>
                <w:u w:val="none"/>
                <w:lang w:val="en-US" w:eastAsia="zh-CN"/>
              </w:rPr>
              <w:t>二噁英</w:t>
            </w:r>
          </w:p>
        </w:tc>
      </w:tr>
      <w:tr w14:paraId="40B8EF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op w:val="single" w:color="auto" w:sz="12" w:space="0"/>
              <w:tl2br w:val="nil"/>
              <w:tr2bl w:val="nil"/>
            </w:tcBorders>
            <w:shd w:val="clear" w:color="auto" w:fill="auto"/>
            <w:noWrap/>
            <w:tcMar>
              <w:top w:w="15" w:type="dxa"/>
              <w:left w:w="15" w:type="dxa"/>
              <w:right w:w="15" w:type="dxa"/>
            </w:tcMar>
            <w:vAlign w:val="center"/>
          </w:tcPr>
          <w:p w14:paraId="6E108A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239" w:type="dxa"/>
            <w:tcBorders>
              <w:top w:val="single" w:color="auto" w:sz="12" w:space="0"/>
              <w:tl2br w:val="nil"/>
              <w:tr2bl w:val="nil"/>
            </w:tcBorders>
            <w:shd w:val="clear" w:color="auto" w:fill="auto"/>
            <w:noWrap/>
            <w:tcMar>
              <w:top w:w="15" w:type="dxa"/>
              <w:left w:w="15" w:type="dxa"/>
              <w:right w:w="15" w:type="dxa"/>
            </w:tcMar>
            <w:vAlign w:val="center"/>
          </w:tcPr>
          <w:p w14:paraId="52B6E9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SJG-1-75</w:t>
            </w:r>
          </w:p>
        </w:tc>
        <w:tc>
          <w:tcPr>
            <w:tcW w:w="1029" w:type="dxa"/>
            <w:tcBorders>
              <w:top w:val="single" w:color="auto" w:sz="12" w:space="0"/>
              <w:tl2br w:val="nil"/>
              <w:tr2bl w:val="nil"/>
            </w:tcBorders>
            <w:shd w:val="clear" w:color="auto" w:fill="auto"/>
            <w:noWrap/>
            <w:tcMar>
              <w:top w:w="15" w:type="dxa"/>
              <w:left w:w="15" w:type="dxa"/>
              <w:right w:w="15" w:type="dxa"/>
            </w:tcMar>
            <w:vAlign w:val="center"/>
          </w:tcPr>
          <w:p w14:paraId="147AB3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0.04850</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6B3F57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0.03088</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025316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0.00237</w:t>
            </w:r>
          </w:p>
        </w:tc>
        <w:tc>
          <w:tcPr>
            <w:tcW w:w="980" w:type="dxa"/>
            <w:tcBorders>
              <w:top w:val="single" w:color="auto" w:sz="12" w:space="0"/>
              <w:tl2br w:val="nil"/>
              <w:tr2bl w:val="nil"/>
            </w:tcBorders>
            <w:shd w:val="clear" w:color="auto" w:fill="auto"/>
            <w:noWrap/>
            <w:tcMar>
              <w:top w:w="15" w:type="dxa"/>
              <w:left w:w="15" w:type="dxa"/>
              <w:right w:w="15" w:type="dxa"/>
            </w:tcMar>
            <w:vAlign w:val="center"/>
          </w:tcPr>
          <w:p w14:paraId="3C3B99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0.16286</w:t>
            </w:r>
          </w:p>
        </w:tc>
        <w:tc>
          <w:tcPr>
            <w:tcW w:w="1017" w:type="dxa"/>
            <w:tcBorders>
              <w:top w:val="single" w:color="auto" w:sz="12" w:space="0"/>
              <w:tl2br w:val="nil"/>
              <w:tr2bl w:val="nil"/>
            </w:tcBorders>
            <w:shd w:val="clear" w:color="auto" w:fill="auto"/>
            <w:noWrap/>
            <w:tcMar>
              <w:top w:w="15" w:type="dxa"/>
              <w:left w:w="15" w:type="dxa"/>
              <w:right w:w="15" w:type="dxa"/>
            </w:tcMar>
            <w:vAlign w:val="center"/>
          </w:tcPr>
          <w:p w14:paraId="692231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0.00062</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634F07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0.00117</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133CBC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0.03111</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3C0151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0.01993</w:t>
            </w:r>
          </w:p>
        </w:tc>
        <w:tc>
          <w:tcPr>
            <w:tcW w:w="919" w:type="dxa"/>
            <w:tcBorders>
              <w:top w:val="single" w:color="auto" w:sz="12" w:space="0"/>
              <w:tl2br w:val="nil"/>
              <w:tr2bl w:val="nil"/>
            </w:tcBorders>
            <w:shd w:val="clear" w:color="auto" w:fill="auto"/>
            <w:noWrap/>
            <w:tcMar>
              <w:top w:w="15" w:type="dxa"/>
              <w:left w:w="15" w:type="dxa"/>
              <w:right w:w="15" w:type="dxa"/>
            </w:tcMar>
            <w:vAlign w:val="center"/>
          </w:tcPr>
          <w:p w14:paraId="687A188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op w:val="single" w:color="auto" w:sz="12" w:space="0"/>
              <w:tl2br w:val="nil"/>
              <w:tr2bl w:val="nil"/>
            </w:tcBorders>
            <w:shd w:val="clear" w:color="auto" w:fill="auto"/>
            <w:noWrap/>
            <w:tcMar>
              <w:top w:w="15" w:type="dxa"/>
              <w:left w:w="15" w:type="dxa"/>
              <w:right w:w="15" w:type="dxa"/>
            </w:tcMar>
            <w:vAlign w:val="center"/>
          </w:tcPr>
          <w:p w14:paraId="742703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0.12167</w:t>
            </w:r>
          </w:p>
        </w:tc>
        <w:tc>
          <w:tcPr>
            <w:tcW w:w="1104" w:type="dxa"/>
            <w:tcBorders>
              <w:top w:val="single" w:color="auto" w:sz="12" w:space="0"/>
              <w:tl2br w:val="nil"/>
              <w:tr2bl w:val="nil"/>
            </w:tcBorders>
            <w:shd w:val="clear" w:color="auto" w:fill="auto"/>
            <w:noWrap/>
            <w:tcMar>
              <w:top w:w="15" w:type="dxa"/>
              <w:left w:w="15" w:type="dxa"/>
              <w:right w:w="15" w:type="dxa"/>
            </w:tcMar>
            <w:vAlign w:val="center"/>
          </w:tcPr>
          <w:p w14:paraId="2E04F8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0.00222</w:t>
            </w:r>
          </w:p>
        </w:tc>
        <w:tc>
          <w:tcPr>
            <w:tcW w:w="895" w:type="dxa"/>
            <w:tcBorders>
              <w:top w:val="single" w:color="auto" w:sz="12" w:space="0"/>
              <w:tl2br w:val="nil"/>
              <w:tr2bl w:val="nil"/>
            </w:tcBorders>
            <w:shd w:val="clear" w:color="auto" w:fill="auto"/>
            <w:noWrap/>
            <w:tcMar>
              <w:top w:w="15" w:type="dxa"/>
              <w:left w:w="15" w:type="dxa"/>
              <w:right w:w="15" w:type="dxa"/>
            </w:tcMar>
            <w:vAlign w:val="center"/>
          </w:tcPr>
          <w:p w14:paraId="02CB34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0.00375</w:t>
            </w:r>
          </w:p>
        </w:tc>
        <w:tc>
          <w:tcPr>
            <w:tcW w:w="933" w:type="dxa"/>
            <w:tcBorders>
              <w:top w:val="single" w:color="auto" w:sz="12" w:space="0"/>
              <w:tl2br w:val="nil"/>
              <w:tr2bl w:val="nil"/>
            </w:tcBorders>
            <w:shd w:val="clear" w:color="auto" w:fill="auto"/>
            <w:noWrap/>
            <w:tcMar>
              <w:top w:w="15" w:type="dxa"/>
              <w:left w:w="15" w:type="dxa"/>
              <w:right w:w="15" w:type="dxa"/>
            </w:tcMar>
            <w:vAlign w:val="center"/>
          </w:tcPr>
          <w:p w14:paraId="30B50D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op w:val="single" w:color="auto" w:sz="12" w:space="0"/>
              <w:tl2br w:val="nil"/>
              <w:tr2bl w:val="nil"/>
            </w:tcBorders>
            <w:shd w:val="clear" w:color="auto" w:fill="auto"/>
            <w:noWrap/>
            <w:tcMar>
              <w:top w:w="15" w:type="dxa"/>
              <w:left w:w="15" w:type="dxa"/>
              <w:right w:w="15" w:type="dxa"/>
            </w:tcMar>
            <w:vAlign w:val="center"/>
          </w:tcPr>
          <w:p w14:paraId="07F784C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01644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4259C6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239" w:type="dxa"/>
            <w:tcBorders>
              <w:tl2br w:val="nil"/>
              <w:tr2bl w:val="nil"/>
            </w:tcBorders>
            <w:shd w:val="clear" w:color="auto" w:fill="auto"/>
            <w:noWrap/>
            <w:tcMar>
              <w:top w:w="15" w:type="dxa"/>
              <w:left w:w="15" w:type="dxa"/>
              <w:right w:w="15" w:type="dxa"/>
            </w:tcMar>
            <w:vAlign w:val="center"/>
          </w:tcPr>
          <w:p w14:paraId="189215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SJG-1-200</w:t>
            </w:r>
          </w:p>
        </w:tc>
        <w:tc>
          <w:tcPr>
            <w:tcW w:w="1029" w:type="dxa"/>
            <w:tcBorders>
              <w:tl2br w:val="nil"/>
              <w:tr2bl w:val="nil"/>
            </w:tcBorders>
            <w:shd w:val="clear" w:color="auto" w:fill="auto"/>
            <w:noWrap/>
            <w:tcMar>
              <w:top w:w="15" w:type="dxa"/>
              <w:left w:w="15" w:type="dxa"/>
              <w:right w:w="15" w:type="dxa"/>
            </w:tcMar>
            <w:vAlign w:val="center"/>
          </w:tcPr>
          <w:p w14:paraId="59D7E6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0.22857</w:t>
            </w:r>
          </w:p>
        </w:tc>
        <w:tc>
          <w:tcPr>
            <w:tcW w:w="894" w:type="dxa"/>
            <w:tcBorders>
              <w:tl2br w:val="nil"/>
              <w:tr2bl w:val="nil"/>
            </w:tcBorders>
            <w:shd w:val="clear" w:color="auto" w:fill="auto"/>
            <w:noWrap/>
            <w:tcMar>
              <w:top w:w="15" w:type="dxa"/>
              <w:left w:w="15" w:type="dxa"/>
              <w:right w:w="15" w:type="dxa"/>
            </w:tcMar>
            <w:vAlign w:val="center"/>
          </w:tcPr>
          <w:p w14:paraId="49990D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0.16167</w:t>
            </w:r>
          </w:p>
        </w:tc>
        <w:tc>
          <w:tcPr>
            <w:tcW w:w="894" w:type="dxa"/>
            <w:tcBorders>
              <w:tl2br w:val="nil"/>
              <w:tr2bl w:val="nil"/>
            </w:tcBorders>
            <w:shd w:val="clear" w:color="auto" w:fill="auto"/>
            <w:noWrap/>
            <w:tcMar>
              <w:top w:w="15" w:type="dxa"/>
              <w:left w:w="15" w:type="dxa"/>
              <w:right w:w="15" w:type="dxa"/>
            </w:tcMar>
            <w:vAlign w:val="center"/>
          </w:tcPr>
          <w:p w14:paraId="2DF193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0.04583</w:t>
            </w:r>
          </w:p>
        </w:tc>
        <w:tc>
          <w:tcPr>
            <w:tcW w:w="980" w:type="dxa"/>
            <w:tcBorders>
              <w:tl2br w:val="nil"/>
              <w:tr2bl w:val="nil"/>
            </w:tcBorders>
            <w:shd w:val="clear" w:color="auto" w:fill="auto"/>
            <w:noWrap/>
            <w:tcMar>
              <w:top w:w="15" w:type="dxa"/>
              <w:left w:w="15" w:type="dxa"/>
              <w:right w:w="15" w:type="dxa"/>
            </w:tcMar>
            <w:vAlign w:val="center"/>
          </w:tcPr>
          <w:p w14:paraId="35C280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0.60000</w:t>
            </w:r>
          </w:p>
        </w:tc>
        <w:tc>
          <w:tcPr>
            <w:tcW w:w="1017" w:type="dxa"/>
            <w:tcBorders>
              <w:tl2br w:val="nil"/>
              <w:tr2bl w:val="nil"/>
            </w:tcBorders>
            <w:shd w:val="clear" w:color="auto" w:fill="auto"/>
            <w:noWrap/>
            <w:tcMar>
              <w:top w:w="15" w:type="dxa"/>
              <w:left w:w="15" w:type="dxa"/>
              <w:right w:w="15" w:type="dxa"/>
            </w:tcMar>
            <w:vAlign w:val="center"/>
          </w:tcPr>
          <w:p w14:paraId="15AFF4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0.13333</w:t>
            </w:r>
          </w:p>
        </w:tc>
        <w:tc>
          <w:tcPr>
            <w:tcW w:w="894" w:type="dxa"/>
            <w:tcBorders>
              <w:tl2br w:val="nil"/>
              <w:tr2bl w:val="nil"/>
            </w:tcBorders>
            <w:shd w:val="clear" w:color="auto" w:fill="auto"/>
            <w:noWrap/>
            <w:tcMar>
              <w:top w:w="15" w:type="dxa"/>
              <w:left w:w="15" w:type="dxa"/>
              <w:right w:w="15" w:type="dxa"/>
            </w:tcMar>
            <w:vAlign w:val="center"/>
          </w:tcPr>
          <w:p w14:paraId="5323F8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0.22000</w:t>
            </w:r>
          </w:p>
        </w:tc>
        <w:tc>
          <w:tcPr>
            <w:tcW w:w="894" w:type="dxa"/>
            <w:tcBorders>
              <w:tl2br w:val="nil"/>
              <w:tr2bl w:val="nil"/>
            </w:tcBorders>
            <w:shd w:val="clear" w:color="auto" w:fill="auto"/>
            <w:noWrap/>
            <w:tcMar>
              <w:top w:w="15" w:type="dxa"/>
              <w:left w:w="15" w:type="dxa"/>
              <w:right w:w="15" w:type="dxa"/>
            </w:tcMar>
            <w:vAlign w:val="center"/>
          </w:tcPr>
          <w:p w14:paraId="188BBE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0.29000</w:t>
            </w:r>
          </w:p>
        </w:tc>
        <w:tc>
          <w:tcPr>
            <w:tcW w:w="894" w:type="dxa"/>
            <w:tcBorders>
              <w:tl2br w:val="nil"/>
              <w:tr2bl w:val="nil"/>
            </w:tcBorders>
            <w:shd w:val="clear" w:color="auto" w:fill="auto"/>
            <w:noWrap/>
            <w:tcMar>
              <w:top w:w="15" w:type="dxa"/>
              <w:left w:w="15" w:type="dxa"/>
              <w:right w:w="15" w:type="dxa"/>
            </w:tcMar>
            <w:vAlign w:val="center"/>
          </w:tcPr>
          <w:p w14:paraId="48C4C3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0.30500</w:t>
            </w:r>
          </w:p>
        </w:tc>
        <w:tc>
          <w:tcPr>
            <w:tcW w:w="919" w:type="dxa"/>
            <w:tcBorders>
              <w:tl2br w:val="nil"/>
              <w:tr2bl w:val="nil"/>
            </w:tcBorders>
            <w:shd w:val="clear" w:color="auto" w:fill="auto"/>
            <w:noWrap/>
            <w:tcMar>
              <w:top w:w="15" w:type="dxa"/>
              <w:left w:w="15" w:type="dxa"/>
              <w:right w:w="15" w:type="dxa"/>
            </w:tcMar>
            <w:vAlign w:val="center"/>
          </w:tcPr>
          <w:p w14:paraId="6B8337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0.16000</w:t>
            </w:r>
          </w:p>
        </w:tc>
        <w:tc>
          <w:tcPr>
            <w:tcW w:w="919" w:type="dxa"/>
            <w:tcBorders>
              <w:tl2br w:val="nil"/>
              <w:tr2bl w:val="nil"/>
            </w:tcBorders>
            <w:shd w:val="clear" w:color="auto" w:fill="auto"/>
            <w:noWrap/>
            <w:tcMar>
              <w:top w:w="15" w:type="dxa"/>
              <w:left w:w="15" w:type="dxa"/>
              <w:right w:w="15" w:type="dxa"/>
            </w:tcMar>
            <w:vAlign w:val="center"/>
          </w:tcPr>
          <w:p w14:paraId="7D7B3A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0.33000</w:t>
            </w:r>
          </w:p>
        </w:tc>
        <w:tc>
          <w:tcPr>
            <w:tcW w:w="1104" w:type="dxa"/>
            <w:tcBorders>
              <w:tl2br w:val="nil"/>
              <w:tr2bl w:val="nil"/>
            </w:tcBorders>
            <w:shd w:val="clear" w:color="auto" w:fill="auto"/>
            <w:noWrap/>
            <w:tcMar>
              <w:top w:w="15" w:type="dxa"/>
              <w:left w:w="15" w:type="dxa"/>
              <w:right w:w="15" w:type="dxa"/>
            </w:tcMar>
            <w:vAlign w:val="center"/>
          </w:tcPr>
          <w:p w14:paraId="6215AF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0.01818</w:t>
            </w:r>
          </w:p>
        </w:tc>
        <w:tc>
          <w:tcPr>
            <w:tcW w:w="895" w:type="dxa"/>
            <w:tcBorders>
              <w:tl2br w:val="nil"/>
              <w:tr2bl w:val="nil"/>
            </w:tcBorders>
            <w:shd w:val="clear" w:color="auto" w:fill="auto"/>
            <w:noWrap/>
            <w:tcMar>
              <w:top w:w="15" w:type="dxa"/>
              <w:left w:w="15" w:type="dxa"/>
              <w:right w:w="15" w:type="dxa"/>
            </w:tcMar>
            <w:vAlign w:val="center"/>
          </w:tcPr>
          <w:p w14:paraId="01CBF1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0.03000</w:t>
            </w:r>
          </w:p>
        </w:tc>
        <w:tc>
          <w:tcPr>
            <w:tcW w:w="933" w:type="dxa"/>
            <w:tcBorders>
              <w:tl2br w:val="nil"/>
              <w:tr2bl w:val="nil"/>
            </w:tcBorders>
            <w:shd w:val="clear" w:color="auto" w:fill="auto"/>
            <w:noWrap/>
            <w:tcMar>
              <w:top w:w="15" w:type="dxa"/>
              <w:left w:w="15" w:type="dxa"/>
              <w:right w:w="15" w:type="dxa"/>
            </w:tcMar>
            <w:vAlign w:val="center"/>
          </w:tcPr>
          <w:p w14:paraId="6AA51A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0.00363</w:t>
            </w:r>
          </w:p>
        </w:tc>
        <w:tc>
          <w:tcPr>
            <w:tcW w:w="1031" w:type="dxa"/>
            <w:tcBorders>
              <w:tl2br w:val="nil"/>
              <w:tr2bl w:val="nil"/>
            </w:tcBorders>
            <w:shd w:val="clear" w:color="auto" w:fill="auto"/>
            <w:noWrap/>
            <w:tcMar>
              <w:top w:w="15" w:type="dxa"/>
              <w:left w:w="15" w:type="dxa"/>
              <w:right w:w="15" w:type="dxa"/>
            </w:tcMar>
            <w:vAlign w:val="center"/>
          </w:tcPr>
          <w:p w14:paraId="01FE1F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32F186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783499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239" w:type="dxa"/>
            <w:tcBorders>
              <w:tl2br w:val="nil"/>
              <w:tr2bl w:val="nil"/>
            </w:tcBorders>
            <w:shd w:val="clear" w:color="auto" w:fill="auto"/>
            <w:noWrap/>
            <w:tcMar>
              <w:top w:w="15" w:type="dxa"/>
              <w:left w:w="15" w:type="dxa"/>
              <w:right w:w="15" w:type="dxa"/>
            </w:tcMar>
            <w:vAlign w:val="center"/>
          </w:tcPr>
          <w:p w14:paraId="172F26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SJG-2-75</w:t>
            </w:r>
          </w:p>
        </w:tc>
        <w:tc>
          <w:tcPr>
            <w:tcW w:w="1029" w:type="dxa"/>
            <w:tcBorders>
              <w:tl2br w:val="nil"/>
              <w:tr2bl w:val="nil"/>
            </w:tcBorders>
            <w:shd w:val="clear" w:color="auto" w:fill="auto"/>
            <w:noWrap/>
            <w:tcMar>
              <w:top w:w="15" w:type="dxa"/>
              <w:left w:w="15" w:type="dxa"/>
              <w:right w:w="15" w:type="dxa"/>
            </w:tcMar>
            <w:vAlign w:val="center"/>
          </w:tcPr>
          <w:p w14:paraId="782317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0.05990</w:t>
            </w:r>
          </w:p>
        </w:tc>
        <w:tc>
          <w:tcPr>
            <w:tcW w:w="894" w:type="dxa"/>
            <w:tcBorders>
              <w:tl2br w:val="nil"/>
              <w:tr2bl w:val="nil"/>
            </w:tcBorders>
            <w:shd w:val="clear" w:color="auto" w:fill="auto"/>
            <w:noWrap/>
            <w:tcMar>
              <w:top w:w="15" w:type="dxa"/>
              <w:left w:w="15" w:type="dxa"/>
              <w:right w:w="15" w:type="dxa"/>
            </w:tcMar>
            <w:vAlign w:val="center"/>
          </w:tcPr>
          <w:p w14:paraId="513BF7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0.02350</w:t>
            </w:r>
          </w:p>
        </w:tc>
        <w:tc>
          <w:tcPr>
            <w:tcW w:w="894" w:type="dxa"/>
            <w:tcBorders>
              <w:tl2br w:val="nil"/>
              <w:tr2bl w:val="nil"/>
            </w:tcBorders>
            <w:shd w:val="clear" w:color="auto" w:fill="auto"/>
            <w:noWrap/>
            <w:tcMar>
              <w:top w:w="15" w:type="dxa"/>
              <w:left w:w="15" w:type="dxa"/>
              <w:right w:w="15" w:type="dxa"/>
            </w:tcMar>
            <w:vAlign w:val="center"/>
          </w:tcPr>
          <w:p w14:paraId="23DC6E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0.00184</w:t>
            </w:r>
          </w:p>
        </w:tc>
        <w:tc>
          <w:tcPr>
            <w:tcW w:w="980" w:type="dxa"/>
            <w:tcBorders>
              <w:tl2br w:val="nil"/>
              <w:tr2bl w:val="nil"/>
            </w:tcBorders>
            <w:shd w:val="clear" w:color="auto" w:fill="auto"/>
            <w:noWrap/>
            <w:tcMar>
              <w:top w:w="15" w:type="dxa"/>
              <w:left w:w="15" w:type="dxa"/>
              <w:right w:w="15" w:type="dxa"/>
            </w:tcMar>
            <w:vAlign w:val="center"/>
          </w:tcPr>
          <w:p w14:paraId="02D059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0.11171</w:t>
            </w:r>
          </w:p>
        </w:tc>
        <w:tc>
          <w:tcPr>
            <w:tcW w:w="1017" w:type="dxa"/>
            <w:tcBorders>
              <w:tl2br w:val="nil"/>
              <w:tr2bl w:val="nil"/>
            </w:tcBorders>
            <w:shd w:val="clear" w:color="auto" w:fill="auto"/>
            <w:noWrap/>
            <w:tcMar>
              <w:top w:w="15" w:type="dxa"/>
              <w:left w:w="15" w:type="dxa"/>
              <w:right w:w="15" w:type="dxa"/>
            </w:tcMar>
            <w:vAlign w:val="center"/>
          </w:tcPr>
          <w:p w14:paraId="017D05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0.00008</w:t>
            </w:r>
          </w:p>
        </w:tc>
        <w:tc>
          <w:tcPr>
            <w:tcW w:w="894" w:type="dxa"/>
            <w:tcBorders>
              <w:tl2br w:val="nil"/>
              <w:tr2bl w:val="nil"/>
            </w:tcBorders>
            <w:shd w:val="clear" w:color="auto" w:fill="auto"/>
            <w:noWrap/>
            <w:tcMar>
              <w:top w:w="15" w:type="dxa"/>
              <w:left w:w="15" w:type="dxa"/>
              <w:right w:w="15" w:type="dxa"/>
            </w:tcMar>
            <w:vAlign w:val="center"/>
          </w:tcPr>
          <w:p w14:paraId="511E5A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0.00128</w:t>
            </w:r>
          </w:p>
        </w:tc>
        <w:tc>
          <w:tcPr>
            <w:tcW w:w="894" w:type="dxa"/>
            <w:tcBorders>
              <w:tl2br w:val="nil"/>
              <w:tr2bl w:val="nil"/>
            </w:tcBorders>
            <w:shd w:val="clear" w:color="auto" w:fill="auto"/>
            <w:noWrap/>
            <w:tcMar>
              <w:top w:w="15" w:type="dxa"/>
              <w:left w:w="15" w:type="dxa"/>
              <w:right w:w="15" w:type="dxa"/>
            </w:tcMar>
            <w:vAlign w:val="center"/>
          </w:tcPr>
          <w:p w14:paraId="4328A0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0.05444</w:t>
            </w:r>
          </w:p>
        </w:tc>
        <w:tc>
          <w:tcPr>
            <w:tcW w:w="894" w:type="dxa"/>
            <w:tcBorders>
              <w:tl2br w:val="nil"/>
              <w:tr2bl w:val="nil"/>
            </w:tcBorders>
            <w:shd w:val="clear" w:color="auto" w:fill="auto"/>
            <w:noWrap/>
            <w:tcMar>
              <w:top w:w="15" w:type="dxa"/>
              <w:left w:w="15" w:type="dxa"/>
              <w:right w:w="15" w:type="dxa"/>
            </w:tcMar>
            <w:vAlign w:val="center"/>
          </w:tcPr>
          <w:p w14:paraId="184C03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0.03436</w:t>
            </w:r>
          </w:p>
        </w:tc>
        <w:tc>
          <w:tcPr>
            <w:tcW w:w="919" w:type="dxa"/>
            <w:tcBorders>
              <w:tl2br w:val="nil"/>
              <w:tr2bl w:val="nil"/>
            </w:tcBorders>
            <w:shd w:val="clear" w:color="auto" w:fill="auto"/>
            <w:noWrap/>
            <w:tcMar>
              <w:top w:w="15" w:type="dxa"/>
              <w:left w:w="15" w:type="dxa"/>
              <w:right w:w="15" w:type="dxa"/>
            </w:tcMar>
            <w:vAlign w:val="center"/>
          </w:tcPr>
          <w:p w14:paraId="57CC61A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23A3BE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0.15667</w:t>
            </w:r>
          </w:p>
        </w:tc>
        <w:tc>
          <w:tcPr>
            <w:tcW w:w="1104" w:type="dxa"/>
            <w:tcBorders>
              <w:tl2br w:val="nil"/>
              <w:tr2bl w:val="nil"/>
            </w:tcBorders>
            <w:shd w:val="clear" w:color="auto" w:fill="auto"/>
            <w:noWrap/>
            <w:tcMar>
              <w:top w:w="15" w:type="dxa"/>
              <w:left w:w="15" w:type="dxa"/>
              <w:right w:w="15" w:type="dxa"/>
            </w:tcMar>
            <w:vAlign w:val="center"/>
          </w:tcPr>
          <w:p w14:paraId="140191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0.00222</w:t>
            </w:r>
          </w:p>
        </w:tc>
        <w:tc>
          <w:tcPr>
            <w:tcW w:w="895" w:type="dxa"/>
            <w:tcBorders>
              <w:tl2br w:val="nil"/>
              <w:tr2bl w:val="nil"/>
            </w:tcBorders>
            <w:shd w:val="clear" w:color="auto" w:fill="auto"/>
            <w:noWrap/>
            <w:tcMar>
              <w:top w:w="15" w:type="dxa"/>
              <w:left w:w="15" w:type="dxa"/>
              <w:right w:w="15" w:type="dxa"/>
            </w:tcMar>
            <w:vAlign w:val="center"/>
          </w:tcPr>
          <w:p w14:paraId="0EA5F6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0.01500</w:t>
            </w:r>
          </w:p>
        </w:tc>
        <w:tc>
          <w:tcPr>
            <w:tcW w:w="933" w:type="dxa"/>
            <w:tcBorders>
              <w:tl2br w:val="nil"/>
              <w:tr2bl w:val="nil"/>
            </w:tcBorders>
            <w:shd w:val="clear" w:color="auto" w:fill="auto"/>
            <w:noWrap/>
            <w:tcMar>
              <w:top w:w="15" w:type="dxa"/>
              <w:left w:w="15" w:type="dxa"/>
              <w:right w:w="15" w:type="dxa"/>
            </w:tcMar>
            <w:vAlign w:val="center"/>
          </w:tcPr>
          <w:p w14:paraId="121BE0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1E00FEE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5A4182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629974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239" w:type="dxa"/>
            <w:tcBorders>
              <w:tl2br w:val="nil"/>
              <w:tr2bl w:val="nil"/>
            </w:tcBorders>
            <w:shd w:val="clear" w:color="auto" w:fill="auto"/>
            <w:noWrap/>
            <w:tcMar>
              <w:top w:w="15" w:type="dxa"/>
              <w:left w:w="15" w:type="dxa"/>
              <w:right w:w="15" w:type="dxa"/>
            </w:tcMar>
            <w:vAlign w:val="center"/>
          </w:tcPr>
          <w:p w14:paraId="4CD404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SJG-2-200</w:t>
            </w:r>
          </w:p>
        </w:tc>
        <w:tc>
          <w:tcPr>
            <w:tcW w:w="1029" w:type="dxa"/>
            <w:tcBorders>
              <w:tl2br w:val="nil"/>
              <w:tr2bl w:val="nil"/>
            </w:tcBorders>
            <w:shd w:val="clear" w:color="auto" w:fill="auto"/>
            <w:noWrap/>
            <w:tcMar>
              <w:top w:w="15" w:type="dxa"/>
              <w:left w:w="15" w:type="dxa"/>
              <w:right w:w="15" w:type="dxa"/>
            </w:tcMar>
            <w:vAlign w:val="center"/>
          </w:tcPr>
          <w:p w14:paraId="6870D8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0.05240</w:t>
            </w:r>
          </w:p>
        </w:tc>
        <w:tc>
          <w:tcPr>
            <w:tcW w:w="894" w:type="dxa"/>
            <w:tcBorders>
              <w:tl2br w:val="nil"/>
              <w:tr2bl w:val="nil"/>
            </w:tcBorders>
            <w:shd w:val="clear" w:color="auto" w:fill="auto"/>
            <w:noWrap/>
            <w:tcMar>
              <w:top w:w="15" w:type="dxa"/>
              <w:left w:w="15" w:type="dxa"/>
              <w:right w:w="15" w:type="dxa"/>
            </w:tcMar>
            <w:vAlign w:val="center"/>
          </w:tcPr>
          <w:p w14:paraId="21D081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0.02425</w:t>
            </w:r>
          </w:p>
        </w:tc>
        <w:tc>
          <w:tcPr>
            <w:tcW w:w="894" w:type="dxa"/>
            <w:tcBorders>
              <w:tl2br w:val="nil"/>
              <w:tr2bl w:val="nil"/>
            </w:tcBorders>
            <w:shd w:val="clear" w:color="auto" w:fill="auto"/>
            <w:noWrap/>
            <w:tcMar>
              <w:top w:w="15" w:type="dxa"/>
              <w:left w:w="15" w:type="dxa"/>
              <w:right w:w="15" w:type="dxa"/>
            </w:tcMar>
            <w:vAlign w:val="center"/>
          </w:tcPr>
          <w:p w14:paraId="4FDA59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0.00237</w:t>
            </w:r>
          </w:p>
        </w:tc>
        <w:tc>
          <w:tcPr>
            <w:tcW w:w="980" w:type="dxa"/>
            <w:tcBorders>
              <w:tl2br w:val="nil"/>
              <w:tr2bl w:val="nil"/>
            </w:tcBorders>
            <w:shd w:val="clear" w:color="auto" w:fill="auto"/>
            <w:noWrap/>
            <w:tcMar>
              <w:top w:w="15" w:type="dxa"/>
              <w:left w:w="15" w:type="dxa"/>
              <w:right w:w="15" w:type="dxa"/>
            </w:tcMar>
            <w:vAlign w:val="center"/>
          </w:tcPr>
          <w:p w14:paraId="3F1A86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0.11429</w:t>
            </w:r>
          </w:p>
        </w:tc>
        <w:tc>
          <w:tcPr>
            <w:tcW w:w="1017" w:type="dxa"/>
            <w:tcBorders>
              <w:tl2br w:val="nil"/>
              <w:tr2bl w:val="nil"/>
            </w:tcBorders>
            <w:shd w:val="clear" w:color="auto" w:fill="auto"/>
            <w:noWrap/>
            <w:tcMar>
              <w:top w:w="15" w:type="dxa"/>
              <w:left w:w="15" w:type="dxa"/>
              <w:right w:w="15" w:type="dxa"/>
            </w:tcMar>
            <w:vAlign w:val="center"/>
          </w:tcPr>
          <w:p w14:paraId="547AE8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0.00062</w:t>
            </w:r>
          </w:p>
        </w:tc>
        <w:tc>
          <w:tcPr>
            <w:tcW w:w="894" w:type="dxa"/>
            <w:tcBorders>
              <w:tl2br w:val="nil"/>
              <w:tr2bl w:val="nil"/>
            </w:tcBorders>
            <w:shd w:val="clear" w:color="auto" w:fill="auto"/>
            <w:noWrap/>
            <w:tcMar>
              <w:top w:w="15" w:type="dxa"/>
              <w:left w:w="15" w:type="dxa"/>
              <w:right w:w="15" w:type="dxa"/>
            </w:tcMar>
            <w:vAlign w:val="center"/>
          </w:tcPr>
          <w:p w14:paraId="5A053E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0.00122</w:t>
            </w:r>
          </w:p>
        </w:tc>
        <w:tc>
          <w:tcPr>
            <w:tcW w:w="894" w:type="dxa"/>
            <w:tcBorders>
              <w:tl2br w:val="nil"/>
              <w:tr2bl w:val="nil"/>
            </w:tcBorders>
            <w:shd w:val="clear" w:color="auto" w:fill="auto"/>
            <w:noWrap/>
            <w:tcMar>
              <w:top w:w="15" w:type="dxa"/>
              <w:left w:w="15" w:type="dxa"/>
              <w:right w:w="15" w:type="dxa"/>
            </w:tcMar>
            <w:vAlign w:val="center"/>
          </w:tcPr>
          <w:p w14:paraId="1075CB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0.04000</w:t>
            </w:r>
          </w:p>
        </w:tc>
        <w:tc>
          <w:tcPr>
            <w:tcW w:w="894" w:type="dxa"/>
            <w:tcBorders>
              <w:tl2br w:val="nil"/>
              <w:tr2bl w:val="nil"/>
            </w:tcBorders>
            <w:shd w:val="clear" w:color="auto" w:fill="auto"/>
            <w:noWrap/>
            <w:tcMar>
              <w:top w:w="15" w:type="dxa"/>
              <w:left w:w="15" w:type="dxa"/>
              <w:right w:w="15" w:type="dxa"/>
            </w:tcMar>
            <w:vAlign w:val="center"/>
          </w:tcPr>
          <w:p w14:paraId="03DDE0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0.02921</w:t>
            </w:r>
          </w:p>
        </w:tc>
        <w:tc>
          <w:tcPr>
            <w:tcW w:w="919" w:type="dxa"/>
            <w:tcBorders>
              <w:tl2br w:val="nil"/>
              <w:tr2bl w:val="nil"/>
            </w:tcBorders>
            <w:shd w:val="clear" w:color="auto" w:fill="auto"/>
            <w:noWrap/>
            <w:tcMar>
              <w:top w:w="15" w:type="dxa"/>
              <w:left w:w="15" w:type="dxa"/>
              <w:right w:w="15" w:type="dxa"/>
            </w:tcMar>
            <w:vAlign w:val="center"/>
          </w:tcPr>
          <w:p w14:paraId="288E44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466E68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0.16333</w:t>
            </w:r>
          </w:p>
        </w:tc>
        <w:tc>
          <w:tcPr>
            <w:tcW w:w="1104" w:type="dxa"/>
            <w:tcBorders>
              <w:tl2br w:val="nil"/>
              <w:tr2bl w:val="nil"/>
            </w:tcBorders>
            <w:shd w:val="clear" w:color="auto" w:fill="auto"/>
            <w:noWrap/>
            <w:tcMar>
              <w:top w:w="15" w:type="dxa"/>
              <w:left w:w="15" w:type="dxa"/>
              <w:right w:w="15" w:type="dxa"/>
            </w:tcMar>
            <w:vAlign w:val="center"/>
          </w:tcPr>
          <w:p w14:paraId="44B040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0.00296</w:t>
            </w:r>
          </w:p>
        </w:tc>
        <w:tc>
          <w:tcPr>
            <w:tcW w:w="895" w:type="dxa"/>
            <w:tcBorders>
              <w:tl2br w:val="nil"/>
              <w:tr2bl w:val="nil"/>
            </w:tcBorders>
            <w:shd w:val="clear" w:color="auto" w:fill="auto"/>
            <w:noWrap/>
            <w:tcMar>
              <w:top w:w="15" w:type="dxa"/>
              <w:left w:w="15" w:type="dxa"/>
              <w:right w:w="15" w:type="dxa"/>
            </w:tcMar>
            <w:vAlign w:val="center"/>
          </w:tcPr>
          <w:p w14:paraId="1F5466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0.01000</w:t>
            </w:r>
          </w:p>
        </w:tc>
        <w:tc>
          <w:tcPr>
            <w:tcW w:w="933" w:type="dxa"/>
            <w:tcBorders>
              <w:tl2br w:val="nil"/>
              <w:tr2bl w:val="nil"/>
            </w:tcBorders>
            <w:shd w:val="clear" w:color="auto" w:fill="auto"/>
            <w:noWrap/>
            <w:tcMar>
              <w:top w:w="15" w:type="dxa"/>
              <w:left w:w="15" w:type="dxa"/>
              <w:right w:w="15" w:type="dxa"/>
            </w:tcMar>
            <w:vAlign w:val="center"/>
          </w:tcPr>
          <w:p w14:paraId="6089F9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3AC47BD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0BB71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428FAC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239" w:type="dxa"/>
            <w:tcBorders>
              <w:tl2br w:val="nil"/>
              <w:tr2bl w:val="nil"/>
            </w:tcBorders>
            <w:shd w:val="clear" w:color="auto" w:fill="auto"/>
            <w:noWrap/>
            <w:tcMar>
              <w:top w:w="15" w:type="dxa"/>
              <w:left w:w="15" w:type="dxa"/>
              <w:right w:w="15" w:type="dxa"/>
            </w:tcMar>
            <w:vAlign w:val="center"/>
          </w:tcPr>
          <w:p w14:paraId="48EEC1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SJG-2-400</w:t>
            </w:r>
          </w:p>
        </w:tc>
        <w:tc>
          <w:tcPr>
            <w:tcW w:w="1029" w:type="dxa"/>
            <w:tcBorders>
              <w:tl2br w:val="nil"/>
              <w:tr2bl w:val="nil"/>
            </w:tcBorders>
            <w:shd w:val="clear" w:color="auto" w:fill="auto"/>
            <w:noWrap/>
            <w:tcMar>
              <w:top w:w="15" w:type="dxa"/>
              <w:left w:w="15" w:type="dxa"/>
              <w:right w:w="15" w:type="dxa"/>
            </w:tcMar>
            <w:vAlign w:val="center"/>
          </w:tcPr>
          <w:p w14:paraId="47CC39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0.06050</w:t>
            </w:r>
          </w:p>
        </w:tc>
        <w:tc>
          <w:tcPr>
            <w:tcW w:w="894" w:type="dxa"/>
            <w:tcBorders>
              <w:tl2br w:val="nil"/>
              <w:tr2bl w:val="nil"/>
            </w:tcBorders>
            <w:shd w:val="clear" w:color="auto" w:fill="auto"/>
            <w:noWrap/>
            <w:tcMar>
              <w:top w:w="15" w:type="dxa"/>
              <w:left w:w="15" w:type="dxa"/>
              <w:right w:w="15" w:type="dxa"/>
            </w:tcMar>
            <w:vAlign w:val="center"/>
          </w:tcPr>
          <w:p w14:paraId="5F7F2B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0.02750</w:t>
            </w:r>
          </w:p>
        </w:tc>
        <w:tc>
          <w:tcPr>
            <w:tcW w:w="894" w:type="dxa"/>
            <w:tcBorders>
              <w:tl2br w:val="nil"/>
              <w:tr2bl w:val="nil"/>
            </w:tcBorders>
            <w:shd w:val="clear" w:color="auto" w:fill="auto"/>
            <w:noWrap/>
            <w:tcMar>
              <w:top w:w="15" w:type="dxa"/>
              <w:left w:w="15" w:type="dxa"/>
              <w:right w:w="15" w:type="dxa"/>
            </w:tcMar>
            <w:vAlign w:val="center"/>
          </w:tcPr>
          <w:p w14:paraId="439C22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0.00237</w:t>
            </w:r>
          </w:p>
        </w:tc>
        <w:tc>
          <w:tcPr>
            <w:tcW w:w="980" w:type="dxa"/>
            <w:tcBorders>
              <w:tl2br w:val="nil"/>
              <w:tr2bl w:val="nil"/>
            </w:tcBorders>
            <w:shd w:val="clear" w:color="auto" w:fill="auto"/>
            <w:noWrap/>
            <w:tcMar>
              <w:top w:w="15" w:type="dxa"/>
              <w:left w:w="15" w:type="dxa"/>
              <w:right w:w="15" w:type="dxa"/>
            </w:tcMar>
            <w:vAlign w:val="center"/>
          </w:tcPr>
          <w:p w14:paraId="3E15E3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0.11286</w:t>
            </w:r>
          </w:p>
        </w:tc>
        <w:tc>
          <w:tcPr>
            <w:tcW w:w="1017" w:type="dxa"/>
            <w:tcBorders>
              <w:tl2br w:val="nil"/>
              <w:tr2bl w:val="nil"/>
            </w:tcBorders>
            <w:shd w:val="clear" w:color="auto" w:fill="auto"/>
            <w:noWrap/>
            <w:tcMar>
              <w:top w:w="15" w:type="dxa"/>
              <w:left w:w="15" w:type="dxa"/>
              <w:right w:w="15" w:type="dxa"/>
            </w:tcMar>
            <w:vAlign w:val="center"/>
          </w:tcPr>
          <w:p w14:paraId="539A3C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0.00123</w:t>
            </w:r>
          </w:p>
        </w:tc>
        <w:tc>
          <w:tcPr>
            <w:tcW w:w="894" w:type="dxa"/>
            <w:tcBorders>
              <w:tl2br w:val="nil"/>
              <w:tr2bl w:val="nil"/>
            </w:tcBorders>
            <w:shd w:val="clear" w:color="auto" w:fill="auto"/>
            <w:noWrap/>
            <w:tcMar>
              <w:top w:w="15" w:type="dxa"/>
              <w:left w:w="15" w:type="dxa"/>
              <w:right w:w="15" w:type="dxa"/>
            </w:tcMar>
            <w:vAlign w:val="center"/>
          </w:tcPr>
          <w:p w14:paraId="414D50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0.00156</w:t>
            </w:r>
          </w:p>
        </w:tc>
        <w:tc>
          <w:tcPr>
            <w:tcW w:w="894" w:type="dxa"/>
            <w:tcBorders>
              <w:tl2br w:val="nil"/>
              <w:tr2bl w:val="nil"/>
            </w:tcBorders>
            <w:shd w:val="clear" w:color="auto" w:fill="auto"/>
            <w:noWrap/>
            <w:tcMar>
              <w:top w:w="15" w:type="dxa"/>
              <w:left w:w="15" w:type="dxa"/>
              <w:right w:w="15" w:type="dxa"/>
            </w:tcMar>
            <w:vAlign w:val="center"/>
          </w:tcPr>
          <w:p w14:paraId="4231CC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0.04222</w:t>
            </w:r>
          </w:p>
        </w:tc>
        <w:tc>
          <w:tcPr>
            <w:tcW w:w="894" w:type="dxa"/>
            <w:tcBorders>
              <w:tl2br w:val="nil"/>
              <w:tr2bl w:val="nil"/>
            </w:tcBorders>
            <w:shd w:val="clear" w:color="auto" w:fill="auto"/>
            <w:noWrap/>
            <w:tcMar>
              <w:top w:w="15" w:type="dxa"/>
              <w:left w:w="15" w:type="dxa"/>
              <w:right w:w="15" w:type="dxa"/>
            </w:tcMar>
            <w:vAlign w:val="center"/>
          </w:tcPr>
          <w:p w14:paraId="7C2888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0.02955</w:t>
            </w:r>
          </w:p>
        </w:tc>
        <w:tc>
          <w:tcPr>
            <w:tcW w:w="919" w:type="dxa"/>
            <w:tcBorders>
              <w:tl2br w:val="nil"/>
              <w:tr2bl w:val="nil"/>
            </w:tcBorders>
            <w:shd w:val="clear" w:color="auto" w:fill="auto"/>
            <w:noWrap/>
            <w:tcMar>
              <w:top w:w="15" w:type="dxa"/>
              <w:left w:w="15" w:type="dxa"/>
              <w:right w:w="15" w:type="dxa"/>
            </w:tcMar>
            <w:vAlign w:val="center"/>
          </w:tcPr>
          <w:p w14:paraId="04E2B07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5A478E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0.19167</w:t>
            </w:r>
          </w:p>
        </w:tc>
        <w:tc>
          <w:tcPr>
            <w:tcW w:w="1104" w:type="dxa"/>
            <w:tcBorders>
              <w:tl2br w:val="nil"/>
              <w:tr2bl w:val="nil"/>
            </w:tcBorders>
            <w:shd w:val="clear" w:color="auto" w:fill="auto"/>
            <w:noWrap/>
            <w:tcMar>
              <w:top w:w="15" w:type="dxa"/>
              <w:left w:w="15" w:type="dxa"/>
              <w:right w:w="15" w:type="dxa"/>
            </w:tcMar>
            <w:vAlign w:val="center"/>
          </w:tcPr>
          <w:p w14:paraId="17120B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0.00296</w:t>
            </w:r>
          </w:p>
        </w:tc>
        <w:tc>
          <w:tcPr>
            <w:tcW w:w="895" w:type="dxa"/>
            <w:tcBorders>
              <w:tl2br w:val="nil"/>
              <w:tr2bl w:val="nil"/>
            </w:tcBorders>
            <w:shd w:val="clear" w:color="auto" w:fill="auto"/>
            <w:noWrap/>
            <w:tcMar>
              <w:top w:w="15" w:type="dxa"/>
              <w:left w:w="15" w:type="dxa"/>
              <w:right w:w="15" w:type="dxa"/>
            </w:tcMar>
            <w:vAlign w:val="center"/>
          </w:tcPr>
          <w:p w14:paraId="0ACFBB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0.01000</w:t>
            </w:r>
          </w:p>
        </w:tc>
        <w:tc>
          <w:tcPr>
            <w:tcW w:w="933" w:type="dxa"/>
            <w:tcBorders>
              <w:tl2br w:val="nil"/>
              <w:tr2bl w:val="nil"/>
            </w:tcBorders>
            <w:shd w:val="clear" w:color="auto" w:fill="auto"/>
            <w:noWrap/>
            <w:tcMar>
              <w:top w:w="15" w:type="dxa"/>
              <w:left w:w="15" w:type="dxa"/>
              <w:right w:w="15" w:type="dxa"/>
            </w:tcMar>
            <w:vAlign w:val="center"/>
          </w:tcPr>
          <w:p w14:paraId="1FA69D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0.00156</w:t>
            </w:r>
          </w:p>
        </w:tc>
        <w:tc>
          <w:tcPr>
            <w:tcW w:w="1031" w:type="dxa"/>
            <w:tcBorders>
              <w:tl2br w:val="nil"/>
              <w:tr2bl w:val="nil"/>
            </w:tcBorders>
            <w:shd w:val="clear" w:color="auto" w:fill="auto"/>
            <w:noWrap/>
            <w:tcMar>
              <w:top w:w="15" w:type="dxa"/>
              <w:left w:w="15" w:type="dxa"/>
              <w:right w:w="15" w:type="dxa"/>
            </w:tcMar>
            <w:vAlign w:val="center"/>
          </w:tcPr>
          <w:p w14:paraId="156E463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3F6995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7EA4AE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239" w:type="dxa"/>
            <w:tcBorders>
              <w:tl2br w:val="nil"/>
              <w:tr2bl w:val="nil"/>
            </w:tcBorders>
            <w:shd w:val="clear" w:color="auto" w:fill="auto"/>
            <w:noWrap/>
            <w:tcMar>
              <w:top w:w="15" w:type="dxa"/>
              <w:left w:w="15" w:type="dxa"/>
              <w:right w:w="15" w:type="dxa"/>
            </w:tcMar>
            <w:vAlign w:val="center"/>
          </w:tcPr>
          <w:p w14:paraId="1B77E0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SJG-3</w:t>
            </w:r>
          </w:p>
        </w:tc>
        <w:tc>
          <w:tcPr>
            <w:tcW w:w="1029" w:type="dxa"/>
            <w:tcBorders>
              <w:tl2br w:val="nil"/>
              <w:tr2bl w:val="nil"/>
            </w:tcBorders>
            <w:shd w:val="clear" w:color="auto" w:fill="auto"/>
            <w:noWrap/>
            <w:tcMar>
              <w:top w:w="15" w:type="dxa"/>
              <w:left w:w="15" w:type="dxa"/>
              <w:right w:w="15" w:type="dxa"/>
            </w:tcMar>
            <w:vAlign w:val="center"/>
          </w:tcPr>
          <w:p w14:paraId="2EDC29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0.05440</w:t>
            </w:r>
          </w:p>
        </w:tc>
        <w:tc>
          <w:tcPr>
            <w:tcW w:w="894" w:type="dxa"/>
            <w:tcBorders>
              <w:tl2br w:val="nil"/>
              <w:tr2bl w:val="nil"/>
            </w:tcBorders>
            <w:shd w:val="clear" w:color="auto" w:fill="auto"/>
            <w:noWrap/>
            <w:tcMar>
              <w:top w:w="15" w:type="dxa"/>
              <w:left w:w="15" w:type="dxa"/>
              <w:right w:w="15" w:type="dxa"/>
            </w:tcMar>
            <w:vAlign w:val="center"/>
          </w:tcPr>
          <w:p w14:paraId="614060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0.03288</w:t>
            </w:r>
          </w:p>
        </w:tc>
        <w:tc>
          <w:tcPr>
            <w:tcW w:w="894" w:type="dxa"/>
            <w:tcBorders>
              <w:tl2br w:val="nil"/>
              <w:tr2bl w:val="nil"/>
            </w:tcBorders>
            <w:shd w:val="clear" w:color="auto" w:fill="auto"/>
            <w:noWrap/>
            <w:tcMar>
              <w:top w:w="15" w:type="dxa"/>
              <w:left w:w="15" w:type="dxa"/>
              <w:right w:w="15" w:type="dxa"/>
            </w:tcMar>
            <w:vAlign w:val="center"/>
          </w:tcPr>
          <w:p w14:paraId="73D78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0.00289</w:t>
            </w:r>
          </w:p>
        </w:tc>
        <w:tc>
          <w:tcPr>
            <w:tcW w:w="980" w:type="dxa"/>
            <w:tcBorders>
              <w:tl2br w:val="nil"/>
              <w:tr2bl w:val="nil"/>
            </w:tcBorders>
            <w:shd w:val="clear" w:color="auto" w:fill="auto"/>
            <w:noWrap/>
            <w:tcMar>
              <w:top w:w="15" w:type="dxa"/>
              <w:left w:w="15" w:type="dxa"/>
              <w:right w:w="15" w:type="dxa"/>
            </w:tcMar>
            <w:vAlign w:val="center"/>
          </w:tcPr>
          <w:p w14:paraId="29B288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0.17286</w:t>
            </w:r>
          </w:p>
        </w:tc>
        <w:tc>
          <w:tcPr>
            <w:tcW w:w="1017" w:type="dxa"/>
            <w:tcBorders>
              <w:tl2br w:val="nil"/>
              <w:tr2bl w:val="nil"/>
            </w:tcBorders>
            <w:shd w:val="clear" w:color="auto" w:fill="auto"/>
            <w:noWrap/>
            <w:tcMar>
              <w:top w:w="15" w:type="dxa"/>
              <w:left w:w="15" w:type="dxa"/>
              <w:right w:w="15" w:type="dxa"/>
            </w:tcMar>
            <w:vAlign w:val="center"/>
          </w:tcPr>
          <w:p w14:paraId="5A8878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0.00292</w:t>
            </w:r>
          </w:p>
        </w:tc>
        <w:tc>
          <w:tcPr>
            <w:tcW w:w="894" w:type="dxa"/>
            <w:tcBorders>
              <w:tl2br w:val="nil"/>
              <w:tr2bl w:val="nil"/>
            </w:tcBorders>
            <w:shd w:val="clear" w:color="auto" w:fill="auto"/>
            <w:noWrap/>
            <w:tcMar>
              <w:top w:w="15" w:type="dxa"/>
              <w:left w:w="15" w:type="dxa"/>
              <w:right w:w="15" w:type="dxa"/>
            </w:tcMar>
            <w:vAlign w:val="center"/>
          </w:tcPr>
          <w:p w14:paraId="5BA0CD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0.00228</w:t>
            </w:r>
          </w:p>
        </w:tc>
        <w:tc>
          <w:tcPr>
            <w:tcW w:w="894" w:type="dxa"/>
            <w:tcBorders>
              <w:tl2br w:val="nil"/>
              <w:tr2bl w:val="nil"/>
            </w:tcBorders>
            <w:shd w:val="clear" w:color="auto" w:fill="auto"/>
            <w:noWrap/>
            <w:tcMar>
              <w:top w:w="15" w:type="dxa"/>
              <w:left w:w="15" w:type="dxa"/>
              <w:right w:w="15" w:type="dxa"/>
            </w:tcMar>
            <w:vAlign w:val="center"/>
          </w:tcPr>
          <w:p w14:paraId="35334C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0.04333</w:t>
            </w:r>
          </w:p>
        </w:tc>
        <w:tc>
          <w:tcPr>
            <w:tcW w:w="894" w:type="dxa"/>
            <w:tcBorders>
              <w:tl2br w:val="nil"/>
              <w:tr2bl w:val="nil"/>
            </w:tcBorders>
            <w:shd w:val="clear" w:color="auto" w:fill="auto"/>
            <w:noWrap/>
            <w:tcMar>
              <w:top w:w="15" w:type="dxa"/>
              <w:left w:w="15" w:type="dxa"/>
              <w:right w:w="15" w:type="dxa"/>
            </w:tcMar>
            <w:vAlign w:val="center"/>
          </w:tcPr>
          <w:p w14:paraId="0A203C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0.01271</w:t>
            </w:r>
          </w:p>
        </w:tc>
        <w:tc>
          <w:tcPr>
            <w:tcW w:w="919" w:type="dxa"/>
            <w:tcBorders>
              <w:tl2br w:val="nil"/>
              <w:tr2bl w:val="nil"/>
            </w:tcBorders>
            <w:shd w:val="clear" w:color="auto" w:fill="auto"/>
            <w:noWrap/>
            <w:tcMar>
              <w:top w:w="15" w:type="dxa"/>
              <w:left w:w="15" w:type="dxa"/>
              <w:right w:w="15" w:type="dxa"/>
            </w:tcMar>
            <w:vAlign w:val="center"/>
          </w:tcPr>
          <w:p w14:paraId="3D89ED3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4D9589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0.16167</w:t>
            </w:r>
          </w:p>
        </w:tc>
        <w:tc>
          <w:tcPr>
            <w:tcW w:w="1104" w:type="dxa"/>
            <w:tcBorders>
              <w:tl2br w:val="nil"/>
              <w:tr2bl w:val="nil"/>
            </w:tcBorders>
            <w:shd w:val="clear" w:color="auto" w:fill="auto"/>
            <w:noWrap/>
            <w:tcMar>
              <w:top w:w="15" w:type="dxa"/>
              <w:left w:w="15" w:type="dxa"/>
              <w:right w:w="15" w:type="dxa"/>
            </w:tcMar>
            <w:vAlign w:val="center"/>
          </w:tcPr>
          <w:p w14:paraId="70EAAB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0.00667</w:t>
            </w:r>
          </w:p>
        </w:tc>
        <w:tc>
          <w:tcPr>
            <w:tcW w:w="895" w:type="dxa"/>
            <w:tcBorders>
              <w:tl2br w:val="nil"/>
              <w:tr2bl w:val="nil"/>
            </w:tcBorders>
            <w:shd w:val="clear" w:color="auto" w:fill="auto"/>
            <w:noWrap/>
            <w:tcMar>
              <w:top w:w="15" w:type="dxa"/>
              <w:left w:w="15" w:type="dxa"/>
              <w:right w:w="15" w:type="dxa"/>
            </w:tcMar>
            <w:vAlign w:val="center"/>
          </w:tcPr>
          <w:p w14:paraId="069861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0.01000</w:t>
            </w:r>
          </w:p>
        </w:tc>
        <w:tc>
          <w:tcPr>
            <w:tcW w:w="933" w:type="dxa"/>
            <w:tcBorders>
              <w:tl2br w:val="nil"/>
              <w:tr2bl w:val="nil"/>
            </w:tcBorders>
            <w:shd w:val="clear" w:color="auto" w:fill="auto"/>
            <w:noWrap/>
            <w:tcMar>
              <w:top w:w="15" w:type="dxa"/>
              <w:left w:w="15" w:type="dxa"/>
              <w:right w:w="15" w:type="dxa"/>
            </w:tcMar>
            <w:vAlign w:val="center"/>
          </w:tcPr>
          <w:p w14:paraId="5E1825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0.00356</w:t>
            </w:r>
          </w:p>
        </w:tc>
        <w:tc>
          <w:tcPr>
            <w:tcW w:w="1031" w:type="dxa"/>
            <w:tcBorders>
              <w:tl2br w:val="nil"/>
              <w:tr2bl w:val="nil"/>
            </w:tcBorders>
            <w:shd w:val="clear" w:color="auto" w:fill="auto"/>
            <w:noWrap/>
            <w:tcMar>
              <w:top w:w="15" w:type="dxa"/>
              <w:left w:w="15" w:type="dxa"/>
              <w:right w:w="15" w:type="dxa"/>
            </w:tcMar>
            <w:vAlign w:val="center"/>
          </w:tcPr>
          <w:p w14:paraId="0B5D1D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6FF82B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3D90E6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239" w:type="dxa"/>
            <w:tcBorders>
              <w:tl2br w:val="nil"/>
              <w:tr2bl w:val="nil"/>
            </w:tcBorders>
            <w:shd w:val="clear" w:color="auto" w:fill="auto"/>
            <w:noWrap/>
            <w:tcMar>
              <w:top w:w="15" w:type="dxa"/>
              <w:left w:w="15" w:type="dxa"/>
              <w:right w:w="15" w:type="dxa"/>
            </w:tcMar>
            <w:vAlign w:val="center"/>
          </w:tcPr>
          <w:p w14:paraId="16ECEB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SJG-4</w:t>
            </w:r>
          </w:p>
        </w:tc>
        <w:tc>
          <w:tcPr>
            <w:tcW w:w="1029" w:type="dxa"/>
            <w:tcBorders>
              <w:tl2br w:val="nil"/>
              <w:tr2bl w:val="nil"/>
            </w:tcBorders>
            <w:shd w:val="clear" w:color="auto" w:fill="auto"/>
            <w:noWrap/>
            <w:tcMar>
              <w:top w:w="15" w:type="dxa"/>
              <w:left w:w="15" w:type="dxa"/>
              <w:right w:w="15" w:type="dxa"/>
            </w:tcMar>
            <w:vAlign w:val="center"/>
          </w:tcPr>
          <w:p w14:paraId="3A84F0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0.05820</w:t>
            </w:r>
          </w:p>
        </w:tc>
        <w:tc>
          <w:tcPr>
            <w:tcW w:w="894" w:type="dxa"/>
            <w:tcBorders>
              <w:tl2br w:val="nil"/>
              <w:tr2bl w:val="nil"/>
            </w:tcBorders>
            <w:shd w:val="clear" w:color="auto" w:fill="auto"/>
            <w:noWrap/>
            <w:tcMar>
              <w:top w:w="15" w:type="dxa"/>
              <w:left w:w="15" w:type="dxa"/>
              <w:right w:w="15" w:type="dxa"/>
            </w:tcMar>
            <w:vAlign w:val="center"/>
          </w:tcPr>
          <w:p w14:paraId="24A622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0.02500</w:t>
            </w:r>
          </w:p>
        </w:tc>
        <w:tc>
          <w:tcPr>
            <w:tcW w:w="894" w:type="dxa"/>
            <w:tcBorders>
              <w:tl2br w:val="nil"/>
              <w:tr2bl w:val="nil"/>
            </w:tcBorders>
            <w:shd w:val="clear" w:color="auto" w:fill="auto"/>
            <w:noWrap/>
            <w:tcMar>
              <w:top w:w="15" w:type="dxa"/>
              <w:left w:w="15" w:type="dxa"/>
              <w:right w:w="15" w:type="dxa"/>
            </w:tcMar>
            <w:vAlign w:val="center"/>
          </w:tcPr>
          <w:p w14:paraId="6A9D67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0.00211</w:t>
            </w:r>
          </w:p>
        </w:tc>
        <w:tc>
          <w:tcPr>
            <w:tcW w:w="980" w:type="dxa"/>
            <w:tcBorders>
              <w:tl2br w:val="nil"/>
              <w:tr2bl w:val="nil"/>
            </w:tcBorders>
            <w:shd w:val="clear" w:color="auto" w:fill="auto"/>
            <w:noWrap/>
            <w:tcMar>
              <w:top w:w="15" w:type="dxa"/>
              <w:left w:w="15" w:type="dxa"/>
              <w:right w:w="15" w:type="dxa"/>
            </w:tcMar>
            <w:vAlign w:val="center"/>
          </w:tcPr>
          <w:p w14:paraId="19A066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0.15286</w:t>
            </w:r>
          </w:p>
        </w:tc>
        <w:tc>
          <w:tcPr>
            <w:tcW w:w="1017" w:type="dxa"/>
            <w:tcBorders>
              <w:tl2br w:val="nil"/>
              <w:tr2bl w:val="nil"/>
            </w:tcBorders>
            <w:shd w:val="clear" w:color="auto" w:fill="auto"/>
            <w:noWrap/>
            <w:tcMar>
              <w:top w:w="15" w:type="dxa"/>
              <w:left w:w="15" w:type="dxa"/>
              <w:right w:w="15" w:type="dxa"/>
            </w:tcMar>
            <w:vAlign w:val="center"/>
          </w:tcPr>
          <w:p w14:paraId="4DA052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0.00200</w:t>
            </w:r>
          </w:p>
        </w:tc>
        <w:tc>
          <w:tcPr>
            <w:tcW w:w="894" w:type="dxa"/>
            <w:tcBorders>
              <w:tl2br w:val="nil"/>
              <w:tr2bl w:val="nil"/>
            </w:tcBorders>
            <w:shd w:val="clear" w:color="auto" w:fill="auto"/>
            <w:noWrap/>
            <w:tcMar>
              <w:top w:w="15" w:type="dxa"/>
              <w:left w:w="15" w:type="dxa"/>
              <w:right w:w="15" w:type="dxa"/>
            </w:tcMar>
            <w:vAlign w:val="center"/>
          </w:tcPr>
          <w:p w14:paraId="7C8DAC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0.00133</w:t>
            </w:r>
          </w:p>
        </w:tc>
        <w:tc>
          <w:tcPr>
            <w:tcW w:w="894" w:type="dxa"/>
            <w:tcBorders>
              <w:tl2br w:val="nil"/>
              <w:tr2bl w:val="nil"/>
            </w:tcBorders>
            <w:shd w:val="clear" w:color="auto" w:fill="auto"/>
            <w:noWrap/>
            <w:tcMar>
              <w:top w:w="15" w:type="dxa"/>
              <w:left w:w="15" w:type="dxa"/>
              <w:right w:w="15" w:type="dxa"/>
            </w:tcMar>
            <w:vAlign w:val="center"/>
          </w:tcPr>
          <w:p w14:paraId="3E048A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0.03556</w:t>
            </w:r>
          </w:p>
        </w:tc>
        <w:tc>
          <w:tcPr>
            <w:tcW w:w="894" w:type="dxa"/>
            <w:tcBorders>
              <w:tl2br w:val="nil"/>
              <w:tr2bl w:val="nil"/>
            </w:tcBorders>
            <w:shd w:val="clear" w:color="auto" w:fill="auto"/>
            <w:noWrap/>
            <w:tcMar>
              <w:top w:w="15" w:type="dxa"/>
              <w:left w:w="15" w:type="dxa"/>
              <w:right w:w="15" w:type="dxa"/>
            </w:tcMar>
            <w:vAlign w:val="center"/>
          </w:tcPr>
          <w:p w14:paraId="40FC09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0.01546</w:t>
            </w:r>
          </w:p>
        </w:tc>
        <w:tc>
          <w:tcPr>
            <w:tcW w:w="919" w:type="dxa"/>
            <w:tcBorders>
              <w:tl2br w:val="nil"/>
              <w:tr2bl w:val="nil"/>
            </w:tcBorders>
            <w:shd w:val="clear" w:color="auto" w:fill="auto"/>
            <w:noWrap/>
            <w:tcMar>
              <w:top w:w="15" w:type="dxa"/>
              <w:left w:w="15" w:type="dxa"/>
              <w:right w:w="15" w:type="dxa"/>
            </w:tcMar>
            <w:vAlign w:val="center"/>
          </w:tcPr>
          <w:p w14:paraId="2DFA7A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19314A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0.13333</w:t>
            </w:r>
          </w:p>
        </w:tc>
        <w:tc>
          <w:tcPr>
            <w:tcW w:w="1104" w:type="dxa"/>
            <w:tcBorders>
              <w:tl2br w:val="nil"/>
              <w:tr2bl w:val="nil"/>
            </w:tcBorders>
            <w:shd w:val="clear" w:color="auto" w:fill="auto"/>
            <w:noWrap/>
            <w:tcMar>
              <w:top w:w="15" w:type="dxa"/>
              <w:left w:w="15" w:type="dxa"/>
              <w:right w:w="15" w:type="dxa"/>
            </w:tcMar>
            <w:vAlign w:val="center"/>
          </w:tcPr>
          <w:p w14:paraId="105660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0.00296</w:t>
            </w:r>
          </w:p>
        </w:tc>
        <w:tc>
          <w:tcPr>
            <w:tcW w:w="895" w:type="dxa"/>
            <w:tcBorders>
              <w:tl2br w:val="nil"/>
              <w:tr2bl w:val="nil"/>
            </w:tcBorders>
            <w:shd w:val="clear" w:color="auto" w:fill="auto"/>
            <w:noWrap/>
            <w:tcMar>
              <w:top w:w="15" w:type="dxa"/>
              <w:left w:w="15" w:type="dxa"/>
              <w:right w:w="15" w:type="dxa"/>
            </w:tcMar>
            <w:vAlign w:val="center"/>
          </w:tcPr>
          <w:p w14:paraId="715629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0.01250</w:t>
            </w:r>
          </w:p>
        </w:tc>
        <w:tc>
          <w:tcPr>
            <w:tcW w:w="933" w:type="dxa"/>
            <w:tcBorders>
              <w:tl2br w:val="nil"/>
              <w:tr2bl w:val="nil"/>
            </w:tcBorders>
            <w:shd w:val="clear" w:color="auto" w:fill="auto"/>
            <w:noWrap/>
            <w:tcMar>
              <w:top w:w="15" w:type="dxa"/>
              <w:left w:w="15" w:type="dxa"/>
              <w:right w:w="15" w:type="dxa"/>
            </w:tcMar>
            <w:vAlign w:val="center"/>
          </w:tcPr>
          <w:p w14:paraId="6B9DC9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5DC10D1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0859E3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0C3B75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239" w:type="dxa"/>
            <w:tcBorders>
              <w:tl2br w:val="nil"/>
              <w:tr2bl w:val="nil"/>
            </w:tcBorders>
            <w:shd w:val="clear" w:color="auto" w:fill="auto"/>
            <w:noWrap/>
            <w:tcMar>
              <w:top w:w="15" w:type="dxa"/>
              <w:left w:w="15" w:type="dxa"/>
              <w:right w:w="15" w:type="dxa"/>
            </w:tcMar>
            <w:vAlign w:val="center"/>
          </w:tcPr>
          <w:p w14:paraId="1E6026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SJG-JJ-1</w:t>
            </w:r>
          </w:p>
        </w:tc>
        <w:tc>
          <w:tcPr>
            <w:tcW w:w="1029" w:type="dxa"/>
            <w:tcBorders>
              <w:tl2br w:val="nil"/>
              <w:tr2bl w:val="nil"/>
            </w:tcBorders>
            <w:shd w:val="clear" w:color="auto" w:fill="auto"/>
            <w:noWrap/>
            <w:tcMar>
              <w:top w:w="15" w:type="dxa"/>
              <w:left w:w="15" w:type="dxa"/>
              <w:right w:w="15" w:type="dxa"/>
            </w:tcMar>
            <w:vAlign w:val="center"/>
          </w:tcPr>
          <w:p w14:paraId="6B4CC6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0.05700</w:t>
            </w:r>
          </w:p>
        </w:tc>
        <w:tc>
          <w:tcPr>
            <w:tcW w:w="894" w:type="dxa"/>
            <w:tcBorders>
              <w:tl2br w:val="nil"/>
              <w:tr2bl w:val="nil"/>
            </w:tcBorders>
            <w:shd w:val="clear" w:color="auto" w:fill="auto"/>
            <w:noWrap/>
            <w:tcMar>
              <w:top w:w="15" w:type="dxa"/>
              <w:left w:w="15" w:type="dxa"/>
              <w:right w:w="15" w:type="dxa"/>
            </w:tcMar>
            <w:vAlign w:val="center"/>
          </w:tcPr>
          <w:p w14:paraId="2F4F8C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0.02188</w:t>
            </w:r>
          </w:p>
        </w:tc>
        <w:tc>
          <w:tcPr>
            <w:tcW w:w="894" w:type="dxa"/>
            <w:tcBorders>
              <w:tl2br w:val="nil"/>
              <w:tr2bl w:val="nil"/>
            </w:tcBorders>
            <w:shd w:val="clear" w:color="auto" w:fill="auto"/>
            <w:noWrap/>
            <w:tcMar>
              <w:top w:w="15" w:type="dxa"/>
              <w:left w:w="15" w:type="dxa"/>
              <w:right w:w="15" w:type="dxa"/>
            </w:tcMar>
            <w:vAlign w:val="center"/>
          </w:tcPr>
          <w:p w14:paraId="71015E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0.00237</w:t>
            </w:r>
          </w:p>
        </w:tc>
        <w:tc>
          <w:tcPr>
            <w:tcW w:w="980" w:type="dxa"/>
            <w:tcBorders>
              <w:tl2br w:val="nil"/>
              <w:tr2bl w:val="nil"/>
            </w:tcBorders>
            <w:shd w:val="clear" w:color="auto" w:fill="auto"/>
            <w:noWrap/>
            <w:tcMar>
              <w:top w:w="15" w:type="dxa"/>
              <w:left w:w="15" w:type="dxa"/>
              <w:right w:w="15" w:type="dxa"/>
            </w:tcMar>
            <w:vAlign w:val="center"/>
          </w:tcPr>
          <w:p w14:paraId="618FC1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0.17429</w:t>
            </w:r>
          </w:p>
        </w:tc>
        <w:tc>
          <w:tcPr>
            <w:tcW w:w="1017" w:type="dxa"/>
            <w:tcBorders>
              <w:tl2br w:val="nil"/>
              <w:tr2bl w:val="nil"/>
            </w:tcBorders>
            <w:shd w:val="clear" w:color="auto" w:fill="auto"/>
            <w:noWrap/>
            <w:tcMar>
              <w:top w:w="15" w:type="dxa"/>
              <w:left w:w="15" w:type="dxa"/>
              <w:right w:w="15" w:type="dxa"/>
            </w:tcMar>
            <w:vAlign w:val="center"/>
          </w:tcPr>
          <w:p w14:paraId="6BAEC9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0.00092</w:t>
            </w:r>
          </w:p>
        </w:tc>
        <w:tc>
          <w:tcPr>
            <w:tcW w:w="894" w:type="dxa"/>
            <w:tcBorders>
              <w:tl2br w:val="nil"/>
              <w:tr2bl w:val="nil"/>
            </w:tcBorders>
            <w:shd w:val="clear" w:color="auto" w:fill="auto"/>
            <w:noWrap/>
            <w:tcMar>
              <w:top w:w="15" w:type="dxa"/>
              <w:left w:w="15" w:type="dxa"/>
              <w:right w:w="15" w:type="dxa"/>
            </w:tcMar>
            <w:vAlign w:val="center"/>
          </w:tcPr>
          <w:p w14:paraId="6E258B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0.00144</w:t>
            </w:r>
          </w:p>
        </w:tc>
        <w:tc>
          <w:tcPr>
            <w:tcW w:w="894" w:type="dxa"/>
            <w:tcBorders>
              <w:tl2br w:val="nil"/>
              <w:tr2bl w:val="nil"/>
            </w:tcBorders>
            <w:shd w:val="clear" w:color="auto" w:fill="auto"/>
            <w:noWrap/>
            <w:tcMar>
              <w:top w:w="15" w:type="dxa"/>
              <w:left w:w="15" w:type="dxa"/>
              <w:right w:w="15" w:type="dxa"/>
            </w:tcMar>
            <w:vAlign w:val="center"/>
          </w:tcPr>
          <w:p w14:paraId="53008F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0.04000</w:t>
            </w:r>
          </w:p>
        </w:tc>
        <w:tc>
          <w:tcPr>
            <w:tcW w:w="894" w:type="dxa"/>
            <w:tcBorders>
              <w:tl2br w:val="nil"/>
              <w:tr2bl w:val="nil"/>
            </w:tcBorders>
            <w:shd w:val="clear" w:color="auto" w:fill="auto"/>
            <w:noWrap/>
            <w:tcMar>
              <w:top w:w="15" w:type="dxa"/>
              <w:left w:w="15" w:type="dxa"/>
              <w:right w:w="15" w:type="dxa"/>
            </w:tcMar>
            <w:vAlign w:val="center"/>
          </w:tcPr>
          <w:p w14:paraId="6232B0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0.02337</w:t>
            </w:r>
          </w:p>
        </w:tc>
        <w:tc>
          <w:tcPr>
            <w:tcW w:w="919" w:type="dxa"/>
            <w:tcBorders>
              <w:tl2br w:val="nil"/>
              <w:tr2bl w:val="nil"/>
            </w:tcBorders>
            <w:shd w:val="clear" w:color="auto" w:fill="auto"/>
            <w:noWrap/>
            <w:tcMar>
              <w:top w:w="15" w:type="dxa"/>
              <w:left w:w="15" w:type="dxa"/>
              <w:right w:w="15" w:type="dxa"/>
            </w:tcMar>
            <w:vAlign w:val="center"/>
          </w:tcPr>
          <w:p w14:paraId="77B32F7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29EAC0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0.18333</w:t>
            </w:r>
          </w:p>
        </w:tc>
        <w:tc>
          <w:tcPr>
            <w:tcW w:w="1104" w:type="dxa"/>
            <w:tcBorders>
              <w:tl2br w:val="nil"/>
              <w:tr2bl w:val="nil"/>
            </w:tcBorders>
            <w:shd w:val="clear" w:color="auto" w:fill="auto"/>
            <w:noWrap/>
            <w:tcMar>
              <w:top w:w="15" w:type="dxa"/>
              <w:left w:w="15" w:type="dxa"/>
              <w:right w:w="15" w:type="dxa"/>
            </w:tcMar>
            <w:vAlign w:val="center"/>
          </w:tcPr>
          <w:p w14:paraId="6A3D9E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0.00370</w:t>
            </w:r>
          </w:p>
        </w:tc>
        <w:tc>
          <w:tcPr>
            <w:tcW w:w="895" w:type="dxa"/>
            <w:tcBorders>
              <w:tl2br w:val="nil"/>
              <w:tr2bl w:val="nil"/>
            </w:tcBorders>
            <w:shd w:val="clear" w:color="auto" w:fill="auto"/>
            <w:noWrap/>
            <w:tcMar>
              <w:top w:w="15" w:type="dxa"/>
              <w:left w:w="15" w:type="dxa"/>
              <w:right w:w="15" w:type="dxa"/>
            </w:tcMar>
            <w:vAlign w:val="center"/>
          </w:tcPr>
          <w:p w14:paraId="25B31B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0.01250</w:t>
            </w:r>
          </w:p>
        </w:tc>
        <w:tc>
          <w:tcPr>
            <w:tcW w:w="933" w:type="dxa"/>
            <w:tcBorders>
              <w:tl2br w:val="nil"/>
              <w:tr2bl w:val="nil"/>
            </w:tcBorders>
            <w:shd w:val="clear" w:color="auto" w:fill="auto"/>
            <w:noWrap/>
            <w:tcMar>
              <w:top w:w="15" w:type="dxa"/>
              <w:left w:w="15" w:type="dxa"/>
              <w:right w:w="15" w:type="dxa"/>
            </w:tcMar>
            <w:vAlign w:val="center"/>
          </w:tcPr>
          <w:p w14:paraId="05A206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372C4E8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280972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2E5C51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c>
          <w:tcPr>
            <w:tcW w:w="1239" w:type="dxa"/>
            <w:tcBorders>
              <w:tl2br w:val="nil"/>
              <w:tr2bl w:val="nil"/>
            </w:tcBorders>
            <w:shd w:val="clear" w:color="auto" w:fill="auto"/>
            <w:noWrap/>
            <w:tcMar>
              <w:top w:w="15" w:type="dxa"/>
              <w:left w:w="15" w:type="dxa"/>
              <w:right w:w="15" w:type="dxa"/>
            </w:tcMar>
            <w:vAlign w:val="center"/>
          </w:tcPr>
          <w:p w14:paraId="06659F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SJG-JJ-2</w:t>
            </w:r>
          </w:p>
        </w:tc>
        <w:tc>
          <w:tcPr>
            <w:tcW w:w="1029" w:type="dxa"/>
            <w:tcBorders>
              <w:tl2br w:val="nil"/>
              <w:tr2bl w:val="nil"/>
            </w:tcBorders>
            <w:shd w:val="clear" w:color="auto" w:fill="auto"/>
            <w:noWrap/>
            <w:tcMar>
              <w:top w:w="15" w:type="dxa"/>
              <w:left w:w="15" w:type="dxa"/>
              <w:right w:w="15" w:type="dxa"/>
            </w:tcMar>
            <w:vAlign w:val="center"/>
          </w:tcPr>
          <w:p w14:paraId="3B4722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0.27143</w:t>
            </w:r>
          </w:p>
        </w:tc>
        <w:tc>
          <w:tcPr>
            <w:tcW w:w="894" w:type="dxa"/>
            <w:tcBorders>
              <w:tl2br w:val="nil"/>
              <w:tr2bl w:val="nil"/>
            </w:tcBorders>
            <w:shd w:val="clear" w:color="auto" w:fill="auto"/>
            <w:noWrap/>
            <w:tcMar>
              <w:top w:w="15" w:type="dxa"/>
              <w:left w:w="15" w:type="dxa"/>
              <w:right w:w="15" w:type="dxa"/>
            </w:tcMar>
            <w:vAlign w:val="center"/>
          </w:tcPr>
          <w:p w14:paraId="557ABA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0.06450</w:t>
            </w:r>
          </w:p>
        </w:tc>
        <w:tc>
          <w:tcPr>
            <w:tcW w:w="894" w:type="dxa"/>
            <w:tcBorders>
              <w:tl2br w:val="nil"/>
              <w:tr2bl w:val="nil"/>
            </w:tcBorders>
            <w:shd w:val="clear" w:color="auto" w:fill="auto"/>
            <w:noWrap/>
            <w:tcMar>
              <w:top w:w="15" w:type="dxa"/>
              <w:left w:w="15" w:type="dxa"/>
              <w:right w:w="15" w:type="dxa"/>
            </w:tcMar>
            <w:vAlign w:val="center"/>
          </w:tcPr>
          <w:p w14:paraId="0DB379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0.01125</w:t>
            </w:r>
          </w:p>
        </w:tc>
        <w:tc>
          <w:tcPr>
            <w:tcW w:w="980" w:type="dxa"/>
            <w:tcBorders>
              <w:tl2br w:val="nil"/>
              <w:tr2bl w:val="nil"/>
            </w:tcBorders>
            <w:shd w:val="clear" w:color="auto" w:fill="auto"/>
            <w:noWrap/>
            <w:tcMar>
              <w:top w:w="15" w:type="dxa"/>
              <w:left w:w="15" w:type="dxa"/>
              <w:right w:w="15" w:type="dxa"/>
            </w:tcMar>
            <w:vAlign w:val="center"/>
          </w:tcPr>
          <w:p w14:paraId="29BFBF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0.50500</w:t>
            </w:r>
          </w:p>
        </w:tc>
        <w:tc>
          <w:tcPr>
            <w:tcW w:w="1017" w:type="dxa"/>
            <w:tcBorders>
              <w:tl2br w:val="nil"/>
              <w:tr2bl w:val="nil"/>
            </w:tcBorders>
            <w:shd w:val="clear" w:color="auto" w:fill="auto"/>
            <w:noWrap/>
            <w:tcMar>
              <w:top w:w="15" w:type="dxa"/>
              <w:left w:w="15" w:type="dxa"/>
              <w:right w:w="15" w:type="dxa"/>
            </w:tcMar>
            <w:vAlign w:val="center"/>
          </w:tcPr>
          <w:p w14:paraId="7A4219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0.00650</w:t>
            </w:r>
          </w:p>
        </w:tc>
        <w:tc>
          <w:tcPr>
            <w:tcW w:w="894" w:type="dxa"/>
            <w:tcBorders>
              <w:tl2br w:val="nil"/>
              <w:tr2bl w:val="nil"/>
            </w:tcBorders>
            <w:shd w:val="clear" w:color="auto" w:fill="auto"/>
            <w:noWrap/>
            <w:tcMar>
              <w:top w:w="15" w:type="dxa"/>
              <w:left w:w="15" w:type="dxa"/>
              <w:right w:w="15" w:type="dxa"/>
            </w:tcMar>
            <w:vAlign w:val="center"/>
          </w:tcPr>
          <w:p w14:paraId="12CC6D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0.01300</w:t>
            </w:r>
          </w:p>
        </w:tc>
        <w:tc>
          <w:tcPr>
            <w:tcW w:w="894" w:type="dxa"/>
            <w:tcBorders>
              <w:tl2br w:val="nil"/>
              <w:tr2bl w:val="nil"/>
            </w:tcBorders>
            <w:shd w:val="clear" w:color="auto" w:fill="auto"/>
            <w:noWrap/>
            <w:tcMar>
              <w:top w:w="15" w:type="dxa"/>
              <w:left w:w="15" w:type="dxa"/>
              <w:right w:w="15" w:type="dxa"/>
            </w:tcMar>
            <w:vAlign w:val="center"/>
          </w:tcPr>
          <w:p w14:paraId="3A28B4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0.20000</w:t>
            </w:r>
          </w:p>
        </w:tc>
        <w:tc>
          <w:tcPr>
            <w:tcW w:w="894" w:type="dxa"/>
            <w:tcBorders>
              <w:tl2br w:val="nil"/>
              <w:tr2bl w:val="nil"/>
            </w:tcBorders>
            <w:shd w:val="clear" w:color="auto" w:fill="auto"/>
            <w:noWrap/>
            <w:tcMar>
              <w:top w:w="15" w:type="dxa"/>
              <w:left w:w="15" w:type="dxa"/>
              <w:right w:w="15" w:type="dxa"/>
            </w:tcMar>
            <w:vAlign w:val="center"/>
          </w:tcPr>
          <w:p w14:paraId="144F3E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0.05207</w:t>
            </w:r>
          </w:p>
        </w:tc>
        <w:tc>
          <w:tcPr>
            <w:tcW w:w="919" w:type="dxa"/>
            <w:tcBorders>
              <w:tl2br w:val="nil"/>
              <w:tr2bl w:val="nil"/>
            </w:tcBorders>
            <w:shd w:val="clear" w:color="auto" w:fill="auto"/>
            <w:noWrap/>
            <w:tcMar>
              <w:top w:w="15" w:type="dxa"/>
              <w:left w:w="15" w:type="dxa"/>
              <w:right w:w="15" w:type="dxa"/>
            </w:tcMar>
            <w:vAlign w:val="center"/>
          </w:tcPr>
          <w:p w14:paraId="7C1684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1E4F96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0.40000</w:t>
            </w:r>
          </w:p>
        </w:tc>
        <w:tc>
          <w:tcPr>
            <w:tcW w:w="1104" w:type="dxa"/>
            <w:tcBorders>
              <w:tl2br w:val="nil"/>
              <w:tr2bl w:val="nil"/>
            </w:tcBorders>
            <w:shd w:val="clear" w:color="auto" w:fill="auto"/>
            <w:noWrap/>
            <w:tcMar>
              <w:top w:w="15" w:type="dxa"/>
              <w:left w:w="15" w:type="dxa"/>
              <w:right w:w="15" w:type="dxa"/>
            </w:tcMar>
            <w:vAlign w:val="center"/>
          </w:tcPr>
          <w:p w14:paraId="2F5218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0.02273</w:t>
            </w:r>
          </w:p>
        </w:tc>
        <w:tc>
          <w:tcPr>
            <w:tcW w:w="895" w:type="dxa"/>
            <w:tcBorders>
              <w:tl2br w:val="nil"/>
              <w:tr2bl w:val="nil"/>
            </w:tcBorders>
            <w:shd w:val="clear" w:color="auto" w:fill="auto"/>
            <w:noWrap/>
            <w:tcMar>
              <w:top w:w="15" w:type="dxa"/>
              <w:left w:w="15" w:type="dxa"/>
              <w:right w:w="15" w:type="dxa"/>
            </w:tcMar>
            <w:vAlign w:val="center"/>
          </w:tcPr>
          <w:p w14:paraId="63DA91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0.06000</w:t>
            </w:r>
          </w:p>
        </w:tc>
        <w:tc>
          <w:tcPr>
            <w:tcW w:w="933" w:type="dxa"/>
            <w:tcBorders>
              <w:tl2br w:val="nil"/>
              <w:tr2bl w:val="nil"/>
            </w:tcBorders>
            <w:shd w:val="clear" w:color="auto" w:fill="auto"/>
            <w:noWrap/>
            <w:tcMar>
              <w:top w:w="15" w:type="dxa"/>
              <w:left w:w="15" w:type="dxa"/>
              <w:right w:w="15" w:type="dxa"/>
            </w:tcMar>
            <w:vAlign w:val="center"/>
          </w:tcPr>
          <w:p w14:paraId="271B33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0.05085</w:t>
            </w:r>
          </w:p>
        </w:tc>
        <w:tc>
          <w:tcPr>
            <w:tcW w:w="1031" w:type="dxa"/>
            <w:tcBorders>
              <w:tl2br w:val="nil"/>
              <w:tr2bl w:val="nil"/>
            </w:tcBorders>
            <w:shd w:val="clear" w:color="auto" w:fill="auto"/>
            <w:noWrap/>
            <w:tcMar>
              <w:top w:w="15" w:type="dxa"/>
              <w:left w:w="15" w:type="dxa"/>
              <w:right w:w="15" w:type="dxa"/>
            </w:tcMar>
            <w:vAlign w:val="center"/>
          </w:tcPr>
          <w:p w14:paraId="7F9A503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33AB31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658B62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239" w:type="dxa"/>
            <w:tcBorders>
              <w:tl2br w:val="nil"/>
              <w:tr2bl w:val="nil"/>
            </w:tcBorders>
            <w:shd w:val="clear" w:color="auto" w:fill="auto"/>
            <w:noWrap/>
            <w:tcMar>
              <w:top w:w="15" w:type="dxa"/>
              <w:left w:w="15" w:type="dxa"/>
              <w:right w:w="15" w:type="dxa"/>
            </w:tcMar>
            <w:vAlign w:val="center"/>
          </w:tcPr>
          <w:p w14:paraId="306F13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SJG-JJ-3</w:t>
            </w:r>
          </w:p>
        </w:tc>
        <w:tc>
          <w:tcPr>
            <w:tcW w:w="1029" w:type="dxa"/>
            <w:tcBorders>
              <w:tl2br w:val="nil"/>
              <w:tr2bl w:val="nil"/>
            </w:tcBorders>
            <w:shd w:val="clear" w:color="auto" w:fill="auto"/>
            <w:noWrap/>
            <w:tcMar>
              <w:top w:w="15" w:type="dxa"/>
              <w:left w:w="15" w:type="dxa"/>
              <w:right w:w="15" w:type="dxa"/>
            </w:tcMar>
            <w:vAlign w:val="center"/>
          </w:tcPr>
          <w:p w14:paraId="035D27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0.05740</w:t>
            </w:r>
          </w:p>
        </w:tc>
        <w:tc>
          <w:tcPr>
            <w:tcW w:w="894" w:type="dxa"/>
            <w:tcBorders>
              <w:tl2br w:val="nil"/>
              <w:tr2bl w:val="nil"/>
            </w:tcBorders>
            <w:shd w:val="clear" w:color="auto" w:fill="auto"/>
            <w:noWrap/>
            <w:tcMar>
              <w:top w:w="15" w:type="dxa"/>
              <w:left w:w="15" w:type="dxa"/>
              <w:right w:w="15" w:type="dxa"/>
            </w:tcMar>
            <w:vAlign w:val="center"/>
          </w:tcPr>
          <w:p w14:paraId="4FF8D7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0.02138</w:t>
            </w:r>
          </w:p>
        </w:tc>
        <w:tc>
          <w:tcPr>
            <w:tcW w:w="894" w:type="dxa"/>
            <w:tcBorders>
              <w:tl2br w:val="nil"/>
              <w:tr2bl w:val="nil"/>
            </w:tcBorders>
            <w:shd w:val="clear" w:color="auto" w:fill="auto"/>
            <w:noWrap/>
            <w:tcMar>
              <w:top w:w="15" w:type="dxa"/>
              <w:left w:w="15" w:type="dxa"/>
              <w:right w:w="15" w:type="dxa"/>
            </w:tcMar>
            <w:vAlign w:val="center"/>
          </w:tcPr>
          <w:p w14:paraId="234A30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0.00421</w:t>
            </w:r>
          </w:p>
        </w:tc>
        <w:tc>
          <w:tcPr>
            <w:tcW w:w="980" w:type="dxa"/>
            <w:tcBorders>
              <w:tl2br w:val="nil"/>
              <w:tr2bl w:val="nil"/>
            </w:tcBorders>
            <w:shd w:val="clear" w:color="auto" w:fill="auto"/>
            <w:noWrap/>
            <w:tcMar>
              <w:top w:w="15" w:type="dxa"/>
              <w:left w:w="15" w:type="dxa"/>
              <w:right w:w="15" w:type="dxa"/>
            </w:tcMar>
            <w:vAlign w:val="center"/>
          </w:tcPr>
          <w:p w14:paraId="389383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0.12657</w:t>
            </w:r>
          </w:p>
        </w:tc>
        <w:tc>
          <w:tcPr>
            <w:tcW w:w="1017" w:type="dxa"/>
            <w:tcBorders>
              <w:tl2br w:val="nil"/>
              <w:tr2bl w:val="nil"/>
            </w:tcBorders>
            <w:shd w:val="clear" w:color="auto" w:fill="auto"/>
            <w:noWrap/>
            <w:tcMar>
              <w:top w:w="15" w:type="dxa"/>
              <w:left w:w="15" w:type="dxa"/>
              <w:right w:w="15" w:type="dxa"/>
            </w:tcMar>
            <w:vAlign w:val="center"/>
          </w:tcPr>
          <w:p w14:paraId="3EE4A1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0.00062</w:t>
            </w:r>
          </w:p>
        </w:tc>
        <w:tc>
          <w:tcPr>
            <w:tcW w:w="894" w:type="dxa"/>
            <w:tcBorders>
              <w:tl2br w:val="nil"/>
              <w:tr2bl w:val="nil"/>
            </w:tcBorders>
            <w:shd w:val="clear" w:color="auto" w:fill="auto"/>
            <w:noWrap/>
            <w:tcMar>
              <w:top w:w="15" w:type="dxa"/>
              <w:left w:w="15" w:type="dxa"/>
              <w:right w:w="15" w:type="dxa"/>
            </w:tcMar>
            <w:vAlign w:val="center"/>
          </w:tcPr>
          <w:p w14:paraId="23606A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0.00122</w:t>
            </w:r>
          </w:p>
        </w:tc>
        <w:tc>
          <w:tcPr>
            <w:tcW w:w="894" w:type="dxa"/>
            <w:tcBorders>
              <w:tl2br w:val="nil"/>
              <w:tr2bl w:val="nil"/>
            </w:tcBorders>
            <w:shd w:val="clear" w:color="auto" w:fill="auto"/>
            <w:noWrap/>
            <w:tcMar>
              <w:top w:w="15" w:type="dxa"/>
              <w:left w:w="15" w:type="dxa"/>
              <w:right w:w="15" w:type="dxa"/>
            </w:tcMar>
            <w:vAlign w:val="center"/>
          </w:tcPr>
          <w:p w14:paraId="309127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0.02667</w:t>
            </w:r>
          </w:p>
        </w:tc>
        <w:tc>
          <w:tcPr>
            <w:tcW w:w="894" w:type="dxa"/>
            <w:tcBorders>
              <w:tl2br w:val="nil"/>
              <w:tr2bl w:val="nil"/>
            </w:tcBorders>
            <w:shd w:val="clear" w:color="auto" w:fill="auto"/>
            <w:noWrap/>
            <w:tcMar>
              <w:top w:w="15" w:type="dxa"/>
              <w:left w:w="15" w:type="dxa"/>
              <w:right w:w="15" w:type="dxa"/>
            </w:tcMar>
            <w:vAlign w:val="center"/>
          </w:tcPr>
          <w:p w14:paraId="246847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0.01959</w:t>
            </w:r>
          </w:p>
        </w:tc>
        <w:tc>
          <w:tcPr>
            <w:tcW w:w="919" w:type="dxa"/>
            <w:tcBorders>
              <w:tl2br w:val="nil"/>
              <w:tr2bl w:val="nil"/>
            </w:tcBorders>
            <w:shd w:val="clear" w:color="auto" w:fill="auto"/>
            <w:noWrap/>
            <w:tcMar>
              <w:top w:w="15" w:type="dxa"/>
              <w:left w:w="15" w:type="dxa"/>
              <w:right w:w="15" w:type="dxa"/>
            </w:tcMar>
            <w:vAlign w:val="center"/>
          </w:tcPr>
          <w:p w14:paraId="507D54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58F9F5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0.13667</w:t>
            </w:r>
          </w:p>
        </w:tc>
        <w:tc>
          <w:tcPr>
            <w:tcW w:w="1104" w:type="dxa"/>
            <w:tcBorders>
              <w:tl2br w:val="nil"/>
              <w:tr2bl w:val="nil"/>
            </w:tcBorders>
            <w:shd w:val="clear" w:color="auto" w:fill="auto"/>
            <w:noWrap/>
            <w:tcMar>
              <w:top w:w="15" w:type="dxa"/>
              <w:left w:w="15" w:type="dxa"/>
              <w:right w:w="15" w:type="dxa"/>
            </w:tcMar>
            <w:vAlign w:val="center"/>
          </w:tcPr>
          <w:p w14:paraId="18C901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0.00296</w:t>
            </w:r>
          </w:p>
        </w:tc>
        <w:tc>
          <w:tcPr>
            <w:tcW w:w="895" w:type="dxa"/>
            <w:tcBorders>
              <w:tl2br w:val="nil"/>
              <w:tr2bl w:val="nil"/>
            </w:tcBorders>
            <w:shd w:val="clear" w:color="auto" w:fill="auto"/>
            <w:noWrap/>
            <w:tcMar>
              <w:top w:w="15" w:type="dxa"/>
              <w:left w:w="15" w:type="dxa"/>
              <w:right w:w="15" w:type="dxa"/>
            </w:tcMar>
            <w:vAlign w:val="center"/>
          </w:tcPr>
          <w:p w14:paraId="78C372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0.01000</w:t>
            </w:r>
          </w:p>
        </w:tc>
        <w:tc>
          <w:tcPr>
            <w:tcW w:w="933" w:type="dxa"/>
            <w:tcBorders>
              <w:tl2br w:val="nil"/>
              <w:tr2bl w:val="nil"/>
            </w:tcBorders>
            <w:shd w:val="clear" w:color="auto" w:fill="auto"/>
            <w:noWrap/>
            <w:tcMar>
              <w:top w:w="15" w:type="dxa"/>
              <w:left w:w="15" w:type="dxa"/>
              <w:right w:w="15" w:type="dxa"/>
            </w:tcMar>
            <w:vAlign w:val="center"/>
          </w:tcPr>
          <w:p w14:paraId="4829C3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771724A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29B9FE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0A937E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239" w:type="dxa"/>
            <w:tcBorders>
              <w:tl2br w:val="nil"/>
              <w:tr2bl w:val="nil"/>
            </w:tcBorders>
            <w:shd w:val="clear" w:color="auto" w:fill="auto"/>
            <w:noWrap/>
            <w:tcMar>
              <w:top w:w="15" w:type="dxa"/>
              <w:left w:w="15" w:type="dxa"/>
              <w:right w:w="15" w:type="dxa"/>
            </w:tcMar>
            <w:vAlign w:val="center"/>
          </w:tcPr>
          <w:p w14:paraId="01EEC4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SJG-JJ-4</w:t>
            </w:r>
          </w:p>
        </w:tc>
        <w:tc>
          <w:tcPr>
            <w:tcW w:w="1029" w:type="dxa"/>
            <w:tcBorders>
              <w:tl2br w:val="nil"/>
              <w:tr2bl w:val="nil"/>
            </w:tcBorders>
            <w:shd w:val="clear" w:color="auto" w:fill="auto"/>
            <w:noWrap/>
            <w:tcMar>
              <w:top w:w="15" w:type="dxa"/>
              <w:left w:w="15" w:type="dxa"/>
              <w:right w:w="15" w:type="dxa"/>
            </w:tcMar>
            <w:vAlign w:val="center"/>
          </w:tcPr>
          <w:p w14:paraId="21FAE3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0.05270</w:t>
            </w:r>
          </w:p>
        </w:tc>
        <w:tc>
          <w:tcPr>
            <w:tcW w:w="894" w:type="dxa"/>
            <w:tcBorders>
              <w:tl2br w:val="nil"/>
              <w:tr2bl w:val="nil"/>
            </w:tcBorders>
            <w:shd w:val="clear" w:color="auto" w:fill="auto"/>
            <w:noWrap/>
            <w:tcMar>
              <w:top w:w="15" w:type="dxa"/>
              <w:left w:w="15" w:type="dxa"/>
              <w:right w:w="15" w:type="dxa"/>
            </w:tcMar>
            <w:vAlign w:val="center"/>
          </w:tcPr>
          <w:p w14:paraId="153A97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0.02163</w:t>
            </w:r>
          </w:p>
        </w:tc>
        <w:tc>
          <w:tcPr>
            <w:tcW w:w="894" w:type="dxa"/>
            <w:tcBorders>
              <w:tl2br w:val="nil"/>
              <w:tr2bl w:val="nil"/>
            </w:tcBorders>
            <w:shd w:val="clear" w:color="auto" w:fill="auto"/>
            <w:noWrap/>
            <w:tcMar>
              <w:top w:w="15" w:type="dxa"/>
              <w:left w:w="15" w:type="dxa"/>
              <w:right w:w="15" w:type="dxa"/>
            </w:tcMar>
            <w:vAlign w:val="center"/>
          </w:tcPr>
          <w:p w14:paraId="1CF6B6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0.00237</w:t>
            </w:r>
          </w:p>
        </w:tc>
        <w:tc>
          <w:tcPr>
            <w:tcW w:w="980" w:type="dxa"/>
            <w:tcBorders>
              <w:tl2br w:val="nil"/>
              <w:tr2bl w:val="nil"/>
            </w:tcBorders>
            <w:shd w:val="clear" w:color="auto" w:fill="auto"/>
            <w:noWrap/>
            <w:tcMar>
              <w:top w:w="15" w:type="dxa"/>
              <w:left w:w="15" w:type="dxa"/>
              <w:right w:w="15" w:type="dxa"/>
            </w:tcMar>
            <w:vAlign w:val="center"/>
          </w:tcPr>
          <w:p w14:paraId="4C1B33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0.13814</w:t>
            </w:r>
          </w:p>
        </w:tc>
        <w:tc>
          <w:tcPr>
            <w:tcW w:w="1017" w:type="dxa"/>
            <w:tcBorders>
              <w:tl2br w:val="nil"/>
              <w:tr2bl w:val="nil"/>
            </w:tcBorders>
            <w:shd w:val="clear" w:color="auto" w:fill="auto"/>
            <w:noWrap/>
            <w:tcMar>
              <w:top w:w="15" w:type="dxa"/>
              <w:left w:w="15" w:type="dxa"/>
              <w:right w:w="15" w:type="dxa"/>
            </w:tcMar>
            <w:vAlign w:val="center"/>
          </w:tcPr>
          <w:p w14:paraId="281B6E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0.00077</w:t>
            </w:r>
          </w:p>
        </w:tc>
        <w:tc>
          <w:tcPr>
            <w:tcW w:w="894" w:type="dxa"/>
            <w:tcBorders>
              <w:tl2br w:val="nil"/>
              <w:tr2bl w:val="nil"/>
            </w:tcBorders>
            <w:shd w:val="clear" w:color="auto" w:fill="auto"/>
            <w:noWrap/>
            <w:tcMar>
              <w:top w:w="15" w:type="dxa"/>
              <w:left w:w="15" w:type="dxa"/>
              <w:right w:w="15" w:type="dxa"/>
            </w:tcMar>
            <w:vAlign w:val="center"/>
          </w:tcPr>
          <w:p w14:paraId="2B7790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0.00128</w:t>
            </w:r>
          </w:p>
        </w:tc>
        <w:tc>
          <w:tcPr>
            <w:tcW w:w="894" w:type="dxa"/>
            <w:tcBorders>
              <w:tl2br w:val="nil"/>
              <w:tr2bl w:val="nil"/>
            </w:tcBorders>
            <w:shd w:val="clear" w:color="auto" w:fill="auto"/>
            <w:noWrap/>
            <w:tcMar>
              <w:top w:w="15" w:type="dxa"/>
              <w:left w:w="15" w:type="dxa"/>
              <w:right w:w="15" w:type="dxa"/>
            </w:tcMar>
            <w:vAlign w:val="center"/>
          </w:tcPr>
          <w:p w14:paraId="1759AD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0.03556</w:t>
            </w:r>
          </w:p>
        </w:tc>
        <w:tc>
          <w:tcPr>
            <w:tcW w:w="894" w:type="dxa"/>
            <w:tcBorders>
              <w:tl2br w:val="nil"/>
              <w:tr2bl w:val="nil"/>
            </w:tcBorders>
            <w:shd w:val="clear" w:color="auto" w:fill="auto"/>
            <w:noWrap/>
            <w:tcMar>
              <w:top w:w="15" w:type="dxa"/>
              <w:left w:w="15" w:type="dxa"/>
              <w:right w:w="15" w:type="dxa"/>
            </w:tcMar>
            <w:vAlign w:val="center"/>
          </w:tcPr>
          <w:p w14:paraId="6236E8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0.02302</w:t>
            </w:r>
          </w:p>
        </w:tc>
        <w:tc>
          <w:tcPr>
            <w:tcW w:w="919" w:type="dxa"/>
            <w:tcBorders>
              <w:tl2br w:val="nil"/>
              <w:tr2bl w:val="nil"/>
            </w:tcBorders>
            <w:shd w:val="clear" w:color="auto" w:fill="auto"/>
            <w:noWrap/>
            <w:tcMar>
              <w:top w:w="15" w:type="dxa"/>
              <w:left w:w="15" w:type="dxa"/>
              <w:right w:w="15" w:type="dxa"/>
            </w:tcMar>
            <w:vAlign w:val="center"/>
          </w:tcPr>
          <w:p w14:paraId="1ABAC6D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035A9F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0.14667</w:t>
            </w:r>
          </w:p>
        </w:tc>
        <w:tc>
          <w:tcPr>
            <w:tcW w:w="1104" w:type="dxa"/>
            <w:tcBorders>
              <w:tl2br w:val="nil"/>
              <w:tr2bl w:val="nil"/>
            </w:tcBorders>
            <w:shd w:val="clear" w:color="auto" w:fill="auto"/>
            <w:noWrap/>
            <w:tcMar>
              <w:top w:w="15" w:type="dxa"/>
              <w:left w:w="15" w:type="dxa"/>
              <w:right w:w="15" w:type="dxa"/>
            </w:tcMar>
            <w:vAlign w:val="center"/>
          </w:tcPr>
          <w:p w14:paraId="67CA1D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0.00222</w:t>
            </w:r>
          </w:p>
        </w:tc>
        <w:tc>
          <w:tcPr>
            <w:tcW w:w="895" w:type="dxa"/>
            <w:tcBorders>
              <w:tl2br w:val="nil"/>
              <w:tr2bl w:val="nil"/>
            </w:tcBorders>
            <w:shd w:val="clear" w:color="auto" w:fill="auto"/>
            <w:noWrap/>
            <w:tcMar>
              <w:top w:w="15" w:type="dxa"/>
              <w:left w:w="15" w:type="dxa"/>
              <w:right w:w="15" w:type="dxa"/>
            </w:tcMar>
            <w:vAlign w:val="center"/>
          </w:tcPr>
          <w:p w14:paraId="79373A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0.00375</w:t>
            </w:r>
          </w:p>
        </w:tc>
        <w:tc>
          <w:tcPr>
            <w:tcW w:w="933" w:type="dxa"/>
            <w:tcBorders>
              <w:tl2br w:val="nil"/>
              <w:tr2bl w:val="nil"/>
            </w:tcBorders>
            <w:shd w:val="clear" w:color="auto" w:fill="auto"/>
            <w:noWrap/>
            <w:tcMar>
              <w:top w:w="15" w:type="dxa"/>
              <w:left w:w="15" w:type="dxa"/>
              <w:right w:w="15" w:type="dxa"/>
            </w:tcMar>
            <w:vAlign w:val="center"/>
          </w:tcPr>
          <w:p w14:paraId="18587D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6F20C9B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1A217A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390703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239" w:type="dxa"/>
            <w:tcBorders>
              <w:tl2br w:val="nil"/>
              <w:tr2bl w:val="nil"/>
            </w:tcBorders>
            <w:shd w:val="clear" w:color="auto" w:fill="auto"/>
            <w:noWrap/>
            <w:tcMar>
              <w:top w:w="15" w:type="dxa"/>
              <w:left w:w="15" w:type="dxa"/>
              <w:right w:w="15" w:type="dxa"/>
            </w:tcMar>
            <w:vAlign w:val="center"/>
          </w:tcPr>
          <w:p w14:paraId="02B916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SJG-JJ-5</w:t>
            </w:r>
          </w:p>
        </w:tc>
        <w:tc>
          <w:tcPr>
            <w:tcW w:w="1029" w:type="dxa"/>
            <w:tcBorders>
              <w:tl2br w:val="nil"/>
              <w:tr2bl w:val="nil"/>
            </w:tcBorders>
            <w:shd w:val="clear" w:color="auto" w:fill="auto"/>
            <w:noWrap/>
            <w:tcMar>
              <w:top w:w="15" w:type="dxa"/>
              <w:left w:w="15" w:type="dxa"/>
              <w:right w:w="15" w:type="dxa"/>
            </w:tcMar>
            <w:vAlign w:val="center"/>
          </w:tcPr>
          <w:p w14:paraId="190536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0.05080</w:t>
            </w:r>
          </w:p>
        </w:tc>
        <w:tc>
          <w:tcPr>
            <w:tcW w:w="894" w:type="dxa"/>
            <w:tcBorders>
              <w:tl2br w:val="nil"/>
              <w:tr2bl w:val="nil"/>
            </w:tcBorders>
            <w:shd w:val="clear" w:color="auto" w:fill="auto"/>
            <w:noWrap/>
            <w:tcMar>
              <w:top w:w="15" w:type="dxa"/>
              <w:left w:w="15" w:type="dxa"/>
              <w:right w:w="15" w:type="dxa"/>
            </w:tcMar>
            <w:vAlign w:val="center"/>
          </w:tcPr>
          <w:p w14:paraId="61C7EC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0.02200</w:t>
            </w:r>
          </w:p>
        </w:tc>
        <w:tc>
          <w:tcPr>
            <w:tcW w:w="894" w:type="dxa"/>
            <w:tcBorders>
              <w:tl2br w:val="nil"/>
              <w:tr2bl w:val="nil"/>
            </w:tcBorders>
            <w:shd w:val="clear" w:color="auto" w:fill="auto"/>
            <w:noWrap/>
            <w:tcMar>
              <w:top w:w="15" w:type="dxa"/>
              <w:left w:w="15" w:type="dxa"/>
              <w:right w:w="15" w:type="dxa"/>
            </w:tcMar>
            <w:vAlign w:val="center"/>
          </w:tcPr>
          <w:p w14:paraId="0390C6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0.00342</w:t>
            </w:r>
          </w:p>
        </w:tc>
        <w:tc>
          <w:tcPr>
            <w:tcW w:w="980" w:type="dxa"/>
            <w:tcBorders>
              <w:tl2br w:val="nil"/>
              <w:tr2bl w:val="nil"/>
            </w:tcBorders>
            <w:shd w:val="clear" w:color="auto" w:fill="auto"/>
            <w:noWrap/>
            <w:tcMar>
              <w:top w:w="15" w:type="dxa"/>
              <w:left w:w="15" w:type="dxa"/>
              <w:right w:w="15" w:type="dxa"/>
            </w:tcMar>
            <w:vAlign w:val="center"/>
          </w:tcPr>
          <w:p w14:paraId="69E533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0.13014</w:t>
            </w:r>
          </w:p>
        </w:tc>
        <w:tc>
          <w:tcPr>
            <w:tcW w:w="1017" w:type="dxa"/>
            <w:tcBorders>
              <w:tl2br w:val="nil"/>
              <w:tr2bl w:val="nil"/>
            </w:tcBorders>
            <w:shd w:val="clear" w:color="auto" w:fill="auto"/>
            <w:noWrap/>
            <w:tcMar>
              <w:top w:w="15" w:type="dxa"/>
              <w:left w:w="15" w:type="dxa"/>
              <w:right w:w="15" w:type="dxa"/>
            </w:tcMar>
            <w:vAlign w:val="center"/>
          </w:tcPr>
          <w:p w14:paraId="3056C4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0.00123</w:t>
            </w:r>
          </w:p>
        </w:tc>
        <w:tc>
          <w:tcPr>
            <w:tcW w:w="894" w:type="dxa"/>
            <w:tcBorders>
              <w:tl2br w:val="nil"/>
              <w:tr2bl w:val="nil"/>
            </w:tcBorders>
            <w:shd w:val="clear" w:color="auto" w:fill="auto"/>
            <w:noWrap/>
            <w:tcMar>
              <w:top w:w="15" w:type="dxa"/>
              <w:left w:w="15" w:type="dxa"/>
              <w:right w:w="15" w:type="dxa"/>
            </w:tcMar>
            <w:vAlign w:val="center"/>
          </w:tcPr>
          <w:p w14:paraId="3D60D7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0.00150</w:t>
            </w:r>
          </w:p>
        </w:tc>
        <w:tc>
          <w:tcPr>
            <w:tcW w:w="894" w:type="dxa"/>
            <w:tcBorders>
              <w:tl2br w:val="nil"/>
              <w:tr2bl w:val="nil"/>
            </w:tcBorders>
            <w:shd w:val="clear" w:color="auto" w:fill="auto"/>
            <w:noWrap/>
            <w:tcMar>
              <w:top w:w="15" w:type="dxa"/>
              <w:left w:w="15" w:type="dxa"/>
              <w:right w:w="15" w:type="dxa"/>
            </w:tcMar>
            <w:vAlign w:val="center"/>
          </w:tcPr>
          <w:p w14:paraId="03462D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0.03444</w:t>
            </w:r>
          </w:p>
        </w:tc>
        <w:tc>
          <w:tcPr>
            <w:tcW w:w="894" w:type="dxa"/>
            <w:tcBorders>
              <w:tl2br w:val="nil"/>
              <w:tr2bl w:val="nil"/>
            </w:tcBorders>
            <w:shd w:val="clear" w:color="auto" w:fill="auto"/>
            <w:noWrap/>
            <w:tcMar>
              <w:top w:w="15" w:type="dxa"/>
              <w:left w:w="15" w:type="dxa"/>
              <w:right w:w="15" w:type="dxa"/>
            </w:tcMar>
            <w:vAlign w:val="center"/>
          </w:tcPr>
          <w:p w14:paraId="66FFEE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0.02234</w:t>
            </w:r>
          </w:p>
        </w:tc>
        <w:tc>
          <w:tcPr>
            <w:tcW w:w="919" w:type="dxa"/>
            <w:tcBorders>
              <w:tl2br w:val="nil"/>
              <w:tr2bl w:val="nil"/>
            </w:tcBorders>
            <w:shd w:val="clear" w:color="auto" w:fill="auto"/>
            <w:noWrap/>
            <w:tcMar>
              <w:top w:w="15" w:type="dxa"/>
              <w:left w:w="15" w:type="dxa"/>
              <w:right w:w="15" w:type="dxa"/>
            </w:tcMar>
            <w:vAlign w:val="center"/>
          </w:tcPr>
          <w:p w14:paraId="6C3EC97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031E83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0.11333</w:t>
            </w:r>
          </w:p>
        </w:tc>
        <w:tc>
          <w:tcPr>
            <w:tcW w:w="1104" w:type="dxa"/>
            <w:tcBorders>
              <w:tl2br w:val="nil"/>
              <w:tr2bl w:val="nil"/>
            </w:tcBorders>
            <w:shd w:val="clear" w:color="auto" w:fill="auto"/>
            <w:noWrap/>
            <w:tcMar>
              <w:top w:w="15" w:type="dxa"/>
              <w:left w:w="15" w:type="dxa"/>
              <w:right w:w="15" w:type="dxa"/>
            </w:tcMar>
            <w:vAlign w:val="center"/>
          </w:tcPr>
          <w:p w14:paraId="10D2DF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0.00444</w:t>
            </w:r>
          </w:p>
        </w:tc>
        <w:tc>
          <w:tcPr>
            <w:tcW w:w="895" w:type="dxa"/>
            <w:tcBorders>
              <w:tl2br w:val="nil"/>
              <w:tr2bl w:val="nil"/>
            </w:tcBorders>
            <w:shd w:val="clear" w:color="auto" w:fill="auto"/>
            <w:noWrap/>
            <w:tcMar>
              <w:top w:w="15" w:type="dxa"/>
              <w:left w:w="15" w:type="dxa"/>
              <w:right w:w="15" w:type="dxa"/>
            </w:tcMar>
            <w:vAlign w:val="center"/>
          </w:tcPr>
          <w:p w14:paraId="77F72B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0.00375</w:t>
            </w:r>
          </w:p>
        </w:tc>
        <w:tc>
          <w:tcPr>
            <w:tcW w:w="933" w:type="dxa"/>
            <w:tcBorders>
              <w:tl2br w:val="nil"/>
              <w:tr2bl w:val="nil"/>
            </w:tcBorders>
            <w:shd w:val="clear" w:color="auto" w:fill="auto"/>
            <w:noWrap/>
            <w:tcMar>
              <w:top w:w="15" w:type="dxa"/>
              <w:left w:w="15" w:type="dxa"/>
              <w:right w:w="15" w:type="dxa"/>
            </w:tcMar>
            <w:vAlign w:val="center"/>
          </w:tcPr>
          <w:p w14:paraId="0D0539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0.00156</w:t>
            </w:r>
          </w:p>
        </w:tc>
        <w:tc>
          <w:tcPr>
            <w:tcW w:w="1031" w:type="dxa"/>
            <w:tcBorders>
              <w:tl2br w:val="nil"/>
              <w:tr2bl w:val="nil"/>
            </w:tcBorders>
            <w:shd w:val="clear" w:color="auto" w:fill="auto"/>
            <w:noWrap/>
            <w:tcMar>
              <w:top w:w="15" w:type="dxa"/>
              <w:left w:w="15" w:type="dxa"/>
              <w:right w:w="15" w:type="dxa"/>
            </w:tcMar>
            <w:vAlign w:val="center"/>
          </w:tcPr>
          <w:p w14:paraId="4BA3171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0DA467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609369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239" w:type="dxa"/>
            <w:tcBorders>
              <w:tl2br w:val="nil"/>
              <w:tr2bl w:val="nil"/>
            </w:tcBorders>
            <w:shd w:val="clear" w:color="auto" w:fill="auto"/>
            <w:noWrap/>
            <w:tcMar>
              <w:top w:w="15" w:type="dxa"/>
              <w:left w:w="15" w:type="dxa"/>
              <w:right w:w="15" w:type="dxa"/>
            </w:tcMar>
            <w:vAlign w:val="center"/>
          </w:tcPr>
          <w:p w14:paraId="038E90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SJG-JJ-6</w:t>
            </w:r>
          </w:p>
        </w:tc>
        <w:tc>
          <w:tcPr>
            <w:tcW w:w="1029" w:type="dxa"/>
            <w:tcBorders>
              <w:tl2br w:val="nil"/>
              <w:tr2bl w:val="nil"/>
            </w:tcBorders>
            <w:shd w:val="clear" w:color="auto" w:fill="auto"/>
            <w:noWrap/>
            <w:tcMar>
              <w:top w:w="15" w:type="dxa"/>
              <w:left w:w="15" w:type="dxa"/>
              <w:right w:w="15" w:type="dxa"/>
            </w:tcMar>
            <w:vAlign w:val="center"/>
          </w:tcPr>
          <w:p w14:paraId="3E7F4B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0.05960</w:t>
            </w:r>
          </w:p>
        </w:tc>
        <w:tc>
          <w:tcPr>
            <w:tcW w:w="894" w:type="dxa"/>
            <w:tcBorders>
              <w:tl2br w:val="nil"/>
              <w:tr2bl w:val="nil"/>
            </w:tcBorders>
            <w:shd w:val="clear" w:color="auto" w:fill="auto"/>
            <w:noWrap/>
            <w:tcMar>
              <w:top w:w="15" w:type="dxa"/>
              <w:left w:w="15" w:type="dxa"/>
              <w:right w:w="15" w:type="dxa"/>
            </w:tcMar>
            <w:vAlign w:val="center"/>
          </w:tcPr>
          <w:p w14:paraId="66A05B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0.02113</w:t>
            </w:r>
          </w:p>
        </w:tc>
        <w:tc>
          <w:tcPr>
            <w:tcW w:w="894" w:type="dxa"/>
            <w:tcBorders>
              <w:tl2br w:val="nil"/>
              <w:tr2bl w:val="nil"/>
            </w:tcBorders>
            <w:shd w:val="clear" w:color="auto" w:fill="auto"/>
            <w:noWrap/>
            <w:tcMar>
              <w:top w:w="15" w:type="dxa"/>
              <w:left w:w="15" w:type="dxa"/>
              <w:right w:w="15" w:type="dxa"/>
            </w:tcMar>
            <w:vAlign w:val="center"/>
          </w:tcPr>
          <w:p w14:paraId="2475A5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0.00263</w:t>
            </w:r>
          </w:p>
        </w:tc>
        <w:tc>
          <w:tcPr>
            <w:tcW w:w="980" w:type="dxa"/>
            <w:tcBorders>
              <w:tl2br w:val="nil"/>
              <w:tr2bl w:val="nil"/>
            </w:tcBorders>
            <w:shd w:val="clear" w:color="auto" w:fill="auto"/>
            <w:noWrap/>
            <w:tcMar>
              <w:top w:w="15" w:type="dxa"/>
              <w:left w:w="15" w:type="dxa"/>
              <w:right w:w="15" w:type="dxa"/>
            </w:tcMar>
            <w:vAlign w:val="center"/>
          </w:tcPr>
          <w:p w14:paraId="47EF74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0.12943</w:t>
            </w:r>
          </w:p>
        </w:tc>
        <w:tc>
          <w:tcPr>
            <w:tcW w:w="1017" w:type="dxa"/>
            <w:tcBorders>
              <w:tl2br w:val="nil"/>
              <w:tr2bl w:val="nil"/>
            </w:tcBorders>
            <w:shd w:val="clear" w:color="auto" w:fill="auto"/>
            <w:noWrap/>
            <w:tcMar>
              <w:top w:w="15" w:type="dxa"/>
              <w:left w:w="15" w:type="dxa"/>
              <w:right w:w="15" w:type="dxa"/>
            </w:tcMar>
            <w:vAlign w:val="center"/>
          </w:tcPr>
          <w:p w14:paraId="46D9A2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0.00092</w:t>
            </w:r>
          </w:p>
        </w:tc>
        <w:tc>
          <w:tcPr>
            <w:tcW w:w="894" w:type="dxa"/>
            <w:tcBorders>
              <w:tl2br w:val="nil"/>
              <w:tr2bl w:val="nil"/>
            </w:tcBorders>
            <w:shd w:val="clear" w:color="auto" w:fill="auto"/>
            <w:noWrap/>
            <w:tcMar>
              <w:top w:w="15" w:type="dxa"/>
              <w:left w:w="15" w:type="dxa"/>
              <w:right w:w="15" w:type="dxa"/>
            </w:tcMar>
            <w:vAlign w:val="center"/>
          </w:tcPr>
          <w:p w14:paraId="0D7A61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0.00156</w:t>
            </w:r>
          </w:p>
        </w:tc>
        <w:tc>
          <w:tcPr>
            <w:tcW w:w="894" w:type="dxa"/>
            <w:tcBorders>
              <w:tl2br w:val="nil"/>
              <w:tr2bl w:val="nil"/>
            </w:tcBorders>
            <w:shd w:val="clear" w:color="auto" w:fill="auto"/>
            <w:noWrap/>
            <w:tcMar>
              <w:top w:w="15" w:type="dxa"/>
              <w:left w:w="15" w:type="dxa"/>
              <w:right w:w="15" w:type="dxa"/>
            </w:tcMar>
            <w:vAlign w:val="center"/>
          </w:tcPr>
          <w:p w14:paraId="39CFA5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0.03222</w:t>
            </w:r>
          </w:p>
        </w:tc>
        <w:tc>
          <w:tcPr>
            <w:tcW w:w="894" w:type="dxa"/>
            <w:tcBorders>
              <w:tl2br w:val="nil"/>
              <w:tr2bl w:val="nil"/>
            </w:tcBorders>
            <w:shd w:val="clear" w:color="auto" w:fill="auto"/>
            <w:noWrap/>
            <w:tcMar>
              <w:top w:w="15" w:type="dxa"/>
              <w:left w:w="15" w:type="dxa"/>
              <w:right w:w="15" w:type="dxa"/>
            </w:tcMar>
            <w:vAlign w:val="center"/>
          </w:tcPr>
          <w:p w14:paraId="57AAF0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0.01615</w:t>
            </w:r>
          </w:p>
        </w:tc>
        <w:tc>
          <w:tcPr>
            <w:tcW w:w="919" w:type="dxa"/>
            <w:tcBorders>
              <w:tl2br w:val="nil"/>
              <w:tr2bl w:val="nil"/>
            </w:tcBorders>
            <w:shd w:val="clear" w:color="auto" w:fill="auto"/>
            <w:noWrap/>
            <w:tcMar>
              <w:top w:w="15" w:type="dxa"/>
              <w:left w:w="15" w:type="dxa"/>
              <w:right w:w="15" w:type="dxa"/>
            </w:tcMar>
            <w:vAlign w:val="center"/>
          </w:tcPr>
          <w:p w14:paraId="1EBD9DF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295F1A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0.11000</w:t>
            </w:r>
          </w:p>
        </w:tc>
        <w:tc>
          <w:tcPr>
            <w:tcW w:w="1104" w:type="dxa"/>
            <w:tcBorders>
              <w:tl2br w:val="nil"/>
              <w:tr2bl w:val="nil"/>
            </w:tcBorders>
            <w:shd w:val="clear" w:color="auto" w:fill="auto"/>
            <w:noWrap/>
            <w:tcMar>
              <w:top w:w="15" w:type="dxa"/>
              <w:left w:w="15" w:type="dxa"/>
              <w:right w:w="15" w:type="dxa"/>
            </w:tcMar>
            <w:vAlign w:val="center"/>
          </w:tcPr>
          <w:p w14:paraId="703F86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0.00296</w:t>
            </w:r>
          </w:p>
        </w:tc>
        <w:tc>
          <w:tcPr>
            <w:tcW w:w="895" w:type="dxa"/>
            <w:tcBorders>
              <w:tl2br w:val="nil"/>
              <w:tr2bl w:val="nil"/>
            </w:tcBorders>
            <w:shd w:val="clear" w:color="auto" w:fill="auto"/>
            <w:noWrap/>
            <w:tcMar>
              <w:top w:w="15" w:type="dxa"/>
              <w:left w:w="15" w:type="dxa"/>
              <w:right w:w="15" w:type="dxa"/>
            </w:tcMar>
            <w:vAlign w:val="center"/>
          </w:tcPr>
          <w:p w14:paraId="39DAA1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0.00750</w:t>
            </w:r>
          </w:p>
        </w:tc>
        <w:tc>
          <w:tcPr>
            <w:tcW w:w="933" w:type="dxa"/>
            <w:tcBorders>
              <w:tl2br w:val="nil"/>
              <w:tr2bl w:val="nil"/>
            </w:tcBorders>
            <w:shd w:val="clear" w:color="auto" w:fill="auto"/>
            <w:noWrap/>
            <w:tcMar>
              <w:top w:w="15" w:type="dxa"/>
              <w:left w:w="15" w:type="dxa"/>
              <w:right w:w="15" w:type="dxa"/>
            </w:tcMar>
            <w:vAlign w:val="center"/>
          </w:tcPr>
          <w:p w14:paraId="56D776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7A8979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0.00900</w:t>
            </w:r>
          </w:p>
        </w:tc>
      </w:tr>
      <w:tr w14:paraId="47A671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1E441F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1239" w:type="dxa"/>
            <w:tcBorders>
              <w:tl2br w:val="nil"/>
              <w:tr2bl w:val="nil"/>
            </w:tcBorders>
            <w:shd w:val="clear" w:color="auto" w:fill="auto"/>
            <w:noWrap/>
            <w:tcMar>
              <w:top w:w="15" w:type="dxa"/>
              <w:left w:w="15" w:type="dxa"/>
              <w:right w:w="15" w:type="dxa"/>
            </w:tcMar>
            <w:vAlign w:val="center"/>
          </w:tcPr>
          <w:p w14:paraId="02961F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SJG-JJ-7</w:t>
            </w:r>
          </w:p>
        </w:tc>
        <w:tc>
          <w:tcPr>
            <w:tcW w:w="1029" w:type="dxa"/>
            <w:tcBorders>
              <w:tl2br w:val="nil"/>
              <w:tr2bl w:val="nil"/>
            </w:tcBorders>
            <w:shd w:val="clear" w:color="auto" w:fill="auto"/>
            <w:noWrap/>
            <w:tcMar>
              <w:top w:w="15" w:type="dxa"/>
              <w:left w:w="15" w:type="dxa"/>
              <w:right w:w="15" w:type="dxa"/>
            </w:tcMar>
            <w:vAlign w:val="center"/>
          </w:tcPr>
          <w:p w14:paraId="623FA5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0.06170</w:t>
            </w:r>
          </w:p>
        </w:tc>
        <w:tc>
          <w:tcPr>
            <w:tcW w:w="894" w:type="dxa"/>
            <w:tcBorders>
              <w:tl2br w:val="nil"/>
              <w:tr2bl w:val="nil"/>
            </w:tcBorders>
            <w:shd w:val="clear" w:color="auto" w:fill="auto"/>
            <w:noWrap/>
            <w:tcMar>
              <w:top w:w="15" w:type="dxa"/>
              <w:left w:w="15" w:type="dxa"/>
              <w:right w:w="15" w:type="dxa"/>
            </w:tcMar>
            <w:vAlign w:val="center"/>
          </w:tcPr>
          <w:p w14:paraId="7E7535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0.02750</w:t>
            </w:r>
          </w:p>
        </w:tc>
        <w:tc>
          <w:tcPr>
            <w:tcW w:w="894" w:type="dxa"/>
            <w:tcBorders>
              <w:tl2br w:val="nil"/>
              <w:tr2bl w:val="nil"/>
            </w:tcBorders>
            <w:shd w:val="clear" w:color="auto" w:fill="auto"/>
            <w:noWrap/>
            <w:tcMar>
              <w:top w:w="15" w:type="dxa"/>
              <w:left w:w="15" w:type="dxa"/>
              <w:right w:w="15" w:type="dxa"/>
            </w:tcMar>
            <w:vAlign w:val="center"/>
          </w:tcPr>
          <w:p w14:paraId="7CAA52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0.00237</w:t>
            </w:r>
          </w:p>
        </w:tc>
        <w:tc>
          <w:tcPr>
            <w:tcW w:w="980" w:type="dxa"/>
            <w:tcBorders>
              <w:tl2br w:val="nil"/>
              <w:tr2bl w:val="nil"/>
            </w:tcBorders>
            <w:shd w:val="clear" w:color="auto" w:fill="auto"/>
            <w:noWrap/>
            <w:tcMar>
              <w:top w:w="15" w:type="dxa"/>
              <w:left w:w="15" w:type="dxa"/>
              <w:right w:w="15" w:type="dxa"/>
            </w:tcMar>
            <w:vAlign w:val="center"/>
          </w:tcPr>
          <w:p w14:paraId="2E181F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0.14129</w:t>
            </w:r>
          </w:p>
        </w:tc>
        <w:tc>
          <w:tcPr>
            <w:tcW w:w="1017" w:type="dxa"/>
            <w:tcBorders>
              <w:tl2br w:val="nil"/>
              <w:tr2bl w:val="nil"/>
            </w:tcBorders>
            <w:shd w:val="clear" w:color="auto" w:fill="auto"/>
            <w:noWrap/>
            <w:tcMar>
              <w:top w:w="15" w:type="dxa"/>
              <w:left w:w="15" w:type="dxa"/>
              <w:right w:w="15" w:type="dxa"/>
            </w:tcMar>
            <w:vAlign w:val="center"/>
          </w:tcPr>
          <w:p w14:paraId="297EE6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0.00062</w:t>
            </w:r>
          </w:p>
        </w:tc>
        <w:tc>
          <w:tcPr>
            <w:tcW w:w="894" w:type="dxa"/>
            <w:tcBorders>
              <w:tl2br w:val="nil"/>
              <w:tr2bl w:val="nil"/>
            </w:tcBorders>
            <w:shd w:val="clear" w:color="auto" w:fill="auto"/>
            <w:noWrap/>
            <w:tcMar>
              <w:top w:w="15" w:type="dxa"/>
              <w:left w:w="15" w:type="dxa"/>
              <w:right w:w="15" w:type="dxa"/>
            </w:tcMar>
            <w:vAlign w:val="center"/>
          </w:tcPr>
          <w:p w14:paraId="131345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0.00150</w:t>
            </w:r>
          </w:p>
        </w:tc>
        <w:tc>
          <w:tcPr>
            <w:tcW w:w="894" w:type="dxa"/>
            <w:tcBorders>
              <w:tl2br w:val="nil"/>
              <w:tr2bl w:val="nil"/>
            </w:tcBorders>
            <w:shd w:val="clear" w:color="auto" w:fill="auto"/>
            <w:noWrap/>
            <w:tcMar>
              <w:top w:w="15" w:type="dxa"/>
              <w:left w:w="15" w:type="dxa"/>
              <w:right w:w="15" w:type="dxa"/>
            </w:tcMar>
            <w:vAlign w:val="center"/>
          </w:tcPr>
          <w:p w14:paraId="679706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0.03556</w:t>
            </w:r>
          </w:p>
        </w:tc>
        <w:tc>
          <w:tcPr>
            <w:tcW w:w="894" w:type="dxa"/>
            <w:tcBorders>
              <w:tl2br w:val="nil"/>
              <w:tr2bl w:val="nil"/>
            </w:tcBorders>
            <w:shd w:val="clear" w:color="auto" w:fill="auto"/>
            <w:noWrap/>
            <w:tcMar>
              <w:top w:w="15" w:type="dxa"/>
              <w:left w:w="15" w:type="dxa"/>
              <w:right w:w="15" w:type="dxa"/>
            </w:tcMar>
            <w:vAlign w:val="center"/>
          </w:tcPr>
          <w:p w14:paraId="4FAAAB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0.01993</w:t>
            </w:r>
          </w:p>
        </w:tc>
        <w:tc>
          <w:tcPr>
            <w:tcW w:w="919" w:type="dxa"/>
            <w:tcBorders>
              <w:tl2br w:val="nil"/>
              <w:tr2bl w:val="nil"/>
            </w:tcBorders>
            <w:shd w:val="clear" w:color="auto" w:fill="auto"/>
            <w:noWrap/>
            <w:tcMar>
              <w:top w:w="15" w:type="dxa"/>
              <w:left w:w="15" w:type="dxa"/>
              <w:right w:w="15" w:type="dxa"/>
            </w:tcMar>
            <w:vAlign w:val="center"/>
          </w:tcPr>
          <w:p w14:paraId="362B4C9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36407A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0.16333</w:t>
            </w:r>
          </w:p>
        </w:tc>
        <w:tc>
          <w:tcPr>
            <w:tcW w:w="1104" w:type="dxa"/>
            <w:tcBorders>
              <w:tl2br w:val="nil"/>
              <w:tr2bl w:val="nil"/>
            </w:tcBorders>
            <w:shd w:val="clear" w:color="auto" w:fill="auto"/>
            <w:noWrap/>
            <w:tcMar>
              <w:top w:w="15" w:type="dxa"/>
              <w:left w:w="15" w:type="dxa"/>
              <w:right w:w="15" w:type="dxa"/>
            </w:tcMar>
            <w:vAlign w:val="center"/>
          </w:tcPr>
          <w:p w14:paraId="5869F6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0.00370</w:t>
            </w:r>
          </w:p>
        </w:tc>
        <w:tc>
          <w:tcPr>
            <w:tcW w:w="895" w:type="dxa"/>
            <w:tcBorders>
              <w:tl2br w:val="nil"/>
              <w:tr2bl w:val="nil"/>
            </w:tcBorders>
            <w:shd w:val="clear" w:color="auto" w:fill="auto"/>
            <w:noWrap/>
            <w:tcMar>
              <w:top w:w="15" w:type="dxa"/>
              <w:left w:w="15" w:type="dxa"/>
              <w:right w:w="15" w:type="dxa"/>
            </w:tcMar>
            <w:vAlign w:val="center"/>
          </w:tcPr>
          <w:p w14:paraId="2C753D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0.00750</w:t>
            </w:r>
          </w:p>
        </w:tc>
        <w:tc>
          <w:tcPr>
            <w:tcW w:w="933" w:type="dxa"/>
            <w:tcBorders>
              <w:tl2br w:val="nil"/>
              <w:tr2bl w:val="nil"/>
            </w:tcBorders>
            <w:shd w:val="clear" w:color="auto" w:fill="auto"/>
            <w:noWrap/>
            <w:tcMar>
              <w:top w:w="15" w:type="dxa"/>
              <w:left w:w="15" w:type="dxa"/>
              <w:right w:w="15" w:type="dxa"/>
            </w:tcMar>
            <w:vAlign w:val="center"/>
          </w:tcPr>
          <w:p w14:paraId="62FD32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0.00289</w:t>
            </w:r>
          </w:p>
        </w:tc>
        <w:tc>
          <w:tcPr>
            <w:tcW w:w="1031" w:type="dxa"/>
            <w:tcBorders>
              <w:tl2br w:val="nil"/>
              <w:tr2bl w:val="nil"/>
            </w:tcBorders>
            <w:shd w:val="clear" w:color="auto" w:fill="auto"/>
            <w:noWrap/>
            <w:tcMar>
              <w:top w:w="15" w:type="dxa"/>
              <w:left w:w="15" w:type="dxa"/>
              <w:right w:w="15" w:type="dxa"/>
            </w:tcMar>
            <w:vAlign w:val="center"/>
          </w:tcPr>
          <w:p w14:paraId="6E3BB43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5A2FB7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1D0117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239" w:type="dxa"/>
            <w:tcBorders>
              <w:tl2br w:val="nil"/>
              <w:tr2bl w:val="nil"/>
            </w:tcBorders>
            <w:shd w:val="clear" w:color="auto" w:fill="auto"/>
            <w:noWrap/>
            <w:tcMar>
              <w:top w:w="15" w:type="dxa"/>
              <w:left w:w="15" w:type="dxa"/>
              <w:right w:w="15" w:type="dxa"/>
            </w:tcMar>
            <w:vAlign w:val="center"/>
          </w:tcPr>
          <w:p w14:paraId="0FD0EF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SJG-JJ-8</w:t>
            </w:r>
          </w:p>
        </w:tc>
        <w:tc>
          <w:tcPr>
            <w:tcW w:w="1029" w:type="dxa"/>
            <w:tcBorders>
              <w:tl2br w:val="nil"/>
              <w:tr2bl w:val="nil"/>
            </w:tcBorders>
            <w:shd w:val="clear" w:color="auto" w:fill="auto"/>
            <w:noWrap/>
            <w:tcMar>
              <w:top w:w="15" w:type="dxa"/>
              <w:left w:w="15" w:type="dxa"/>
              <w:right w:w="15" w:type="dxa"/>
            </w:tcMar>
            <w:vAlign w:val="center"/>
          </w:tcPr>
          <w:p w14:paraId="4BCF7D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0.05110</w:t>
            </w:r>
          </w:p>
        </w:tc>
        <w:tc>
          <w:tcPr>
            <w:tcW w:w="894" w:type="dxa"/>
            <w:tcBorders>
              <w:tl2br w:val="nil"/>
              <w:tr2bl w:val="nil"/>
            </w:tcBorders>
            <w:shd w:val="clear" w:color="auto" w:fill="auto"/>
            <w:noWrap/>
            <w:tcMar>
              <w:top w:w="15" w:type="dxa"/>
              <w:left w:w="15" w:type="dxa"/>
              <w:right w:w="15" w:type="dxa"/>
            </w:tcMar>
            <w:vAlign w:val="center"/>
          </w:tcPr>
          <w:p w14:paraId="015320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0.03388</w:t>
            </w:r>
          </w:p>
        </w:tc>
        <w:tc>
          <w:tcPr>
            <w:tcW w:w="894" w:type="dxa"/>
            <w:tcBorders>
              <w:tl2br w:val="nil"/>
              <w:tr2bl w:val="nil"/>
            </w:tcBorders>
            <w:shd w:val="clear" w:color="auto" w:fill="auto"/>
            <w:noWrap/>
            <w:tcMar>
              <w:top w:w="15" w:type="dxa"/>
              <w:left w:w="15" w:type="dxa"/>
              <w:right w:w="15" w:type="dxa"/>
            </w:tcMar>
            <w:vAlign w:val="center"/>
          </w:tcPr>
          <w:p w14:paraId="7245D0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0.00237</w:t>
            </w:r>
          </w:p>
        </w:tc>
        <w:tc>
          <w:tcPr>
            <w:tcW w:w="980" w:type="dxa"/>
            <w:tcBorders>
              <w:tl2br w:val="nil"/>
              <w:tr2bl w:val="nil"/>
            </w:tcBorders>
            <w:shd w:val="clear" w:color="auto" w:fill="auto"/>
            <w:noWrap/>
            <w:tcMar>
              <w:top w:w="15" w:type="dxa"/>
              <w:left w:w="15" w:type="dxa"/>
              <w:right w:w="15" w:type="dxa"/>
            </w:tcMar>
            <w:vAlign w:val="center"/>
          </w:tcPr>
          <w:p w14:paraId="7149AD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0.12757</w:t>
            </w:r>
          </w:p>
        </w:tc>
        <w:tc>
          <w:tcPr>
            <w:tcW w:w="1017" w:type="dxa"/>
            <w:tcBorders>
              <w:tl2br w:val="nil"/>
              <w:tr2bl w:val="nil"/>
            </w:tcBorders>
            <w:shd w:val="clear" w:color="auto" w:fill="auto"/>
            <w:noWrap/>
            <w:tcMar>
              <w:top w:w="15" w:type="dxa"/>
              <w:left w:w="15" w:type="dxa"/>
              <w:right w:w="15" w:type="dxa"/>
            </w:tcMar>
            <w:vAlign w:val="center"/>
          </w:tcPr>
          <w:p w14:paraId="19E80B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0.00108</w:t>
            </w:r>
          </w:p>
        </w:tc>
        <w:tc>
          <w:tcPr>
            <w:tcW w:w="894" w:type="dxa"/>
            <w:tcBorders>
              <w:tl2br w:val="nil"/>
              <w:tr2bl w:val="nil"/>
            </w:tcBorders>
            <w:shd w:val="clear" w:color="auto" w:fill="auto"/>
            <w:noWrap/>
            <w:tcMar>
              <w:top w:w="15" w:type="dxa"/>
              <w:left w:w="15" w:type="dxa"/>
              <w:right w:w="15" w:type="dxa"/>
            </w:tcMar>
            <w:vAlign w:val="center"/>
          </w:tcPr>
          <w:p w14:paraId="4AA896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0.00172</w:t>
            </w:r>
          </w:p>
        </w:tc>
        <w:tc>
          <w:tcPr>
            <w:tcW w:w="894" w:type="dxa"/>
            <w:tcBorders>
              <w:tl2br w:val="nil"/>
              <w:tr2bl w:val="nil"/>
            </w:tcBorders>
            <w:shd w:val="clear" w:color="auto" w:fill="auto"/>
            <w:noWrap/>
            <w:tcMar>
              <w:top w:w="15" w:type="dxa"/>
              <w:left w:w="15" w:type="dxa"/>
              <w:right w:w="15" w:type="dxa"/>
            </w:tcMar>
            <w:vAlign w:val="center"/>
          </w:tcPr>
          <w:p w14:paraId="55AEE0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0.03000</w:t>
            </w:r>
          </w:p>
        </w:tc>
        <w:tc>
          <w:tcPr>
            <w:tcW w:w="894" w:type="dxa"/>
            <w:tcBorders>
              <w:tl2br w:val="nil"/>
              <w:tr2bl w:val="nil"/>
            </w:tcBorders>
            <w:shd w:val="clear" w:color="auto" w:fill="auto"/>
            <w:noWrap/>
            <w:tcMar>
              <w:top w:w="15" w:type="dxa"/>
              <w:left w:w="15" w:type="dxa"/>
              <w:right w:w="15" w:type="dxa"/>
            </w:tcMar>
            <w:vAlign w:val="center"/>
          </w:tcPr>
          <w:p w14:paraId="2BBCCA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0.01546</w:t>
            </w:r>
          </w:p>
        </w:tc>
        <w:tc>
          <w:tcPr>
            <w:tcW w:w="919" w:type="dxa"/>
            <w:tcBorders>
              <w:tl2br w:val="nil"/>
              <w:tr2bl w:val="nil"/>
            </w:tcBorders>
            <w:shd w:val="clear" w:color="auto" w:fill="auto"/>
            <w:noWrap/>
            <w:tcMar>
              <w:top w:w="15" w:type="dxa"/>
              <w:left w:w="15" w:type="dxa"/>
              <w:right w:w="15" w:type="dxa"/>
            </w:tcMar>
            <w:vAlign w:val="center"/>
          </w:tcPr>
          <w:p w14:paraId="197459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1BA320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0.17000</w:t>
            </w:r>
          </w:p>
        </w:tc>
        <w:tc>
          <w:tcPr>
            <w:tcW w:w="1104" w:type="dxa"/>
            <w:tcBorders>
              <w:tl2br w:val="nil"/>
              <w:tr2bl w:val="nil"/>
            </w:tcBorders>
            <w:shd w:val="clear" w:color="auto" w:fill="auto"/>
            <w:noWrap/>
            <w:tcMar>
              <w:top w:w="15" w:type="dxa"/>
              <w:left w:w="15" w:type="dxa"/>
              <w:right w:w="15" w:type="dxa"/>
            </w:tcMar>
            <w:vAlign w:val="center"/>
          </w:tcPr>
          <w:p w14:paraId="738606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0.00444</w:t>
            </w:r>
          </w:p>
        </w:tc>
        <w:tc>
          <w:tcPr>
            <w:tcW w:w="895" w:type="dxa"/>
            <w:tcBorders>
              <w:tl2br w:val="nil"/>
              <w:tr2bl w:val="nil"/>
            </w:tcBorders>
            <w:shd w:val="clear" w:color="auto" w:fill="auto"/>
            <w:noWrap/>
            <w:tcMar>
              <w:top w:w="15" w:type="dxa"/>
              <w:left w:w="15" w:type="dxa"/>
              <w:right w:w="15" w:type="dxa"/>
            </w:tcMar>
            <w:vAlign w:val="center"/>
          </w:tcPr>
          <w:p w14:paraId="7140B5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0.01000</w:t>
            </w:r>
          </w:p>
        </w:tc>
        <w:tc>
          <w:tcPr>
            <w:tcW w:w="933" w:type="dxa"/>
            <w:tcBorders>
              <w:tl2br w:val="nil"/>
              <w:tr2bl w:val="nil"/>
            </w:tcBorders>
            <w:shd w:val="clear" w:color="auto" w:fill="auto"/>
            <w:noWrap/>
            <w:tcMar>
              <w:top w:w="15" w:type="dxa"/>
              <w:left w:w="15" w:type="dxa"/>
              <w:right w:w="15" w:type="dxa"/>
            </w:tcMar>
            <w:vAlign w:val="center"/>
          </w:tcPr>
          <w:p w14:paraId="3B592E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0.02222</w:t>
            </w:r>
          </w:p>
        </w:tc>
        <w:tc>
          <w:tcPr>
            <w:tcW w:w="1031" w:type="dxa"/>
            <w:tcBorders>
              <w:tl2br w:val="nil"/>
              <w:tr2bl w:val="nil"/>
            </w:tcBorders>
            <w:shd w:val="clear" w:color="auto" w:fill="auto"/>
            <w:noWrap/>
            <w:tcMar>
              <w:top w:w="15" w:type="dxa"/>
              <w:left w:w="15" w:type="dxa"/>
              <w:right w:w="15" w:type="dxa"/>
            </w:tcMar>
            <w:vAlign w:val="center"/>
          </w:tcPr>
          <w:p w14:paraId="6E3E718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60326B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9" w:type="dxa"/>
            <w:tcBorders>
              <w:tl2br w:val="nil"/>
              <w:tr2bl w:val="nil"/>
            </w:tcBorders>
            <w:shd w:val="clear" w:color="auto" w:fill="auto"/>
            <w:noWrap/>
            <w:tcMar>
              <w:top w:w="15" w:type="dxa"/>
              <w:left w:w="15" w:type="dxa"/>
              <w:right w:w="15" w:type="dxa"/>
            </w:tcMar>
            <w:vAlign w:val="center"/>
          </w:tcPr>
          <w:p w14:paraId="6B78B0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1239" w:type="dxa"/>
            <w:tcBorders>
              <w:tl2br w:val="nil"/>
              <w:tr2bl w:val="nil"/>
            </w:tcBorders>
            <w:shd w:val="clear" w:color="auto" w:fill="auto"/>
            <w:noWrap/>
            <w:tcMar>
              <w:top w:w="15" w:type="dxa"/>
              <w:left w:w="15" w:type="dxa"/>
              <w:right w:w="15" w:type="dxa"/>
            </w:tcMar>
            <w:vAlign w:val="center"/>
          </w:tcPr>
          <w:p w14:paraId="0E12F3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SJG-JJ-9</w:t>
            </w:r>
          </w:p>
        </w:tc>
        <w:tc>
          <w:tcPr>
            <w:tcW w:w="1029" w:type="dxa"/>
            <w:tcBorders>
              <w:tl2br w:val="nil"/>
              <w:tr2bl w:val="nil"/>
            </w:tcBorders>
            <w:shd w:val="clear" w:color="auto" w:fill="auto"/>
            <w:noWrap/>
            <w:tcMar>
              <w:top w:w="15" w:type="dxa"/>
              <w:left w:w="15" w:type="dxa"/>
              <w:right w:w="15" w:type="dxa"/>
            </w:tcMar>
            <w:vAlign w:val="center"/>
          </w:tcPr>
          <w:p w14:paraId="6123EA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0.07790</w:t>
            </w:r>
          </w:p>
        </w:tc>
        <w:tc>
          <w:tcPr>
            <w:tcW w:w="894" w:type="dxa"/>
            <w:tcBorders>
              <w:tl2br w:val="nil"/>
              <w:tr2bl w:val="nil"/>
            </w:tcBorders>
            <w:shd w:val="clear" w:color="auto" w:fill="auto"/>
            <w:noWrap/>
            <w:tcMar>
              <w:top w:w="15" w:type="dxa"/>
              <w:left w:w="15" w:type="dxa"/>
              <w:right w:w="15" w:type="dxa"/>
            </w:tcMar>
            <w:vAlign w:val="center"/>
          </w:tcPr>
          <w:p w14:paraId="24AA77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0.04775</w:t>
            </w:r>
          </w:p>
        </w:tc>
        <w:tc>
          <w:tcPr>
            <w:tcW w:w="894" w:type="dxa"/>
            <w:tcBorders>
              <w:tl2br w:val="nil"/>
              <w:tr2bl w:val="nil"/>
            </w:tcBorders>
            <w:shd w:val="clear" w:color="auto" w:fill="auto"/>
            <w:noWrap/>
            <w:tcMar>
              <w:top w:w="15" w:type="dxa"/>
              <w:left w:w="15" w:type="dxa"/>
              <w:right w:w="15" w:type="dxa"/>
            </w:tcMar>
            <w:vAlign w:val="center"/>
          </w:tcPr>
          <w:p w14:paraId="0D1E63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0.00368</w:t>
            </w:r>
          </w:p>
        </w:tc>
        <w:tc>
          <w:tcPr>
            <w:tcW w:w="980" w:type="dxa"/>
            <w:tcBorders>
              <w:tl2br w:val="nil"/>
              <w:tr2bl w:val="nil"/>
            </w:tcBorders>
            <w:shd w:val="clear" w:color="auto" w:fill="auto"/>
            <w:noWrap/>
            <w:tcMar>
              <w:top w:w="15" w:type="dxa"/>
              <w:left w:w="15" w:type="dxa"/>
              <w:right w:w="15" w:type="dxa"/>
            </w:tcMar>
            <w:vAlign w:val="center"/>
          </w:tcPr>
          <w:p w14:paraId="583846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0.17571</w:t>
            </w:r>
          </w:p>
        </w:tc>
        <w:tc>
          <w:tcPr>
            <w:tcW w:w="1017" w:type="dxa"/>
            <w:tcBorders>
              <w:tl2br w:val="nil"/>
              <w:tr2bl w:val="nil"/>
            </w:tcBorders>
            <w:shd w:val="clear" w:color="auto" w:fill="auto"/>
            <w:noWrap/>
            <w:tcMar>
              <w:top w:w="15" w:type="dxa"/>
              <w:left w:w="15" w:type="dxa"/>
              <w:right w:w="15" w:type="dxa"/>
            </w:tcMar>
            <w:vAlign w:val="center"/>
          </w:tcPr>
          <w:p w14:paraId="59012E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0.00138</w:t>
            </w:r>
          </w:p>
        </w:tc>
        <w:tc>
          <w:tcPr>
            <w:tcW w:w="894" w:type="dxa"/>
            <w:tcBorders>
              <w:tl2br w:val="nil"/>
              <w:tr2bl w:val="nil"/>
            </w:tcBorders>
            <w:shd w:val="clear" w:color="auto" w:fill="auto"/>
            <w:noWrap/>
            <w:tcMar>
              <w:top w:w="15" w:type="dxa"/>
              <w:left w:w="15" w:type="dxa"/>
              <w:right w:w="15" w:type="dxa"/>
            </w:tcMar>
            <w:vAlign w:val="center"/>
          </w:tcPr>
          <w:p w14:paraId="7D5288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0.00194</w:t>
            </w:r>
          </w:p>
        </w:tc>
        <w:tc>
          <w:tcPr>
            <w:tcW w:w="894" w:type="dxa"/>
            <w:tcBorders>
              <w:tl2br w:val="nil"/>
              <w:tr2bl w:val="nil"/>
            </w:tcBorders>
            <w:shd w:val="clear" w:color="auto" w:fill="auto"/>
            <w:noWrap/>
            <w:tcMar>
              <w:top w:w="15" w:type="dxa"/>
              <w:left w:w="15" w:type="dxa"/>
              <w:right w:w="15" w:type="dxa"/>
            </w:tcMar>
            <w:vAlign w:val="center"/>
          </w:tcPr>
          <w:p w14:paraId="50887A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0.03667</w:t>
            </w:r>
          </w:p>
        </w:tc>
        <w:tc>
          <w:tcPr>
            <w:tcW w:w="894" w:type="dxa"/>
            <w:tcBorders>
              <w:tl2br w:val="nil"/>
              <w:tr2bl w:val="nil"/>
            </w:tcBorders>
            <w:shd w:val="clear" w:color="auto" w:fill="auto"/>
            <w:noWrap/>
            <w:tcMar>
              <w:top w:w="15" w:type="dxa"/>
              <w:left w:w="15" w:type="dxa"/>
              <w:right w:w="15" w:type="dxa"/>
            </w:tcMar>
            <w:vAlign w:val="center"/>
          </w:tcPr>
          <w:p w14:paraId="12FA28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0.02062</w:t>
            </w:r>
          </w:p>
        </w:tc>
        <w:tc>
          <w:tcPr>
            <w:tcW w:w="919" w:type="dxa"/>
            <w:tcBorders>
              <w:tl2br w:val="nil"/>
              <w:tr2bl w:val="nil"/>
            </w:tcBorders>
            <w:shd w:val="clear" w:color="auto" w:fill="auto"/>
            <w:noWrap/>
            <w:tcMar>
              <w:top w:w="15" w:type="dxa"/>
              <w:left w:w="15" w:type="dxa"/>
              <w:right w:w="15" w:type="dxa"/>
            </w:tcMar>
            <w:vAlign w:val="center"/>
          </w:tcPr>
          <w:p w14:paraId="53D4184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c>
          <w:tcPr>
            <w:tcW w:w="919" w:type="dxa"/>
            <w:tcBorders>
              <w:tl2br w:val="nil"/>
              <w:tr2bl w:val="nil"/>
            </w:tcBorders>
            <w:shd w:val="clear" w:color="auto" w:fill="auto"/>
            <w:noWrap/>
            <w:tcMar>
              <w:top w:w="15" w:type="dxa"/>
              <w:left w:w="15" w:type="dxa"/>
              <w:right w:w="15" w:type="dxa"/>
            </w:tcMar>
            <w:vAlign w:val="center"/>
          </w:tcPr>
          <w:p w14:paraId="3AE977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0.17833</w:t>
            </w:r>
          </w:p>
        </w:tc>
        <w:tc>
          <w:tcPr>
            <w:tcW w:w="1104" w:type="dxa"/>
            <w:tcBorders>
              <w:tl2br w:val="nil"/>
              <w:tr2bl w:val="nil"/>
            </w:tcBorders>
            <w:shd w:val="clear" w:color="auto" w:fill="auto"/>
            <w:noWrap/>
            <w:tcMar>
              <w:top w:w="15" w:type="dxa"/>
              <w:left w:w="15" w:type="dxa"/>
              <w:right w:w="15" w:type="dxa"/>
            </w:tcMar>
            <w:vAlign w:val="center"/>
          </w:tcPr>
          <w:p w14:paraId="31F1A9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0.00593</w:t>
            </w:r>
          </w:p>
        </w:tc>
        <w:tc>
          <w:tcPr>
            <w:tcW w:w="895" w:type="dxa"/>
            <w:tcBorders>
              <w:tl2br w:val="nil"/>
              <w:tr2bl w:val="nil"/>
            </w:tcBorders>
            <w:shd w:val="clear" w:color="auto" w:fill="auto"/>
            <w:noWrap/>
            <w:tcMar>
              <w:top w:w="15" w:type="dxa"/>
              <w:left w:w="15" w:type="dxa"/>
              <w:right w:w="15" w:type="dxa"/>
            </w:tcMar>
            <w:vAlign w:val="center"/>
          </w:tcPr>
          <w:p w14:paraId="6624A6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0.01750</w:t>
            </w:r>
          </w:p>
        </w:tc>
        <w:tc>
          <w:tcPr>
            <w:tcW w:w="933" w:type="dxa"/>
            <w:tcBorders>
              <w:tl2br w:val="nil"/>
              <w:tr2bl w:val="nil"/>
            </w:tcBorders>
            <w:shd w:val="clear" w:color="auto" w:fill="auto"/>
            <w:noWrap/>
            <w:tcMar>
              <w:top w:w="15" w:type="dxa"/>
              <w:left w:w="15" w:type="dxa"/>
              <w:right w:w="15" w:type="dxa"/>
            </w:tcMar>
            <w:vAlign w:val="center"/>
          </w:tcPr>
          <w:p w14:paraId="26A690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0.00911</w:t>
            </w:r>
          </w:p>
        </w:tc>
        <w:tc>
          <w:tcPr>
            <w:tcW w:w="1031" w:type="dxa"/>
            <w:tcBorders>
              <w:tl2br w:val="nil"/>
              <w:tr2bl w:val="nil"/>
            </w:tcBorders>
            <w:shd w:val="clear" w:color="auto" w:fill="auto"/>
            <w:noWrap/>
            <w:tcMar>
              <w:top w:w="15" w:type="dxa"/>
              <w:left w:w="15" w:type="dxa"/>
              <w:right w:w="15" w:type="dxa"/>
            </w:tcMar>
            <w:vAlign w:val="center"/>
          </w:tcPr>
          <w:p w14:paraId="33BD91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lang w:val="en-US" w:eastAsia="zh-CN"/>
              </w:rPr>
              <w:t>/</w:t>
            </w:r>
          </w:p>
        </w:tc>
      </w:tr>
      <w:tr w14:paraId="279C1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503E6F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最大值</w:t>
            </w:r>
          </w:p>
        </w:tc>
        <w:tc>
          <w:tcPr>
            <w:tcW w:w="1029" w:type="dxa"/>
            <w:tcBorders>
              <w:tl2br w:val="nil"/>
              <w:tr2bl w:val="nil"/>
            </w:tcBorders>
            <w:shd w:val="clear" w:color="auto" w:fill="auto"/>
            <w:noWrap/>
            <w:tcMar>
              <w:top w:w="15" w:type="dxa"/>
              <w:left w:w="15" w:type="dxa"/>
              <w:right w:w="15" w:type="dxa"/>
            </w:tcMar>
            <w:vAlign w:val="center"/>
          </w:tcPr>
          <w:p w14:paraId="74D45E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0.27143</w:t>
            </w:r>
          </w:p>
        </w:tc>
        <w:tc>
          <w:tcPr>
            <w:tcW w:w="894" w:type="dxa"/>
            <w:tcBorders>
              <w:tl2br w:val="nil"/>
              <w:tr2bl w:val="nil"/>
            </w:tcBorders>
            <w:shd w:val="clear" w:color="auto" w:fill="auto"/>
            <w:noWrap/>
            <w:tcMar>
              <w:top w:w="15" w:type="dxa"/>
              <w:left w:w="15" w:type="dxa"/>
              <w:right w:w="15" w:type="dxa"/>
            </w:tcMar>
            <w:vAlign w:val="center"/>
          </w:tcPr>
          <w:p w14:paraId="4AD4B6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0.16167</w:t>
            </w:r>
          </w:p>
        </w:tc>
        <w:tc>
          <w:tcPr>
            <w:tcW w:w="894" w:type="dxa"/>
            <w:tcBorders>
              <w:tl2br w:val="nil"/>
              <w:tr2bl w:val="nil"/>
            </w:tcBorders>
            <w:shd w:val="clear" w:color="auto" w:fill="auto"/>
            <w:noWrap/>
            <w:tcMar>
              <w:top w:w="15" w:type="dxa"/>
              <w:left w:w="15" w:type="dxa"/>
              <w:right w:w="15" w:type="dxa"/>
            </w:tcMar>
            <w:vAlign w:val="center"/>
          </w:tcPr>
          <w:p w14:paraId="383AE1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0.04583</w:t>
            </w:r>
          </w:p>
        </w:tc>
        <w:tc>
          <w:tcPr>
            <w:tcW w:w="980" w:type="dxa"/>
            <w:tcBorders>
              <w:tl2br w:val="nil"/>
              <w:tr2bl w:val="nil"/>
            </w:tcBorders>
            <w:shd w:val="clear" w:color="auto" w:fill="auto"/>
            <w:noWrap/>
            <w:tcMar>
              <w:top w:w="15" w:type="dxa"/>
              <w:left w:w="15" w:type="dxa"/>
              <w:right w:w="15" w:type="dxa"/>
            </w:tcMar>
            <w:vAlign w:val="center"/>
          </w:tcPr>
          <w:p w14:paraId="600CA5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0.60000</w:t>
            </w:r>
          </w:p>
        </w:tc>
        <w:tc>
          <w:tcPr>
            <w:tcW w:w="1017" w:type="dxa"/>
            <w:tcBorders>
              <w:tl2br w:val="nil"/>
              <w:tr2bl w:val="nil"/>
            </w:tcBorders>
            <w:shd w:val="clear" w:color="auto" w:fill="auto"/>
            <w:noWrap/>
            <w:tcMar>
              <w:top w:w="15" w:type="dxa"/>
              <w:left w:w="15" w:type="dxa"/>
              <w:right w:w="15" w:type="dxa"/>
            </w:tcMar>
            <w:vAlign w:val="center"/>
          </w:tcPr>
          <w:p w14:paraId="480BB7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0.13333</w:t>
            </w:r>
          </w:p>
        </w:tc>
        <w:tc>
          <w:tcPr>
            <w:tcW w:w="894" w:type="dxa"/>
            <w:tcBorders>
              <w:tl2br w:val="nil"/>
              <w:tr2bl w:val="nil"/>
            </w:tcBorders>
            <w:shd w:val="clear" w:color="auto" w:fill="auto"/>
            <w:noWrap/>
            <w:tcMar>
              <w:top w:w="15" w:type="dxa"/>
              <w:left w:w="15" w:type="dxa"/>
              <w:right w:w="15" w:type="dxa"/>
            </w:tcMar>
            <w:vAlign w:val="center"/>
          </w:tcPr>
          <w:p w14:paraId="4632A2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0.22000</w:t>
            </w:r>
          </w:p>
        </w:tc>
        <w:tc>
          <w:tcPr>
            <w:tcW w:w="894" w:type="dxa"/>
            <w:tcBorders>
              <w:tl2br w:val="nil"/>
              <w:tr2bl w:val="nil"/>
            </w:tcBorders>
            <w:shd w:val="clear" w:color="auto" w:fill="auto"/>
            <w:noWrap/>
            <w:tcMar>
              <w:top w:w="15" w:type="dxa"/>
              <w:left w:w="15" w:type="dxa"/>
              <w:right w:w="15" w:type="dxa"/>
            </w:tcMar>
            <w:vAlign w:val="center"/>
          </w:tcPr>
          <w:p w14:paraId="52C5A9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0.29000</w:t>
            </w:r>
          </w:p>
        </w:tc>
        <w:tc>
          <w:tcPr>
            <w:tcW w:w="894" w:type="dxa"/>
            <w:tcBorders>
              <w:tl2br w:val="nil"/>
              <w:tr2bl w:val="nil"/>
            </w:tcBorders>
            <w:shd w:val="clear" w:color="auto" w:fill="auto"/>
            <w:noWrap/>
            <w:tcMar>
              <w:top w:w="15" w:type="dxa"/>
              <w:left w:w="15" w:type="dxa"/>
              <w:right w:w="15" w:type="dxa"/>
            </w:tcMar>
            <w:vAlign w:val="center"/>
          </w:tcPr>
          <w:p w14:paraId="237DC1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0.30500</w:t>
            </w:r>
          </w:p>
        </w:tc>
        <w:tc>
          <w:tcPr>
            <w:tcW w:w="919" w:type="dxa"/>
            <w:tcBorders>
              <w:tl2br w:val="nil"/>
              <w:tr2bl w:val="nil"/>
            </w:tcBorders>
            <w:shd w:val="clear" w:color="auto" w:fill="auto"/>
            <w:noWrap/>
            <w:tcMar>
              <w:top w:w="15" w:type="dxa"/>
              <w:left w:w="15" w:type="dxa"/>
              <w:right w:w="15" w:type="dxa"/>
            </w:tcMar>
            <w:vAlign w:val="center"/>
          </w:tcPr>
          <w:p w14:paraId="0D01A8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0.16000</w:t>
            </w:r>
          </w:p>
        </w:tc>
        <w:tc>
          <w:tcPr>
            <w:tcW w:w="919" w:type="dxa"/>
            <w:tcBorders>
              <w:tl2br w:val="nil"/>
              <w:tr2bl w:val="nil"/>
            </w:tcBorders>
            <w:shd w:val="clear" w:color="auto" w:fill="auto"/>
            <w:noWrap/>
            <w:tcMar>
              <w:top w:w="15" w:type="dxa"/>
              <w:left w:w="15" w:type="dxa"/>
              <w:right w:w="15" w:type="dxa"/>
            </w:tcMar>
            <w:vAlign w:val="center"/>
          </w:tcPr>
          <w:p w14:paraId="059812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0.40000</w:t>
            </w:r>
          </w:p>
        </w:tc>
        <w:tc>
          <w:tcPr>
            <w:tcW w:w="1104" w:type="dxa"/>
            <w:tcBorders>
              <w:tl2br w:val="nil"/>
              <w:tr2bl w:val="nil"/>
            </w:tcBorders>
            <w:shd w:val="clear" w:color="auto" w:fill="auto"/>
            <w:noWrap/>
            <w:tcMar>
              <w:top w:w="15" w:type="dxa"/>
              <w:left w:w="15" w:type="dxa"/>
              <w:right w:w="15" w:type="dxa"/>
            </w:tcMar>
            <w:vAlign w:val="center"/>
          </w:tcPr>
          <w:p w14:paraId="74C9C9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0.02273</w:t>
            </w:r>
          </w:p>
        </w:tc>
        <w:tc>
          <w:tcPr>
            <w:tcW w:w="895" w:type="dxa"/>
            <w:tcBorders>
              <w:tl2br w:val="nil"/>
              <w:tr2bl w:val="nil"/>
            </w:tcBorders>
            <w:shd w:val="clear" w:color="auto" w:fill="auto"/>
            <w:noWrap/>
            <w:tcMar>
              <w:top w:w="15" w:type="dxa"/>
              <w:left w:w="15" w:type="dxa"/>
              <w:right w:w="15" w:type="dxa"/>
            </w:tcMar>
            <w:vAlign w:val="center"/>
          </w:tcPr>
          <w:p w14:paraId="6D1E5C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0.06000</w:t>
            </w:r>
          </w:p>
        </w:tc>
        <w:tc>
          <w:tcPr>
            <w:tcW w:w="933" w:type="dxa"/>
            <w:tcBorders>
              <w:tl2br w:val="nil"/>
              <w:tr2bl w:val="nil"/>
            </w:tcBorders>
            <w:shd w:val="clear" w:color="auto" w:fill="auto"/>
            <w:noWrap/>
            <w:tcMar>
              <w:top w:w="15" w:type="dxa"/>
              <w:left w:w="15" w:type="dxa"/>
              <w:right w:w="15" w:type="dxa"/>
            </w:tcMar>
            <w:vAlign w:val="center"/>
          </w:tcPr>
          <w:p w14:paraId="6B5E77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0.05085</w:t>
            </w:r>
          </w:p>
        </w:tc>
        <w:tc>
          <w:tcPr>
            <w:tcW w:w="1031" w:type="dxa"/>
            <w:tcBorders>
              <w:tl2br w:val="nil"/>
              <w:tr2bl w:val="nil"/>
            </w:tcBorders>
            <w:shd w:val="clear" w:color="auto" w:fill="auto"/>
            <w:noWrap/>
            <w:tcMar>
              <w:top w:w="15" w:type="dxa"/>
              <w:left w:w="15" w:type="dxa"/>
              <w:right w:w="15" w:type="dxa"/>
            </w:tcMar>
            <w:vAlign w:val="center"/>
          </w:tcPr>
          <w:p w14:paraId="5D8D45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0.00900</w:t>
            </w:r>
          </w:p>
        </w:tc>
      </w:tr>
      <w:tr w14:paraId="0987C3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42B5BD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最小值</w:t>
            </w:r>
          </w:p>
        </w:tc>
        <w:tc>
          <w:tcPr>
            <w:tcW w:w="1029" w:type="dxa"/>
            <w:tcBorders>
              <w:tl2br w:val="nil"/>
              <w:tr2bl w:val="nil"/>
            </w:tcBorders>
            <w:shd w:val="clear" w:color="auto" w:fill="auto"/>
            <w:noWrap/>
            <w:tcMar>
              <w:top w:w="15" w:type="dxa"/>
              <w:left w:w="15" w:type="dxa"/>
              <w:right w:w="15" w:type="dxa"/>
            </w:tcMar>
            <w:vAlign w:val="center"/>
          </w:tcPr>
          <w:p w14:paraId="3AD306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0.04850</w:t>
            </w:r>
          </w:p>
        </w:tc>
        <w:tc>
          <w:tcPr>
            <w:tcW w:w="894" w:type="dxa"/>
            <w:tcBorders>
              <w:tl2br w:val="nil"/>
              <w:tr2bl w:val="nil"/>
            </w:tcBorders>
            <w:shd w:val="clear" w:color="auto" w:fill="auto"/>
            <w:noWrap/>
            <w:tcMar>
              <w:top w:w="15" w:type="dxa"/>
              <w:left w:w="15" w:type="dxa"/>
              <w:right w:w="15" w:type="dxa"/>
            </w:tcMar>
            <w:vAlign w:val="center"/>
          </w:tcPr>
          <w:p w14:paraId="62C627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0.02113</w:t>
            </w:r>
          </w:p>
        </w:tc>
        <w:tc>
          <w:tcPr>
            <w:tcW w:w="894" w:type="dxa"/>
            <w:tcBorders>
              <w:tl2br w:val="nil"/>
              <w:tr2bl w:val="nil"/>
            </w:tcBorders>
            <w:shd w:val="clear" w:color="auto" w:fill="auto"/>
            <w:noWrap/>
            <w:tcMar>
              <w:top w:w="15" w:type="dxa"/>
              <w:left w:w="15" w:type="dxa"/>
              <w:right w:w="15" w:type="dxa"/>
            </w:tcMar>
            <w:vAlign w:val="center"/>
          </w:tcPr>
          <w:p w14:paraId="2106E1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0.00184</w:t>
            </w:r>
          </w:p>
        </w:tc>
        <w:tc>
          <w:tcPr>
            <w:tcW w:w="980" w:type="dxa"/>
            <w:tcBorders>
              <w:tl2br w:val="nil"/>
              <w:tr2bl w:val="nil"/>
            </w:tcBorders>
            <w:shd w:val="clear" w:color="auto" w:fill="auto"/>
            <w:noWrap/>
            <w:tcMar>
              <w:top w:w="15" w:type="dxa"/>
              <w:left w:w="15" w:type="dxa"/>
              <w:right w:w="15" w:type="dxa"/>
            </w:tcMar>
            <w:vAlign w:val="center"/>
          </w:tcPr>
          <w:p w14:paraId="45998B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0.11171</w:t>
            </w:r>
          </w:p>
        </w:tc>
        <w:tc>
          <w:tcPr>
            <w:tcW w:w="1017" w:type="dxa"/>
            <w:tcBorders>
              <w:tl2br w:val="nil"/>
              <w:tr2bl w:val="nil"/>
            </w:tcBorders>
            <w:shd w:val="clear" w:color="auto" w:fill="auto"/>
            <w:noWrap/>
            <w:tcMar>
              <w:top w:w="15" w:type="dxa"/>
              <w:left w:w="15" w:type="dxa"/>
              <w:right w:w="15" w:type="dxa"/>
            </w:tcMar>
            <w:vAlign w:val="center"/>
          </w:tcPr>
          <w:p w14:paraId="2D86FE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0.00008</w:t>
            </w:r>
          </w:p>
        </w:tc>
        <w:tc>
          <w:tcPr>
            <w:tcW w:w="894" w:type="dxa"/>
            <w:tcBorders>
              <w:tl2br w:val="nil"/>
              <w:tr2bl w:val="nil"/>
            </w:tcBorders>
            <w:shd w:val="clear" w:color="auto" w:fill="auto"/>
            <w:noWrap/>
            <w:tcMar>
              <w:top w:w="15" w:type="dxa"/>
              <w:left w:w="15" w:type="dxa"/>
              <w:right w:w="15" w:type="dxa"/>
            </w:tcMar>
            <w:vAlign w:val="center"/>
          </w:tcPr>
          <w:p w14:paraId="525AB5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0.00117</w:t>
            </w:r>
          </w:p>
        </w:tc>
        <w:tc>
          <w:tcPr>
            <w:tcW w:w="894" w:type="dxa"/>
            <w:tcBorders>
              <w:tl2br w:val="nil"/>
              <w:tr2bl w:val="nil"/>
            </w:tcBorders>
            <w:shd w:val="clear" w:color="auto" w:fill="auto"/>
            <w:noWrap/>
            <w:tcMar>
              <w:top w:w="15" w:type="dxa"/>
              <w:left w:w="15" w:type="dxa"/>
              <w:right w:w="15" w:type="dxa"/>
            </w:tcMar>
            <w:vAlign w:val="center"/>
          </w:tcPr>
          <w:p w14:paraId="0C4930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0.02667</w:t>
            </w:r>
          </w:p>
        </w:tc>
        <w:tc>
          <w:tcPr>
            <w:tcW w:w="894" w:type="dxa"/>
            <w:tcBorders>
              <w:tl2br w:val="nil"/>
              <w:tr2bl w:val="nil"/>
            </w:tcBorders>
            <w:shd w:val="clear" w:color="auto" w:fill="auto"/>
            <w:noWrap/>
            <w:tcMar>
              <w:top w:w="15" w:type="dxa"/>
              <w:left w:w="15" w:type="dxa"/>
              <w:right w:w="15" w:type="dxa"/>
            </w:tcMar>
            <w:vAlign w:val="center"/>
          </w:tcPr>
          <w:p w14:paraId="369D52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0.01271</w:t>
            </w:r>
          </w:p>
        </w:tc>
        <w:tc>
          <w:tcPr>
            <w:tcW w:w="919" w:type="dxa"/>
            <w:tcBorders>
              <w:tl2br w:val="nil"/>
              <w:tr2bl w:val="nil"/>
            </w:tcBorders>
            <w:shd w:val="clear" w:color="auto" w:fill="auto"/>
            <w:noWrap/>
            <w:tcMar>
              <w:top w:w="15" w:type="dxa"/>
              <w:left w:w="15" w:type="dxa"/>
              <w:right w:w="15" w:type="dxa"/>
            </w:tcMar>
            <w:vAlign w:val="center"/>
          </w:tcPr>
          <w:p w14:paraId="3A41C6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0.16000</w:t>
            </w:r>
          </w:p>
        </w:tc>
        <w:tc>
          <w:tcPr>
            <w:tcW w:w="919" w:type="dxa"/>
            <w:tcBorders>
              <w:tl2br w:val="nil"/>
              <w:tr2bl w:val="nil"/>
            </w:tcBorders>
            <w:shd w:val="clear" w:color="auto" w:fill="auto"/>
            <w:noWrap/>
            <w:tcMar>
              <w:top w:w="15" w:type="dxa"/>
              <w:left w:w="15" w:type="dxa"/>
              <w:right w:w="15" w:type="dxa"/>
            </w:tcMar>
            <w:vAlign w:val="center"/>
          </w:tcPr>
          <w:p w14:paraId="7AED2A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0.11000</w:t>
            </w:r>
          </w:p>
        </w:tc>
        <w:tc>
          <w:tcPr>
            <w:tcW w:w="1104" w:type="dxa"/>
            <w:tcBorders>
              <w:tl2br w:val="nil"/>
              <w:tr2bl w:val="nil"/>
            </w:tcBorders>
            <w:shd w:val="clear" w:color="auto" w:fill="auto"/>
            <w:noWrap/>
            <w:tcMar>
              <w:top w:w="15" w:type="dxa"/>
              <w:left w:w="15" w:type="dxa"/>
              <w:right w:w="15" w:type="dxa"/>
            </w:tcMar>
            <w:vAlign w:val="center"/>
          </w:tcPr>
          <w:p w14:paraId="6EBAF6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0.00222</w:t>
            </w:r>
          </w:p>
        </w:tc>
        <w:tc>
          <w:tcPr>
            <w:tcW w:w="895" w:type="dxa"/>
            <w:tcBorders>
              <w:tl2br w:val="nil"/>
              <w:tr2bl w:val="nil"/>
            </w:tcBorders>
            <w:shd w:val="clear" w:color="auto" w:fill="auto"/>
            <w:noWrap/>
            <w:tcMar>
              <w:top w:w="15" w:type="dxa"/>
              <w:left w:w="15" w:type="dxa"/>
              <w:right w:w="15" w:type="dxa"/>
            </w:tcMar>
            <w:vAlign w:val="center"/>
          </w:tcPr>
          <w:p w14:paraId="0A4AE9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0.00375</w:t>
            </w:r>
          </w:p>
        </w:tc>
        <w:tc>
          <w:tcPr>
            <w:tcW w:w="933" w:type="dxa"/>
            <w:tcBorders>
              <w:tl2br w:val="nil"/>
              <w:tr2bl w:val="nil"/>
            </w:tcBorders>
            <w:shd w:val="clear" w:color="auto" w:fill="auto"/>
            <w:noWrap/>
            <w:tcMar>
              <w:top w:w="15" w:type="dxa"/>
              <w:left w:w="15" w:type="dxa"/>
              <w:right w:w="15" w:type="dxa"/>
            </w:tcMar>
            <w:vAlign w:val="center"/>
          </w:tcPr>
          <w:p w14:paraId="5D78D9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0.00067</w:t>
            </w:r>
          </w:p>
        </w:tc>
        <w:tc>
          <w:tcPr>
            <w:tcW w:w="1031" w:type="dxa"/>
            <w:tcBorders>
              <w:tl2br w:val="nil"/>
              <w:tr2bl w:val="nil"/>
            </w:tcBorders>
            <w:shd w:val="clear" w:color="auto" w:fill="auto"/>
            <w:noWrap/>
            <w:tcMar>
              <w:top w:w="15" w:type="dxa"/>
              <w:left w:w="15" w:type="dxa"/>
              <w:right w:w="15" w:type="dxa"/>
            </w:tcMar>
            <w:vAlign w:val="center"/>
          </w:tcPr>
          <w:p w14:paraId="68DF43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0.00900</w:t>
            </w:r>
          </w:p>
        </w:tc>
      </w:tr>
      <w:tr w14:paraId="3DF7CA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3809FC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平均值</w:t>
            </w:r>
          </w:p>
        </w:tc>
        <w:tc>
          <w:tcPr>
            <w:tcW w:w="1029" w:type="dxa"/>
            <w:tcBorders>
              <w:tl2br w:val="nil"/>
              <w:tr2bl w:val="nil"/>
            </w:tcBorders>
            <w:shd w:val="clear" w:color="auto" w:fill="auto"/>
            <w:noWrap/>
            <w:tcMar>
              <w:top w:w="15" w:type="dxa"/>
              <w:left w:w="15" w:type="dxa"/>
              <w:right w:w="15" w:type="dxa"/>
            </w:tcMar>
            <w:vAlign w:val="center"/>
          </w:tcPr>
          <w:p w14:paraId="24DCF0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0.08138</w:t>
            </w:r>
          </w:p>
        </w:tc>
        <w:tc>
          <w:tcPr>
            <w:tcW w:w="894" w:type="dxa"/>
            <w:tcBorders>
              <w:tl2br w:val="nil"/>
              <w:tr2bl w:val="nil"/>
            </w:tcBorders>
            <w:shd w:val="clear" w:color="auto" w:fill="auto"/>
            <w:noWrap/>
            <w:tcMar>
              <w:top w:w="15" w:type="dxa"/>
              <w:left w:w="15" w:type="dxa"/>
              <w:right w:w="15" w:type="dxa"/>
            </w:tcMar>
            <w:vAlign w:val="center"/>
          </w:tcPr>
          <w:p w14:paraId="2C4EF2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0.03796</w:t>
            </w:r>
          </w:p>
        </w:tc>
        <w:tc>
          <w:tcPr>
            <w:tcW w:w="894" w:type="dxa"/>
            <w:tcBorders>
              <w:tl2br w:val="nil"/>
              <w:tr2bl w:val="nil"/>
            </w:tcBorders>
            <w:shd w:val="clear" w:color="auto" w:fill="auto"/>
            <w:noWrap/>
            <w:tcMar>
              <w:top w:w="15" w:type="dxa"/>
              <w:left w:w="15" w:type="dxa"/>
              <w:right w:w="15" w:type="dxa"/>
            </w:tcMar>
            <w:vAlign w:val="center"/>
          </w:tcPr>
          <w:p w14:paraId="6569CE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0.00590</w:t>
            </w:r>
          </w:p>
        </w:tc>
        <w:tc>
          <w:tcPr>
            <w:tcW w:w="980" w:type="dxa"/>
            <w:tcBorders>
              <w:tl2br w:val="nil"/>
              <w:tr2bl w:val="nil"/>
            </w:tcBorders>
            <w:shd w:val="clear" w:color="auto" w:fill="auto"/>
            <w:noWrap/>
            <w:tcMar>
              <w:top w:w="15" w:type="dxa"/>
              <w:left w:w="15" w:type="dxa"/>
              <w:right w:w="15" w:type="dxa"/>
            </w:tcMar>
            <w:vAlign w:val="center"/>
          </w:tcPr>
          <w:p w14:paraId="17499E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0.19222</w:t>
            </w:r>
          </w:p>
        </w:tc>
        <w:tc>
          <w:tcPr>
            <w:tcW w:w="1017" w:type="dxa"/>
            <w:tcBorders>
              <w:tl2br w:val="nil"/>
              <w:tr2bl w:val="nil"/>
            </w:tcBorders>
            <w:shd w:val="clear" w:color="auto" w:fill="auto"/>
            <w:noWrap/>
            <w:tcMar>
              <w:top w:w="15" w:type="dxa"/>
              <w:left w:w="15" w:type="dxa"/>
              <w:right w:w="15" w:type="dxa"/>
            </w:tcMar>
            <w:vAlign w:val="center"/>
          </w:tcPr>
          <w:p w14:paraId="6B428F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0.00968</w:t>
            </w:r>
          </w:p>
        </w:tc>
        <w:tc>
          <w:tcPr>
            <w:tcW w:w="894" w:type="dxa"/>
            <w:tcBorders>
              <w:tl2br w:val="nil"/>
              <w:tr2bl w:val="nil"/>
            </w:tcBorders>
            <w:shd w:val="clear" w:color="auto" w:fill="auto"/>
            <w:noWrap/>
            <w:tcMar>
              <w:top w:w="15" w:type="dxa"/>
              <w:left w:w="15" w:type="dxa"/>
              <w:right w:w="15" w:type="dxa"/>
            </w:tcMar>
            <w:vAlign w:val="center"/>
          </w:tcPr>
          <w:p w14:paraId="42E6B0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0.01588</w:t>
            </w:r>
          </w:p>
        </w:tc>
        <w:tc>
          <w:tcPr>
            <w:tcW w:w="894" w:type="dxa"/>
            <w:tcBorders>
              <w:tl2br w:val="nil"/>
              <w:tr2bl w:val="nil"/>
            </w:tcBorders>
            <w:shd w:val="clear" w:color="auto" w:fill="auto"/>
            <w:noWrap/>
            <w:tcMar>
              <w:top w:w="15" w:type="dxa"/>
              <w:left w:w="15" w:type="dxa"/>
              <w:right w:w="15" w:type="dxa"/>
            </w:tcMar>
            <w:vAlign w:val="center"/>
          </w:tcPr>
          <w:p w14:paraId="1CCBFB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0.06299</w:t>
            </w:r>
          </w:p>
        </w:tc>
        <w:tc>
          <w:tcPr>
            <w:tcW w:w="894" w:type="dxa"/>
            <w:tcBorders>
              <w:tl2br w:val="nil"/>
              <w:tr2bl w:val="nil"/>
            </w:tcBorders>
            <w:shd w:val="clear" w:color="auto" w:fill="auto"/>
            <w:noWrap/>
            <w:tcMar>
              <w:top w:w="15" w:type="dxa"/>
              <w:left w:w="15" w:type="dxa"/>
              <w:right w:w="15" w:type="dxa"/>
            </w:tcMar>
            <w:vAlign w:val="center"/>
          </w:tcPr>
          <w:p w14:paraId="1E584E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0.04117</w:t>
            </w:r>
          </w:p>
        </w:tc>
        <w:tc>
          <w:tcPr>
            <w:tcW w:w="919" w:type="dxa"/>
            <w:tcBorders>
              <w:tl2br w:val="nil"/>
              <w:tr2bl w:val="nil"/>
            </w:tcBorders>
            <w:shd w:val="clear" w:color="auto" w:fill="auto"/>
            <w:noWrap/>
            <w:tcMar>
              <w:top w:w="15" w:type="dxa"/>
              <w:left w:w="15" w:type="dxa"/>
              <w:right w:w="15" w:type="dxa"/>
            </w:tcMar>
            <w:vAlign w:val="center"/>
          </w:tcPr>
          <w:p w14:paraId="7B17AB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0.16000</w:t>
            </w:r>
          </w:p>
        </w:tc>
        <w:tc>
          <w:tcPr>
            <w:tcW w:w="919" w:type="dxa"/>
            <w:tcBorders>
              <w:tl2br w:val="nil"/>
              <w:tr2bl w:val="nil"/>
            </w:tcBorders>
            <w:shd w:val="clear" w:color="auto" w:fill="auto"/>
            <w:noWrap/>
            <w:tcMar>
              <w:top w:w="15" w:type="dxa"/>
              <w:left w:w="15" w:type="dxa"/>
              <w:right w:w="15" w:type="dxa"/>
            </w:tcMar>
            <w:vAlign w:val="center"/>
          </w:tcPr>
          <w:p w14:paraId="77EECE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0.17875</w:t>
            </w:r>
          </w:p>
        </w:tc>
        <w:tc>
          <w:tcPr>
            <w:tcW w:w="1104" w:type="dxa"/>
            <w:tcBorders>
              <w:tl2br w:val="nil"/>
              <w:tr2bl w:val="nil"/>
            </w:tcBorders>
            <w:shd w:val="clear" w:color="auto" w:fill="auto"/>
            <w:noWrap/>
            <w:tcMar>
              <w:top w:w="15" w:type="dxa"/>
              <w:left w:w="15" w:type="dxa"/>
              <w:right w:w="15" w:type="dxa"/>
            </w:tcMar>
            <w:vAlign w:val="center"/>
          </w:tcPr>
          <w:p w14:paraId="21DFC8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0.00570</w:t>
            </w:r>
          </w:p>
        </w:tc>
        <w:tc>
          <w:tcPr>
            <w:tcW w:w="895" w:type="dxa"/>
            <w:tcBorders>
              <w:tl2br w:val="nil"/>
              <w:tr2bl w:val="nil"/>
            </w:tcBorders>
            <w:shd w:val="clear" w:color="auto" w:fill="auto"/>
            <w:noWrap/>
            <w:tcMar>
              <w:top w:w="15" w:type="dxa"/>
              <w:left w:w="15" w:type="dxa"/>
              <w:right w:w="15" w:type="dxa"/>
            </w:tcMar>
            <w:vAlign w:val="center"/>
          </w:tcPr>
          <w:p w14:paraId="03C6BA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0.01398</w:t>
            </w:r>
          </w:p>
        </w:tc>
        <w:tc>
          <w:tcPr>
            <w:tcW w:w="933" w:type="dxa"/>
            <w:tcBorders>
              <w:tl2br w:val="nil"/>
              <w:tr2bl w:val="nil"/>
            </w:tcBorders>
            <w:shd w:val="clear" w:color="auto" w:fill="auto"/>
            <w:noWrap/>
            <w:tcMar>
              <w:top w:w="15" w:type="dxa"/>
              <w:left w:w="15" w:type="dxa"/>
              <w:right w:w="15" w:type="dxa"/>
            </w:tcMar>
            <w:vAlign w:val="center"/>
          </w:tcPr>
          <w:p w14:paraId="703D3F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0.00629</w:t>
            </w:r>
          </w:p>
        </w:tc>
        <w:tc>
          <w:tcPr>
            <w:tcW w:w="1031" w:type="dxa"/>
            <w:tcBorders>
              <w:tl2br w:val="nil"/>
              <w:tr2bl w:val="nil"/>
            </w:tcBorders>
            <w:shd w:val="clear" w:color="auto" w:fill="auto"/>
            <w:noWrap/>
            <w:tcMar>
              <w:top w:w="15" w:type="dxa"/>
              <w:left w:w="15" w:type="dxa"/>
              <w:right w:w="15" w:type="dxa"/>
            </w:tcMar>
            <w:vAlign w:val="center"/>
          </w:tcPr>
          <w:p w14:paraId="0BA216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0.00900</w:t>
            </w:r>
          </w:p>
        </w:tc>
      </w:tr>
    </w:tbl>
    <w:p w14:paraId="733E4B7C">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highlight w:val="none"/>
          <w:lang w:eastAsia="zh-CN"/>
        </w:rPr>
        <w:sectPr>
          <w:headerReference r:id="rId21" w:type="default"/>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default" w:ascii="Times New Roman" w:hAnsi="Times New Roman" w:cs="Times New Roman"/>
          <w:color w:val="auto"/>
          <w:sz w:val="24"/>
          <w:szCs w:val="24"/>
          <w:highlight w:val="none"/>
          <w:lang w:val="en-US" w:eastAsia="zh-CN"/>
        </w:rPr>
        <w:t>经统计</w:t>
      </w:r>
      <w:r>
        <w:rPr>
          <w:rFonts w:hint="default" w:ascii="Times New Roman" w:hAnsi="Times New Roman" w:cs="Times New Roman"/>
          <w:color w:val="auto"/>
          <w:sz w:val="24"/>
          <w:szCs w:val="24"/>
          <w:highlight w:val="none"/>
          <w:lang w:eastAsia="zh-CN"/>
        </w:rPr>
        <w:t>，土壤单项污染指数</w:t>
      </w:r>
      <w:r>
        <w:rPr>
          <w:rFonts w:hint="default" w:ascii="Times New Roman" w:hAnsi="Times New Roman" w:cs="Times New Roman"/>
          <w:color w:val="auto"/>
          <w:sz w:val="24"/>
          <w:szCs w:val="24"/>
          <w:highlight w:val="none"/>
          <w:lang w:val="en-US" w:eastAsia="zh-CN"/>
        </w:rPr>
        <w:t>Pimax=0.600＜1，可以判断本</w:t>
      </w:r>
      <w:r>
        <w:rPr>
          <w:rFonts w:hint="eastAsia" w:cs="Times New Roman"/>
          <w:color w:val="auto"/>
          <w:sz w:val="24"/>
          <w:szCs w:val="24"/>
          <w:highlight w:val="none"/>
          <w:lang w:val="en-US" w:eastAsia="zh-CN"/>
        </w:rPr>
        <w:t>工业</w:t>
      </w:r>
      <w:r>
        <w:rPr>
          <w:rFonts w:hint="default" w:ascii="Times New Roman" w:hAnsi="Times New Roman" w:cs="Times New Roman"/>
          <w:color w:val="auto"/>
          <w:sz w:val="24"/>
          <w:szCs w:val="24"/>
          <w:highlight w:val="none"/>
          <w:lang w:val="en-US" w:eastAsia="zh-CN"/>
        </w:rPr>
        <w:t>园区及周边的所有检出因子的单项污染指数对应的污染程度均为无污染</w:t>
      </w:r>
      <w:r>
        <w:rPr>
          <w:rFonts w:hint="default" w:ascii="Times New Roman" w:hAnsi="Times New Roman" w:cs="Times New Roman"/>
          <w:color w:val="auto"/>
          <w:highlight w:val="none"/>
          <w:lang w:val="en-US" w:eastAsia="zh-CN"/>
        </w:rPr>
        <w:t>。</w:t>
      </w:r>
    </w:p>
    <w:p w14:paraId="53AA4F92">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内梅罗污染指数评价</w:t>
      </w:r>
    </w:p>
    <w:p w14:paraId="120393A3">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color w:val="auto"/>
          <w:sz w:val="24"/>
          <w:szCs w:val="32"/>
          <w:highlight w:val="none"/>
        </w:rPr>
      </w:pPr>
      <w:r>
        <w:rPr>
          <w:rFonts w:hint="default" w:ascii="Times New Roman" w:hAnsi="Times New Roman" w:cs="Times New Roman"/>
          <w:color w:val="auto"/>
          <w:highlight w:val="none"/>
          <w:lang w:eastAsia="zh-CN"/>
        </w:rPr>
        <w:t>根据公式：内梅罗污染指数（P</w:t>
      </w:r>
      <w:r>
        <w:rPr>
          <w:rFonts w:hint="default" w:ascii="Times New Roman" w:hAnsi="Times New Roman" w:cs="Times New Roman"/>
          <w:color w:val="auto"/>
          <w:highlight w:val="none"/>
          <w:vertAlign w:val="subscript"/>
          <w:lang w:eastAsia="zh-CN"/>
        </w:rPr>
        <w:t>N</w:t>
      </w:r>
      <w:r>
        <w:rPr>
          <w:rFonts w:hint="default" w:ascii="Times New Roman" w:hAnsi="Times New Roman" w:cs="Times New Roman"/>
          <w:color w:val="auto"/>
          <w:highlight w:val="none"/>
          <w:lang w:eastAsia="zh-CN"/>
        </w:rPr>
        <w:t xml:space="preserve">）= </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 xml:space="preserve">PI </w:t>
      </w:r>
      <w:r>
        <w:rPr>
          <w:rFonts w:hint="default" w:ascii="Times New Roman" w:hAnsi="Times New Roman" w:cs="Times New Roman"/>
          <w:color w:val="auto"/>
          <w:highlight w:val="none"/>
          <w:vertAlign w:val="subscript"/>
          <w:lang w:eastAsia="zh-CN"/>
        </w:rPr>
        <w:t>均</w:t>
      </w:r>
      <w:r>
        <w:rPr>
          <w:rFonts w:hint="default" w:ascii="Times New Roman" w:hAnsi="Times New Roman" w:cs="Times New Roman"/>
          <w:color w:val="auto"/>
          <w:highlight w:val="none"/>
          <w:vertAlign w:val="superscript"/>
          <w:lang w:eastAsia="zh-CN"/>
        </w:rPr>
        <w:t>2</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 xml:space="preserve">+ </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 xml:space="preserve">PI </w:t>
      </w:r>
      <w:r>
        <w:rPr>
          <w:rFonts w:hint="default" w:ascii="Times New Roman" w:hAnsi="Times New Roman" w:cs="Times New Roman"/>
          <w:color w:val="auto"/>
          <w:highlight w:val="none"/>
          <w:vertAlign w:val="subscript"/>
          <w:lang w:eastAsia="zh-CN"/>
        </w:rPr>
        <w:t>最大</w:t>
      </w:r>
      <w:r>
        <w:rPr>
          <w:rFonts w:hint="default" w:ascii="Times New Roman" w:hAnsi="Times New Roman" w:cs="Times New Roman"/>
          <w:color w:val="auto"/>
          <w:highlight w:val="none"/>
          <w:vertAlign w:val="superscript"/>
          <w:lang w:eastAsia="zh-CN"/>
        </w:rPr>
        <w:t>2</w:t>
      </w:r>
      <w:r>
        <w:rPr>
          <w:rFonts w:hint="default" w:ascii="Times New Roman" w:hAnsi="Times New Roman" w:cs="Times New Roman"/>
          <w:color w:val="auto"/>
          <w:highlight w:val="none"/>
          <w:vertAlign w:val="superscript"/>
          <w:lang w:val="en-US" w:eastAsia="zh-CN"/>
        </w:rPr>
        <w:t xml:space="preserve"> </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/2｝</w:t>
      </w:r>
      <w:r>
        <w:rPr>
          <w:rFonts w:hint="default" w:ascii="Times New Roman" w:hAnsi="Times New Roman" w:cs="Times New Roman"/>
          <w:color w:val="auto"/>
          <w:highlight w:val="none"/>
          <w:vertAlign w:val="superscript"/>
          <w:lang w:eastAsia="zh-CN"/>
        </w:rPr>
        <w:t>1/2</w:t>
      </w:r>
      <w:r>
        <w:rPr>
          <w:rFonts w:hint="default" w:ascii="Times New Roman" w:hAnsi="Times New Roman" w:cs="Times New Roman"/>
          <w:color w:val="auto"/>
          <w:highlight w:val="none"/>
          <w:lang w:eastAsia="zh-CN"/>
        </w:rPr>
        <w:t xml:space="preserve">（式中 PI </w:t>
      </w:r>
      <w:r>
        <w:rPr>
          <w:rFonts w:hint="default" w:ascii="Times New Roman" w:hAnsi="Times New Roman" w:cs="Times New Roman"/>
          <w:color w:val="auto"/>
          <w:highlight w:val="none"/>
          <w:vertAlign w:val="subscript"/>
          <w:lang w:eastAsia="zh-CN"/>
        </w:rPr>
        <w:t>均</w:t>
      </w:r>
      <w:r>
        <w:rPr>
          <w:rFonts w:hint="default" w:ascii="Times New Roman" w:hAnsi="Times New Roman" w:cs="Times New Roman"/>
          <w:color w:val="auto"/>
          <w:highlight w:val="none"/>
          <w:lang w:eastAsia="zh-CN"/>
        </w:rPr>
        <w:t xml:space="preserve">和 PI </w:t>
      </w:r>
      <w:r>
        <w:rPr>
          <w:rFonts w:hint="default" w:ascii="Times New Roman" w:hAnsi="Times New Roman" w:cs="Times New Roman"/>
          <w:color w:val="auto"/>
          <w:highlight w:val="none"/>
          <w:vertAlign w:val="subscript"/>
          <w:lang w:eastAsia="zh-CN"/>
        </w:rPr>
        <w:t>最大</w:t>
      </w:r>
      <w:r>
        <w:rPr>
          <w:rFonts w:hint="default" w:ascii="Times New Roman" w:hAnsi="Times New Roman" w:cs="Times New Roman"/>
          <w:color w:val="auto"/>
          <w:highlight w:val="none"/>
          <w:lang w:eastAsia="zh-CN"/>
        </w:rPr>
        <w:t>分别是平均单项污染指数和最大单项污染指数。），引用</w:t>
      </w:r>
      <w:r>
        <w:rPr>
          <w:rFonts w:hint="default" w:ascii="Times New Roman" w:hAnsi="Times New Roman" w:cs="Times New Roman"/>
          <w:color w:val="auto"/>
          <w:highlight w:val="none"/>
          <w:lang w:val="en-US" w:eastAsia="zh-CN"/>
        </w:rPr>
        <w:t>表5-4-1中污染指数的结果</w:t>
      </w:r>
      <w:r>
        <w:rPr>
          <w:rFonts w:hint="default" w:ascii="Times New Roman" w:hAnsi="Times New Roman" w:cs="Times New Roman"/>
          <w:color w:val="auto"/>
          <w:highlight w:val="none"/>
          <w:lang w:eastAsia="zh-CN"/>
        </w:rPr>
        <w:t>可得到内梅罗污染指数，</w:t>
      </w:r>
      <w:r>
        <w:rPr>
          <w:rFonts w:hint="default" w:ascii="Times New Roman" w:hAnsi="Times New Roman" w:cs="Times New Roman"/>
          <w:color w:val="auto"/>
          <w:highlight w:val="none"/>
          <w:lang w:val="en-US" w:eastAsia="zh-CN"/>
        </w:rPr>
        <w:t>具体如下：</w:t>
      </w:r>
    </w:p>
    <w:p w14:paraId="79F3969E">
      <w:pPr>
        <w:pStyle w:val="2"/>
        <w:keepNext w:val="0"/>
        <w:keepLines w:val="0"/>
        <w:pageBreakBefore w:val="0"/>
        <w:widowControl w:val="0"/>
        <w:numPr>
          <w:ilvl w:val="0"/>
          <w:numId w:val="0"/>
        </w:numPr>
        <w:kinsoku/>
        <w:wordWrap/>
        <w:overflowPunct/>
        <w:topLinePunct w:val="0"/>
        <w:autoSpaceDE/>
        <w:autoSpaceDN/>
        <w:bidi w:val="0"/>
        <w:adjustRightInd/>
        <w:snapToGrid/>
        <w:spacing w:before="166" w:beforeLines="50" w:after="0" w:line="240" w:lineRule="auto"/>
        <w:ind w:firstLine="420" w:firstLineChars="0"/>
        <w:jc w:val="center"/>
        <w:textAlignment w:val="auto"/>
        <w:rPr>
          <w:rFonts w:hint="default" w:ascii="Times New Roman" w:hAnsi="Times New Roman" w:cs="Times New Roman"/>
          <w:color w:val="auto"/>
          <w:sz w:val="24"/>
          <w:szCs w:val="32"/>
          <w:highlight w:val="none"/>
        </w:rPr>
      </w:pPr>
      <w:r>
        <w:rPr>
          <w:rFonts w:hint="default" w:ascii="Times New Roman" w:hAnsi="Times New Roman" w:eastAsia="黑体" w:cs="Times New Roman"/>
          <w:b/>
          <w:bCs/>
          <w:color w:val="auto"/>
          <w:sz w:val="24"/>
          <w:szCs w:val="32"/>
          <w:highlight w:val="none"/>
          <w:lang w:val="en-US" w:eastAsia="zh-CN"/>
        </w:rPr>
        <w:t>表</w:t>
      </w:r>
      <w:r>
        <w:rPr>
          <w:rFonts w:hint="default" w:ascii="Times New Roman" w:hAnsi="Times New Roman" w:cs="Times New Roman"/>
          <w:b/>
          <w:bCs/>
          <w:color w:val="auto"/>
          <w:sz w:val="24"/>
          <w:szCs w:val="32"/>
          <w:highlight w:val="none"/>
          <w:lang w:val="en-US" w:eastAsia="zh-CN"/>
        </w:rPr>
        <w:t>5-4-2</w:t>
      </w:r>
      <w:r>
        <w:rPr>
          <w:rFonts w:hint="default" w:ascii="Times New Roman" w:hAnsi="Times New Roman" w:eastAsia="黑体" w:cs="Times New Roman"/>
          <w:b/>
          <w:bCs/>
          <w:color w:val="auto"/>
          <w:sz w:val="24"/>
          <w:szCs w:val="32"/>
          <w:highlight w:val="none"/>
          <w:lang w:val="en-US" w:eastAsia="zh-CN"/>
        </w:rPr>
        <w:t xml:space="preserve"> 内梅罗污染指数表</w:t>
      </w:r>
    </w:p>
    <w:tbl>
      <w:tblPr>
        <w:tblStyle w:val="21"/>
        <w:tblW w:w="1498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330"/>
        <w:gridCol w:w="1010"/>
        <w:gridCol w:w="972"/>
        <w:gridCol w:w="972"/>
        <w:gridCol w:w="972"/>
        <w:gridCol w:w="972"/>
        <w:gridCol w:w="973"/>
        <w:gridCol w:w="973"/>
        <w:gridCol w:w="973"/>
        <w:gridCol w:w="973"/>
        <w:gridCol w:w="973"/>
        <w:gridCol w:w="973"/>
        <w:gridCol w:w="973"/>
        <w:gridCol w:w="973"/>
        <w:gridCol w:w="973"/>
      </w:tblGrid>
      <w:tr w14:paraId="13CE4D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330" w:type="dxa"/>
            <w:tcBorders>
              <w:bottom w:val="single" w:color="auto" w:sz="12" w:space="0"/>
            </w:tcBorders>
            <w:shd w:val="clear" w:color="auto" w:fill="auto"/>
            <w:noWrap/>
            <w:tcMar>
              <w:top w:w="15" w:type="dxa"/>
              <w:left w:w="15" w:type="dxa"/>
              <w:right w:w="15" w:type="dxa"/>
            </w:tcMar>
            <w:vAlign w:val="center"/>
          </w:tcPr>
          <w:p w14:paraId="75D596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单项污染指数</w:t>
            </w:r>
          </w:p>
        </w:tc>
        <w:tc>
          <w:tcPr>
            <w:tcW w:w="1010" w:type="dxa"/>
            <w:tcBorders>
              <w:bottom w:val="single" w:color="auto" w:sz="12" w:space="0"/>
            </w:tcBorders>
            <w:shd w:val="clear" w:color="auto" w:fill="auto"/>
            <w:noWrap/>
            <w:tcMar>
              <w:top w:w="15" w:type="dxa"/>
              <w:left w:w="15" w:type="dxa"/>
              <w:right w:w="15" w:type="dxa"/>
            </w:tcMar>
            <w:vAlign w:val="center"/>
          </w:tcPr>
          <w:p w14:paraId="18B7AC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cs="Times New Roman"/>
                <w:b/>
                <w:bCs w:val="0"/>
                <w:i w:val="0"/>
                <w:color w:val="auto"/>
                <w:kern w:val="0"/>
                <w:sz w:val="21"/>
                <w:szCs w:val="21"/>
                <w:highlight w:val="none"/>
                <w:u w:val="none"/>
                <w:lang w:val="en-US" w:eastAsia="zh-CN" w:bidi="ar"/>
              </w:rPr>
              <w:t>总氟化物</w:t>
            </w:r>
          </w:p>
        </w:tc>
        <w:tc>
          <w:tcPr>
            <w:tcW w:w="972" w:type="dxa"/>
            <w:tcBorders>
              <w:bottom w:val="single" w:color="auto" w:sz="12" w:space="0"/>
            </w:tcBorders>
            <w:shd w:val="clear" w:color="auto" w:fill="auto"/>
            <w:noWrap/>
            <w:tcMar>
              <w:top w:w="15" w:type="dxa"/>
              <w:left w:w="15" w:type="dxa"/>
              <w:right w:w="15" w:type="dxa"/>
            </w:tcMar>
            <w:vAlign w:val="center"/>
          </w:tcPr>
          <w:p w14:paraId="123E3E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铅</w:t>
            </w:r>
          </w:p>
        </w:tc>
        <w:tc>
          <w:tcPr>
            <w:tcW w:w="972" w:type="dxa"/>
            <w:tcBorders>
              <w:bottom w:val="single" w:color="auto" w:sz="12" w:space="0"/>
            </w:tcBorders>
            <w:shd w:val="clear" w:color="auto" w:fill="auto"/>
            <w:noWrap/>
            <w:tcMar>
              <w:top w:w="15" w:type="dxa"/>
              <w:left w:w="15" w:type="dxa"/>
              <w:right w:w="15" w:type="dxa"/>
            </w:tcMar>
            <w:vAlign w:val="center"/>
          </w:tcPr>
          <w:p w14:paraId="3C2250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汞</w:t>
            </w:r>
          </w:p>
        </w:tc>
        <w:tc>
          <w:tcPr>
            <w:tcW w:w="972" w:type="dxa"/>
            <w:tcBorders>
              <w:bottom w:val="single" w:color="auto" w:sz="12" w:space="0"/>
            </w:tcBorders>
            <w:shd w:val="clear" w:color="auto" w:fill="auto"/>
            <w:noWrap/>
            <w:tcMar>
              <w:top w:w="15" w:type="dxa"/>
              <w:left w:w="15" w:type="dxa"/>
              <w:right w:w="15" w:type="dxa"/>
            </w:tcMar>
            <w:vAlign w:val="center"/>
          </w:tcPr>
          <w:p w14:paraId="126219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钴</w:t>
            </w:r>
          </w:p>
        </w:tc>
        <w:tc>
          <w:tcPr>
            <w:tcW w:w="972" w:type="dxa"/>
            <w:tcBorders>
              <w:bottom w:val="single" w:color="auto" w:sz="12" w:space="0"/>
            </w:tcBorders>
            <w:shd w:val="clear" w:color="auto" w:fill="auto"/>
            <w:noWrap/>
            <w:tcMar>
              <w:top w:w="15" w:type="dxa"/>
              <w:left w:w="15" w:type="dxa"/>
              <w:right w:w="15" w:type="dxa"/>
            </w:tcMar>
            <w:vAlign w:val="center"/>
          </w:tcPr>
          <w:p w14:paraId="6CA1E7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镉</w:t>
            </w:r>
          </w:p>
        </w:tc>
        <w:tc>
          <w:tcPr>
            <w:tcW w:w="973" w:type="dxa"/>
            <w:tcBorders>
              <w:bottom w:val="single" w:color="auto" w:sz="12" w:space="0"/>
            </w:tcBorders>
            <w:shd w:val="clear" w:color="auto" w:fill="auto"/>
            <w:noWrap/>
            <w:tcMar>
              <w:top w:w="15" w:type="dxa"/>
              <w:left w:w="15" w:type="dxa"/>
              <w:right w:w="15" w:type="dxa"/>
            </w:tcMar>
            <w:vAlign w:val="center"/>
          </w:tcPr>
          <w:p w14:paraId="2C1886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铜</w:t>
            </w:r>
          </w:p>
        </w:tc>
        <w:tc>
          <w:tcPr>
            <w:tcW w:w="973" w:type="dxa"/>
            <w:tcBorders>
              <w:bottom w:val="single" w:color="auto" w:sz="12" w:space="0"/>
            </w:tcBorders>
            <w:shd w:val="clear" w:color="auto" w:fill="auto"/>
            <w:noWrap/>
            <w:tcMar>
              <w:top w:w="15" w:type="dxa"/>
              <w:left w:w="15" w:type="dxa"/>
              <w:right w:w="15" w:type="dxa"/>
            </w:tcMar>
            <w:vAlign w:val="center"/>
          </w:tcPr>
          <w:p w14:paraId="28AAB0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镍</w:t>
            </w:r>
          </w:p>
        </w:tc>
        <w:tc>
          <w:tcPr>
            <w:tcW w:w="973" w:type="dxa"/>
            <w:tcBorders>
              <w:bottom w:val="single" w:color="auto" w:sz="12" w:space="0"/>
            </w:tcBorders>
            <w:shd w:val="clear" w:color="auto" w:fill="auto"/>
            <w:noWrap/>
            <w:tcMar>
              <w:top w:w="15" w:type="dxa"/>
              <w:left w:w="15" w:type="dxa"/>
              <w:right w:w="15" w:type="dxa"/>
            </w:tcMar>
            <w:vAlign w:val="center"/>
          </w:tcPr>
          <w:p w14:paraId="16C3E4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铬</w:t>
            </w:r>
          </w:p>
        </w:tc>
        <w:tc>
          <w:tcPr>
            <w:tcW w:w="973" w:type="dxa"/>
            <w:tcBorders>
              <w:bottom w:val="single" w:color="auto" w:sz="12" w:space="0"/>
            </w:tcBorders>
            <w:shd w:val="clear" w:color="auto" w:fill="auto"/>
            <w:noWrap/>
            <w:tcMar>
              <w:top w:w="15" w:type="dxa"/>
              <w:left w:w="15" w:type="dxa"/>
              <w:right w:w="15" w:type="dxa"/>
            </w:tcMar>
            <w:vAlign w:val="center"/>
          </w:tcPr>
          <w:p w14:paraId="19D743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val="0"/>
                <w:i w:val="0"/>
                <w:color w:val="auto"/>
                <w:kern w:val="0"/>
                <w:sz w:val="21"/>
                <w:szCs w:val="21"/>
                <w:highlight w:val="none"/>
                <w:u w:val="none"/>
                <w:lang w:val="en-US" w:eastAsia="zh-CN" w:bidi="ar"/>
              </w:rPr>
              <w:t>锌</w:t>
            </w:r>
          </w:p>
        </w:tc>
        <w:tc>
          <w:tcPr>
            <w:tcW w:w="973" w:type="dxa"/>
            <w:tcBorders>
              <w:bottom w:val="single" w:color="auto" w:sz="12" w:space="0"/>
            </w:tcBorders>
            <w:shd w:val="clear" w:color="auto" w:fill="auto"/>
            <w:noWrap/>
            <w:tcMar>
              <w:top w:w="15" w:type="dxa"/>
              <w:left w:w="15" w:type="dxa"/>
              <w:right w:w="15" w:type="dxa"/>
            </w:tcMar>
            <w:vAlign w:val="center"/>
          </w:tcPr>
          <w:p w14:paraId="4D39E8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rPr>
            </w:pPr>
            <w:r>
              <w:rPr>
                <w:rFonts w:hint="default" w:ascii="Times New Roman" w:hAnsi="Times New Roman" w:eastAsia="宋体" w:cs="Times New Roman"/>
                <w:b/>
                <w:bCs w:val="0"/>
                <w:i w:val="0"/>
                <w:color w:val="auto"/>
                <w:kern w:val="0"/>
                <w:sz w:val="21"/>
                <w:szCs w:val="21"/>
                <w:highlight w:val="none"/>
                <w:u w:val="none"/>
                <w:lang w:val="en-US" w:eastAsia="zh-CN" w:bidi="ar"/>
              </w:rPr>
              <w:t>砷</w:t>
            </w:r>
          </w:p>
        </w:tc>
        <w:tc>
          <w:tcPr>
            <w:tcW w:w="973" w:type="dxa"/>
            <w:tcBorders>
              <w:bottom w:val="single" w:color="auto" w:sz="12" w:space="0"/>
            </w:tcBorders>
            <w:shd w:val="clear" w:color="auto" w:fill="auto"/>
            <w:noWrap/>
            <w:tcMar>
              <w:top w:w="15" w:type="dxa"/>
              <w:left w:w="15" w:type="dxa"/>
              <w:right w:w="15" w:type="dxa"/>
            </w:tcMar>
            <w:vAlign w:val="center"/>
          </w:tcPr>
          <w:p w14:paraId="71322B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lang w:eastAsia="zh-CN"/>
              </w:rPr>
            </w:pPr>
            <w:r>
              <w:rPr>
                <w:rFonts w:hint="default" w:ascii="Times New Roman" w:hAnsi="Times New Roman" w:cs="Times New Roman"/>
                <w:b/>
                <w:bCs w:val="0"/>
                <w:i w:val="0"/>
                <w:color w:val="auto"/>
                <w:sz w:val="21"/>
                <w:szCs w:val="21"/>
                <w:highlight w:val="none"/>
                <w:u w:val="none"/>
                <w:lang w:eastAsia="zh-CN"/>
              </w:rPr>
              <w:t>钼</w:t>
            </w:r>
          </w:p>
        </w:tc>
        <w:tc>
          <w:tcPr>
            <w:tcW w:w="973" w:type="dxa"/>
            <w:tcBorders>
              <w:bottom w:val="single" w:color="auto" w:sz="12" w:space="0"/>
            </w:tcBorders>
            <w:shd w:val="clear" w:color="auto" w:fill="auto"/>
            <w:noWrap/>
            <w:tcMar>
              <w:top w:w="15" w:type="dxa"/>
              <w:left w:w="15" w:type="dxa"/>
              <w:right w:w="15" w:type="dxa"/>
            </w:tcMar>
            <w:vAlign w:val="center"/>
          </w:tcPr>
          <w:p w14:paraId="4A3C1F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lang w:val="en-US" w:eastAsia="zh-CN"/>
              </w:rPr>
            </w:pPr>
            <w:r>
              <w:rPr>
                <w:rFonts w:hint="default" w:ascii="Times New Roman" w:hAnsi="Times New Roman" w:cs="Times New Roman"/>
                <w:b/>
                <w:bCs w:val="0"/>
                <w:i w:val="0"/>
                <w:color w:val="auto"/>
                <w:sz w:val="21"/>
                <w:szCs w:val="21"/>
                <w:highlight w:val="none"/>
                <w:u w:val="none"/>
                <w:lang w:val="en-US" w:eastAsia="zh-CN"/>
              </w:rPr>
              <w:t>锑</w:t>
            </w:r>
          </w:p>
        </w:tc>
        <w:tc>
          <w:tcPr>
            <w:tcW w:w="973" w:type="dxa"/>
            <w:tcBorders>
              <w:bottom w:val="single" w:color="auto" w:sz="12" w:space="0"/>
            </w:tcBorders>
            <w:shd w:val="clear" w:color="auto" w:fill="auto"/>
            <w:noWrap/>
            <w:tcMar>
              <w:top w:w="15" w:type="dxa"/>
              <w:left w:w="15" w:type="dxa"/>
              <w:right w:w="15" w:type="dxa"/>
            </w:tcMar>
            <w:vAlign w:val="center"/>
          </w:tcPr>
          <w:p w14:paraId="637A88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kern w:val="0"/>
                <w:sz w:val="21"/>
                <w:szCs w:val="21"/>
                <w:highlight w:val="none"/>
                <w:u w:val="none"/>
                <w:lang w:val="en-US" w:eastAsia="zh-CN" w:bidi="ar"/>
              </w:rPr>
            </w:pPr>
            <w:r>
              <w:rPr>
                <w:rFonts w:hint="default" w:ascii="Times New Roman" w:hAnsi="Times New Roman" w:cs="Times New Roman"/>
                <w:b/>
                <w:bCs w:val="0"/>
                <w:i w:val="0"/>
                <w:color w:val="auto"/>
                <w:kern w:val="0"/>
                <w:sz w:val="21"/>
                <w:szCs w:val="21"/>
                <w:highlight w:val="none"/>
                <w:u w:val="none"/>
                <w:lang w:val="en-US" w:eastAsia="zh-CN" w:bidi="ar"/>
              </w:rPr>
              <w:t>石油烃</w:t>
            </w:r>
          </w:p>
        </w:tc>
        <w:tc>
          <w:tcPr>
            <w:tcW w:w="973" w:type="dxa"/>
            <w:tcBorders>
              <w:bottom w:val="single" w:color="auto" w:sz="12" w:space="0"/>
            </w:tcBorders>
            <w:shd w:val="clear" w:color="auto" w:fill="auto"/>
            <w:noWrap/>
            <w:tcMar>
              <w:top w:w="15" w:type="dxa"/>
              <w:left w:w="15" w:type="dxa"/>
              <w:right w:w="15" w:type="dxa"/>
            </w:tcMar>
            <w:vAlign w:val="center"/>
          </w:tcPr>
          <w:p w14:paraId="6A1441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auto"/>
                <w:sz w:val="21"/>
                <w:szCs w:val="21"/>
                <w:highlight w:val="none"/>
                <w:u w:val="none"/>
                <w:lang w:eastAsia="zh-CN"/>
              </w:rPr>
            </w:pPr>
            <w:r>
              <w:rPr>
                <w:rFonts w:hint="default" w:ascii="Times New Roman" w:hAnsi="Times New Roman" w:cs="Times New Roman"/>
                <w:b/>
                <w:bCs w:val="0"/>
                <w:i w:val="0"/>
                <w:color w:val="auto"/>
                <w:sz w:val="21"/>
                <w:szCs w:val="21"/>
                <w:highlight w:val="none"/>
                <w:u w:val="none"/>
                <w:lang w:eastAsia="zh-CN"/>
              </w:rPr>
              <w:t>二噁英</w:t>
            </w:r>
          </w:p>
        </w:tc>
      </w:tr>
      <w:tr w14:paraId="0FB8AE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330" w:type="dxa"/>
            <w:tcBorders>
              <w:top w:val="single" w:color="auto" w:sz="12" w:space="0"/>
              <w:tl2br w:val="nil"/>
              <w:tr2bl w:val="nil"/>
            </w:tcBorders>
            <w:shd w:val="clear" w:color="auto" w:fill="auto"/>
            <w:noWrap/>
            <w:tcMar>
              <w:top w:w="15" w:type="dxa"/>
              <w:left w:w="15" w:type="dxa"/>
              <w:right w:w="15" w:type="dxa"/>
            </w:tcMar>
            <w:vAlign w:val="center"/>
          </w:tcPr>
          <w:p w14:paraId="3C03E8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70"/>
                <w:rFonts w:hint="default" w:ascii="Times New Roman" w:hAnsi="Times New Roman" w:eastAsia="宋体" w:cs="Times New Roman"/>
                <w:color w:val="auto"/>
                <w:sz w:val="21"/>
                <w:szCs w:val="21"/>
                <w:highlight w:val="none"/>
                <w:lang w:val="en-US" w:eastAsia="zh-CN" w:bidi="ar"/>
              </w:rPr>
              <w:t xml:space="preserve">PI </w:t>
            </w:r>
            <w:r>
              <w:rPr>
                <w:rFonts w:hint="default" w:ascii="Times New Roman" w:hAnsi="Times New Roman" w:eastAsia="宋体" w:cs="Times New Roman"/>
                <w:i w:val="0"/>
                <w:color w:val="auto"/>
                <w:kern w:val="0"/>
                <w:sz w:val="21"/>
                <w:szCs w:val="21"/>
                <w:highlight w:val="none"/>
                <w:u w:val="none"/>
                <w:vertAlign w:val="subscript"/>
                <w:lang w:val="en-US" w:eastAsia="zh-CN" w:bidi="ar"/>
              </w:rPr>
              <w:t>均</w:t>
            </w:r>
          </w:p>
        </w:tc>
        <w:tc>
          <w:tcPr>
            <w:tcW w:w="1010" w:type="dxa"/>
            <w:tcBorders>
              <w:top w:val="single" w:color="auto" w:sz="12" w:space="0"/>
              <w:tl2br w:val="nil"/>
              <w:tr2bl w:val="nil"/>
            </w:tcBorders>
            <w:shd w:val="clear" w:color="auto" w:fill="auto"/>
            <w:noWrap/>
            <w:tcMar>
              <w:top w:w="15" w:type="dxa"/>
              <w:left w:w="15" w:type="dxa"/>
              <w:right w:w="15" w:type="dxa"/>
            </w:tcMar>
            <w:vAlign w:val="center"/>
          </w:tcPr>
          <w:p w14:paraId="64971B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0.08138</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5416DC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0.03796</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4EBB3B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0.00590</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112F4A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0.19222</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17D533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0.00968</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53C2E1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0.01588</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61E43F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0.06299</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5669EC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0.04117</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1A3E67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0.16000</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4C57D0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0.17875</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110C5E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0.00570</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64FA8A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0.01398</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7C2A57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0.00629</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3E8264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0.00900</w:t>
            </w:r>
          </w:p>
        </w:tc>
      </w:tr>
      <w:tr w14:paraId="0E9589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330" w:type="dxa"/>
            <w:tcBorders>
              <w:tl2br w:val="nil"/>
              <w:tr2bl w:val="nil"/>
            </w:tcBorders>
            <w:shd w:val="clear" w:color="auto" w:fill="auto"/>
            <w:noWrap/>
            <w:tcMar>
              <w:top w:w="15" w:type="dxa"/>
              <w:left w:w="15" w:type="dxa"/>
              <w:right w:w="15" w:type="dxa"/>
            </w:tcMar>
            <w:vAlign w:val="center"/>
          </w:tcPr>
          <w:p w14:paraId="4642D5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70"/>
                <w:rFonts w:hint="default" w:ascii="Times New Roman" w:hAnsi="Times New Roman" w:eastAsia="宋体" w:cs="Times New Roman"/>
                <w:color w:val="auto"/>
                <w:sz w:val="21"/>
                <w:szCs w:val="21"/>
                <w:highlight w:val="none"/>
                <w:lang w:val="en-US" w:eastAsia="zh-CN" w:bidi="ar"/>
              </w:rPr>
              <w:t xml:space="preserve">PI </w:t>
            </w:r>
            <w:r>
              <w:rPr>
                <w:rFonts w:hint="default" w:ascii="Times New Roman" w:hAnsi="Times New Roman" w:eastAsia="宋体" w:cs="Times New Roman"/>
                <w:i w:val="0"/>
                <w:color w:val="auto"/>
                <w:kern w:val="0"/>
                <w:sz w:val="21"/>
                <w:szCs w:val="21"/>
                <w:highlight w:val="none"/>
                <w:u w:val="none"/>
                <w:vertAlign w:val="subscript"/>
                <w:lang w:val="en-US" w:eastAsia="zh-CN" w:bidi="ar"/>
              </w:rPr>
              <w:t>最大</w:t>
            </w:r>
          </w:p>
        </w:tc>
        <w:tc>
          <w:tcPr>
            <w:tcW w:w="1010" w:type="dxa"/>
            <w:tcBorders>
              <w:tl2br w:val="nil"/>
              <w:tr2bl w:val="nil"/>
            </w:tcBorders>
            <w:shd w:val="clear" w:color="auto" w:fill="auto"/>
            <w:noWrap/>
            <w:tcMar>
              <w:top w:w="15" w:type="dxa"/>
              <w:left w:w="15" w:type="dxa"/>
              <w:right w:w="15" w:type="dxa"/>
            </w:tcMar>
            <w:vAlign w:val="center"/>
          </w:tcPr>
          <w:p w14:paraId="174E4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0.27143</w:t>
            </w:r>
          </w:p>
        </w:tc>
        <w:tc>
          <w:tcPr>
            <w:tcW w:w="972" w:type="dxa"/>
            <w:tcBorders>
              <w:tl2br w:val="nil"/>
              <w:tr2bl w:val="nil"/>
            </w:tcBorders>
            <w:shd w:val="clear" w:color="auto" w:fill="auto"/>
            <w:noWrap/>
            <w:tcMar>
              <w:top w:w="15" w:type="dxa"/>
              <w:left w:w="15" w:type="dxa"/>
              <w:right w:w="15" w:type="dxa"/>
            </w:tcMar>
            <w:vAlign w:val="center"/>
          </w:tcPr>
          <w:p w14:paraId="330582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0.16167</w:t>
            </w:r>
          </w:p>
        </w:tc>
        <w:tc>
          <w:tcPr>
            <w:tcW w:w="972" w:type="dxa"/>
            <w:tcBorders>
              <w:tl2br w:val="nil"/>
              <w:tr2bl w:val="nil"/>
            </w:tcBorders>
            <w:shd w:val="clear" w:color="auto" w:fill="auto"/>
            <w:noWrap/>
            <w:tcMar>
              <w:top w:w="15" w:type="dxa"/>
              <w:left w:w="15" w:type="dxa"/>
              <w:right w:w="15" w:type="dxa"/>
            </w:tcMar>
            <w:vAlign w:val="center"/>
          </w:tcPr>
          <w:p w14:paraId="00928D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0.04583</w:t>
            </w:r>
          </w:p>
        </w:tc>
        <w:tc>
          <w:tcPr>
            <w:tcW w:w="972" w:type="dxa"/>
            <w:tcBorders>
              <w:tl2br w:val="nil"/>
              <w:tr2bl w:val="nil"/>
            </w:tcBorders>
            <w:shd w:val="clear" w:color="auto" w:fill="auto"/>
            <w:noWrap/>
            <w:tcMar>
              <w:top w:w="15" w:type="dxa"/>
              <w:left w:w="15" w:type="dxa"/>
              <w:right w:w="15" w:type="dxa"/>
            </w:tcMar>
            <w:vAlign w:val="center"/>
          </w:tcPr>
          <w:p w14:paraId="0E3B96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0.60000</w:t>
            </w:r>
          </w:p>
        </w:tc>
        <w:tc>
          <w:tcPr>
            <w:tcW w:w="972" w:type="dxa"/>
            <w:tcBorders>
              <w:tl2br w:val="nil"/>
              <w:tr2bl w:val="nil"/>
            </w:tcBorders>
            <w:shd w:val="clear" w:color="auto" w:fill="auto"/>
            <w:noWrap/>
            <w:tcMar>
              <w:top w:w="15" w:type="dxa"/>
              <w:left w:w="15" w:type="dxa"/>
              <w:right w:w="15" w:type="dxa"/>
            </w:tcMar>
            <w:vAlign w:val="center"/>
          </w:tcPr>
          <w:p w14:paraId="4E2DDD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0.13333</w:t>
            </w:r>
          </w:p>
        </w:tc>
        <w:tc>
          <w:tcPr>
            <w:tcW w:w="973" w:type="dxa"/>
            <w:tcBorders>
              <w:tl2br w:val="nil"/>
              <w:tr2bl w:val="nil"/>
            </w:tcBorders>
            <w:shd w:val="clear" w:color="auto" w:fill="auto"/>
            <w:noWrap/>
            <w:tcMar>
              <w:top w:w="15" w:type="dxa"/>
              <w:left w:w="15" w:type="dxa"/>
              <w:right w:w="15" w:type="dxa"/>
            </w:tcMar>
            <w:vAlign w:val="center"/>
          </w:tcPr>
          <w:p w14:paraId="07C838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0.22000</w:t>
            </w:r>
          </w:p>
        </w:tc>
        <w:tc>
          <w:tcPr>
            <w:tcW w:w="973" w:type="dxa"/>
            <w:tcBorders>
              <w:tl2br w:val="nil"/>
              <w:tr2bl w:val="nil"/>
            </w:tcBorders>
            <w:shd w:val="clear" w:color="auto" w:fill="auto"/>
            <w:noWrap/>
            <w:tcMar>
              <w:top w:w="15" w:type="dxa"/>
              <w:left w:w="15" w:type="dxa"/>
              <w:right w:w="15" w:type="dxa"/>
            </w:tcMar>
            <w:vAlign w:val="center"/>
          </w:tcPr>
          <w:p w14:paraId="31AEB4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0.29000</w:t>
            </w:r>
          </w:p>
        </w:tc>
        <w:tc>
          <w:tcPr>
            <w:tcW w:w="973" w:type="dxa"/>
            <w:tcBorders>
              <w:tl2br w:val="nil"/>
              <w:tr2bl w:val="nil"/>
            </w:tcBorders>
            <w:shd w:val="clear" w:color="auto" w:fill="auto"/>
            <w:noWrap/>
            <w:tcMar>
              <w:top w:w="15" w:type="dxa"/>
              <w:left w:w="15" w:type="dxa"/>
              <w:right w:w="15" w:type="dxa"/>
            </w:tcMar>
            <w:vAlign w:val="center"/>
          </w:tcPr>
          <w:p w14:paraId="47A1DB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0.30500</w:t>
            </w:r>
          </w:p>
        </w:tc>
        <w:tc>
          <w:tcPr>
            <w:tcW w:w="973" w:type="dxa"/>
            <w:tcBorders>
              <w:tl2br w:val="nil"/>
              <w:tr2bl w:val="nil"/>
            </w:tcBorders>
            <w:shd w:val="clear" w:color="auto" w:fill="auto"/>
            <w:noWrap/>
            <w:tcMar>
              <w:top w:w="15" w:type="dxa"/>
              <w:left w:w="15" w:type="dxa"/>
              <w:right w:w="15" w:type="dxa"/>
            </w:tcMar>
            <w:vAlign w:val="center"/>
          </w:tcPr>
          <w:p w14:paraId="1851E3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0.16000</w:t>
            </w:r>
          </w:p>
        </w:tc>
        <w:tc>
          <w:tcPr>
            <w:tcW w:w="973" w:type="dxa"/>
            <w:tcBorders>
              <w:tl2br w:val="nil"/>
              <w:tr2bl w:val="nil"/>
            </w:tcBorders>
            <w:shd w:val="clear" w:color="auto" w:fill="auto"/>
            <w:noWrap/>
            <w:tcMar>
              <w:top w:w="15" w:type="dxa"/>
              <w:left w:w="15" w:type="dxa"/>
              <w:right w:w="15" w:type="dxa"/>
            </w:tcMar>
            <w:vAlign w:val="center"/>
          </w:tcPr>
          <w:p w14:paraId="097589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0.40000</w:t>
            </w:r>
          </w:p>
        </w:tc>
        <w:tc>
          <w:tcPr>
            <w:tcW w:w="973" w:type="dxa"/>
            <w:tcBorders>
              <w:tl2br w:val="nil"/>
              <w:tr2bl w:val="nil"/>
            </w:tcBorders>
            <w:shd w:val="clear" w:color="auto" w:fill="auto"/>
            <w:noWrap/>
            <w:tcMar>
              <w:top w:w="15" w:type="dxa"/>
              <w:left w:w="15" w:type="dxa"/>
              <w:right w:w="15" w:type="dxa"/>
            </w:tcMar>
            <w:vAlign w:val="center"/>
          </w:tcPr>
          <w:p w14:paraId="54FEC8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0.02273</w:t>
            </w:r>
          </w:p>
        </w:tc>
        <w:tc>
          <w:tcPr>
            <w:tcW w:w="973" w:type="dxa"/>
            <w:tcBorders>
              <w:tl2br w:val="nil"/>
              <w:tr2bl w:val="nil"/>
            </w:tcBorders>
            <w:shd w:val="clear" w:color="auto" w:fill="auto"/>
            <w:noWrap/>
            <w:tcMar>
              <w:top w:w="15" w:type="dxa"/>
              <w:left w:w="15" w:type="dxa"/>
              <w:right w:w="15" w:type="dxa"/>
            </w:tcMar>
            <w:vAlign w:val="center"/>
          </w:tcPr>
          <w:p w14:paraId="579DF5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0.06000</w:t>
            </w:r>
          </w:p>
        </w:tc>
        <w:tc>
          <w:tcPr>
            <w:tcW w:w="973" w:type="dxa"/>
            <w:tcBorders>
              <w:tl2br w:val="nil"/>
              <w:tr2bl w:val="nil"/>
            </w:tcBorders>
            <w:shd w:val="clear" w:color="auto" w:fill="auto"/>
            <w:noWrap/>
            <w:tcMar>
              <w:top w:w="15" w:type="dxa"/>
              <w:left w:w="15" w:type="dxa"/>
              <w:right w:w="15" w:type="dxa"/>
            </w:tcMar>
            <w:vAlign w:val="center"/>
          </w:tcPr>
          <w:p w14:paraId="58A42E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0.05085</w:t>
            </w:r>
          </w:p>
        </w:tc>
        <w:tc>
          <w:tcPr>
            <w:tcW w:w="973" w:type="dxa"/>
            <w:tcBorders>
              <w:tl2br w:val="nil"/>
              <w:tr2bl w:val="nil"/>
            </w:tcBorders>
            <w:shd w:val="clear" w:color="auto" w:fill="auto"/>
            <w:noWrap/>
            <w:tcMar>
              <w:top w:w="15" w:type="dxa"/>
              <w:left w:w="15" w:type="dxa"/>
              <w:right w:w="15" w:type="dxa"/>
            </w:tcMar>
            <w:vAlign w:val="center"/>
          </w:tcPr>
          <w:p w14:paraId="18E013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0.00900</w:t>
            </w:r>
          </w:p>
        </w:tc>
      </w:tr>
      <w:tr w14:paraId="582E31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330" w:type="dxa"/>
            <w:tcBorders>
              <w:tl2br w:val="nil"/>
              <w:tr2bl w:val="nil"/>
            </w:tcBorders>
            <w:shd w:val="clear" w:color="auto" w:fill="auto"/>
            <w:noWrap/>
            <w:tcMar>
              <w:top w:w="15" w:type="dxa"/>
              <w:left w:w="15" w:type="dxa"/>
              <w:right w:w="15" w:type="dxa"/>
            </w:tcMar>
            <w:vAlign w:val="center"/>
          </w:tcPr>
          <w:p w14:paraId="46A2F7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70"/>
                <w:rFonts w:hint="default" w:ascii="Times New Roman" w:hAnsi="Times New Roman" w:eastAsia="宋体" w:cs="Times New Roman"/>
                <w:color w:val="auto"/>
                <w:sz w:val="21"/>
                <w:szCs w:val="21"/>
                <w:highlight w:val="none"/>
                <w:lang w:val="en-US" w:eastAsia="zh-CN" w:bidi="ar"/>
              </w:rPr>
              <w:t>P</w:t>
            </w:r>
            <w:r>
              <w:rPr>
                <w:rFonts w:hint="default" w:ascii="Times New Roman" w:hAnsi="Times New Roman" w:eastAsia="宋体" w:cs="Times New Roman"/>
                <w:i w:val="0"/>
                <w:color w:val="auto"/>
                <w:kern w:val="0"/>
                <w:sz w:val="21"/>
                <w:szCs w:val="21"/>
                <w:highlight w:val="none"/>
                <w:u w:val="none"/>
                <w:vertAlign w:val="subscript"/>
                <w:lang w:val="en-US" w:eastAsia="zh-CN" w:bidi="ar"/>
              </w:rPr>
              <w:t>N</w:t>
            </w:r>
          </w:p>
        </w:tc>
        <w:tc>
          <w:tcPr>
            <w:tcW w:w="1010" w:type="dxa"/>
            <w:tcBorders>
              <w:tl2br w:val="nil"/>
              <w:tr2bl w:val="nil"/>
            </w:tcBorders>
            <w:shd w:val="clear" w:color="auto" w:fill="auto"/>
            <w:noWrap/>
            <w:tcMar>
              <w:top w:w="15" w:type="dxa"/>
              <w:left w:w="15" w:type="dxa"/>
              <w:right w:w="15" w:type="dxa"/>
            </w:tcMar>
            <w:vAlign w:val="center"/>
          </w:tcPr>
          <w:p w14:paraId="7063C2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0.20037</w:t>
            </w:r>
          </w:p>
        </w:tc>
        <w:tc>
          <w:tcPr>
            <w:tcW w:w="972" w:type="dxa"/>
            <w:tcBorders>
              <w:tl2br w:val="nil"/>
              <w:tr2bl w:val="nil"/>
            </w:tcBorders>
            <w:shd w:val="clear" w:color="auto" w:fill="auto"/>
            <w:noWrap/>
            <w:tcMar>
              <w:top w:w="15" w:type="dxa"/>
              <w:left w:w="15" w:type="dxa"/>
              <w:right w:w="15" w:type="dxa"/>
            </w:tcMar>
            <w:vAlign w:val="center"/>
          </w:tcPr>
          <w:p w14:paraId="66359C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0.11742</w:t>
            </w:r>
          </w:p>
        </w:tc>
        <w:tc>
          <w:tcPr>
            <w:tcW w:w="972" w:type="dxa"/>
            <w:tcBorders>
              <w:tl2br w:val="nil"/>
              <w:tr2bl w:val="nil"/>
            </w:tcBorders>
            <w:shd w:val="clear" w:color="auto" w:fill="auto"/>
            <w:noWrap/>
            <w:tcMar>
              <w:top w:w="15" w:type="dxa"/>
              <w:left w:w="15" w:type="dxa"/>
              <w:right w:w="15" w:type="dxa"/>
            </w:tcMar>
            <w:vAlign w:val="center"/>
          </w:tcPr>
          <w:p w14:paraId="1967D6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0.03268</w:t>
            </w:r>
          </w:p>
        </w:tc>
        <w:tc>
          <w:tcPr>
            <w:tcW w:w="972" w:type="dxa"/>
            <w:tcBorders>
              <w:tl2br w:val="nil"/>
              <w:tr2bl w:val="nil"/>
            </w:tcBorders>
            <w:shd w:val="clear" w:color="auto" w:fill="auto"/>
            <w:noWrap/>
            <w:tcMar>
              <w:top w:w="15" w:type="dxa"/>
              <w:left w:w="15" w:type="dxa"/>
              <w:right w:w="15" w:type="dxa"/>
            </w:tcMar>
            <w:vAlign w:val="center"/>
          </w:tcPr>
          <w:p w14:paraId="118D90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0.44551</w:t>
            </w:r>
          </w:p>
        </w:tc>
        <w:tc>
          <w:tcPr>
            <w:tcW w:w="972" w:type="dxa"/>
            <w:tcBorders>
              <w:tl2br w:val="nil"/>
              <w:tr2bl w:val="nil"/>
            </w:tcBorders>
            <w:shd w:val="clear" w:color="auto" w:fill="auto"/>
            <w:noWrap/>
            <w:tcMar>
              <w:top w:w="15" w:type="dxa"/>
              <w:left w:w="15" w:type="dxa"/>
              <w:right w:w="15" w:type="dxa"/>
            </w:tcMar>
            <w:vAlign w:val="center"/>
          </w:tcPr>
          <w:p w14:paraId="10CB93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0.09453</w:t>
            </w:r>
          </w:p>
        </w:tc>
        <w:tc>
          <w:tcPr>
            <w:tcW w:w="973" w:type="dxa"/>
            <w:tcBorders>
              <w:tl2br w:val="nil"/>
              <w:tr2bl w:val="nil"/>
            </w:tcBorders>
            <w:shd w:val="clear" w:color="auto" w:fill="auto"/>
            <w:noWrap/>
            <w:tcMar>
              <w:top w:w="15" w:type="dxa"/>
              <w:left w:w="15" w:type="dxa"/>
              <w:right w:w="15" w:type="dxa"/>
            </w:tcMar>
            <w:vAlign w:val="center"/>
          </w:tcPr>
          <w:p w14:paraId="1AABCF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0.15597</w:t>
            </w:r>
          </w:p>
        </w:tc>
        <w:tc>
          <w:tcPr>
            <w:tcW w:w="973" w:type="dxa"/>
            <w:tcBorders>
              <w:tl2br w:val="nil"/>
              <w:tr2bl w:val="nil"/>
            </w:tcBorders>
            <w:shd w:val="clear" w:color="auto" w:fill="auto"/>
            <w:noWrap/>
            <w:tcMar>
              <w:top w:w="15" w:type="dxa"/>
              <w:left w:w="15" w:type="dxa"/>
              <w:right w:w="15" w:type="dxa"/>
            </w:tcMar>
            <w:vAlign w:val="center"/>
          </w:tcPr>
          <w:p w14:paraId="400B2E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0.20984</w:t>
            </w:r>
          </w:p>
        </w:tc>
        <w:tc>
          <w:tcPr>
            <w:tcW w:w="973" w:type="dxa"/>
            <w:tcBorders>
              <w:tl2br w:val="nil"/>
              <w:tr2bl w:val="nil"/>
            </w:tcBorders>
            <w:shd w:val="clear" w:color="auto" w:fill="auto"/>
            <w:noWrap/>
            <w:tcMar>
              <w:top w:w="15" w:type="dxa"/>
              <w:left w:w="15" w:type="dxa"/>
              <w:right w:w="15" w:type="dxa"/>
            </w:tcMar>
            <w:vAlign w:val="center"/>
          </w:tcPr>
          <w:p w14:paraId="131214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0.21762</w:t>
            </w:r>
          </w:p>
        </w:tc>
        <w:tc>
          <w:tcPr>
            <w:tcW w:w="973" w:type="dxa"/>
            <w:tcBorders>
              <w:tl2br w:val="nil"/>
              <w:tr2bl w:val="nil"/>
            </w:tcBorders>
            <w:shd w:val="clear" w:color="auto" w:fill="auto"/>
            <w:noWrap/>
            <w:tcMar>
              <w:top w:w="15" w:type="dxa"/>
              <w:left w:w="15" w:type="dxa"/>
              <w:right w:w="15" w:type="dxa"/>
            </w:tcMar>
            <w:vAlign w:val="center"/>
          </w:tcPr>
          <w:p w14:paraId="040EE4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0.16000</w:t>
            </w:r>
          </w:p>
        </w:tc>
        <w:tc>
          <w:tcPr>
            <w:tcW w:w="973" w:type="dxa"/>
            <w:tcBorders>
              <w:tl2br w:val="nil"/>
              <w:tr2bl w:val="nil"/>
            </w:tcBorders>
            <w:shd w:val="clear" w:color="auto" w:fill="auto"/>
            <w:noWrap/>
            <w:tcMar>
              <w:top w:w="15" w:type="dxa"/>
              <w:left w:w="15" w:type="dxa"/>
              <w:right w:w="15" w:type="dxa"/>
            </w:tcMar>
            <w:vAlign w:val="center"/>
          </w:tcPr>
          <w:p w14:paraId="6E0D8C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0.30980</w:t>
            </w:r>
          </w:p>
        </w:tc>
        <w:tc>
          <w:tcPr>
            <w:tcW w:w="973" w:type="dxa"/>
            <w:tcBorders>
              <w:tl2br w:val="nil"/>
              <w:tr2bl w:val="nil"/>
            </w:tcBorders>
            <w:shd w:val="clear" w:color="auto" w:fill="auto"/>
            <w:noWrap/>
            <w:tcMar>
              <w:top w:w="15" w:type="dxa"/>
              <w:left w:w="15" w:type="dxa"/>
              <w:right w:w="15" w:type="dxa"/>
            </w:tcMar>
            <w:vAlign w:val="center"/>
          </w:tcPr>
          <w:p w14:paraId="56CEBF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0.01657</w:t>
            </w:r>
          </w:p>
        </w:tc>
        <w:tc>
          <w:tcPr>
            <w:tcW w:w="973" w:type="dxa"/>
            <w:tcBorders>
              <w:tl2br w:val="nil"/>
              <w:tr2bl w:val="nil"/>
            </w:tcBorders>
            <w:shd w:val="clear" w:color="auto" w:fill="auto"/>
            <w:noWrap/>
            <w:tcMar>
              <w:top w:w="15" w:type="dxa"/>
              <w:left w:w="15" w:type="dxa"/>
              <w:right w:w="15" w:type="dxa"/>
            </w:tcMar>
            <w:vAlign w:val="center"/>
          </w:tcPr>
          <w:p w14:paraId="1D1823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0.04356</w:t>
            </w:r>
          </w:p>
        </w:tc>
        <w:tc>
          <w:tcPr>
            <w:tcW w:w="973" w:type="dxa"/>
            <w:tcBorders>
              <w:tl2br w:val="nil"/>
              <w:tr2bl w:val="nil"/>
            </w:tcBorders>
            <w:shd w:val="clear" w:color="auto" w:fill="auto"/>
            <w:noWrap/>
            <w:tcMar>
              <w:top w:w="15" w:type="dxa"/>
              <w:left w:w="15" w:type="dxa"/>
              <w:right w:w="15" w:type="dxa"/>
            </w:tcMar>
            <w:vAlign w:val="center"/>
          </w:tcPr>
          <w:p w14:paraId="267C19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0.03623</w:t>
            </w:r>
          </w:p>
        </w:tc>
        <w:tc>
          <w:tcPr>
            <w:tcW w:w="973" w:type="dxa"/>
            <w:tcBorders>
              <w:tl2br w:val="nil"/>
              <w:tr2bl w:val="nil"/>
            </w:tcBorders>
            <w:shd w:val="clear" w:color="auto" w:fill="auto"/>
            <w:noWrap/>
            <w:tcMar>
              <w:top w:w="15" w:type="dxa"/>
              <w:left w:w="15" w:type="dxa"/>
              <w:right w:w="15" w:type="dxa"/>
            </w:tcMar>
            <w:vAlign w:val="center"/>
          </w:tcPr>
          <w:p w14:paraId="044595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0.00900</w:t>
            </w:r>
          </w:p>
        </w:tc>
      </w:tr>
    </w:tbl>
    <w:p w14:paraId="6273010C">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eastAsia="宋体" w:cs="Times New Roman"/>
          <w:b w:val="0"/>
          <w:bCs w:val="0"/>
          <w:color w:val="auto"/>
          <w:highlight w:val="none"/>
          <w:lang w:val="en-US" w:eastAsia="zh-CN"/>
        </w:rPr>
        <w:sectPr>
          <w:pgSz w:w="16838" w:h="11905"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default" w:ascii="Times New Roman" w:hAnsi="Times New Roman" w:eastAsia="宋体" w:cs="Times New Roman"/>
          <w:b w:val="0"/>
          <w:bCs w:val="0"/>
          <w:color w:val="auto"/>
          <w:highlight w:val="none"/>
          <w:lang w:val="en-US" w:eastAsia="zh-CN"/>
        </w:rPr>
        <w:t>根据表</w:t>
      </w:r>
      <w:r>
        <w:rPr>
          <w:rFonts w:hint="default" w:ascii="Times New Roman" w:hAnsi="Times New Roman" w:cs="Times New Roman"/>
          <w:b w:val="0"/>
          <w:bCs w:val="0"/>
          <w:color w:val="auto"/>
          <w:highlight w:val="none"/>
          <w:lang w:val="en-US" w:eastAsia="zh-CN"/>
        </w:rPr>
        <w:t>5</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4</w:t>
      </w:r>
      <w:r>
        <w:rPr>
          <w:rFonts w:hint="default" w:ascii="Times New Roman" w:hAnsi="Times New Roman" w:eastAsia="宋体"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2</w:t>
      </w:r>
      <w:r>
        <w:rPr>
          <w:rFonts w:hint="default" w:ascii="Times New Roman" w:hAnsi="Times New Roman" w:eastAsia="宋体" w:cs="Times New Roman"/>
          <w:b w:val="0"/>
          <w:bCs w:val="0"/>
          <w:color w:val="auto"/>
          <w:highlight w:val="none"/>
          <w:lang w:val="en-US" w:eastAsia="zh-CN"/>
        </w:rPr>
        <w:t>中内容，该工业园区P</w:t>
      </w:r>
      <w:r>
        <w:rPr>
          <w:rFonts w:hint="default" w:ascii="Times New Roman" w:hAnsi="Times New Roman" w:eastAsia="宋体" w:cs="Times New Roman"/>
          <w:b w:val="0"/>
          <w:bCs w:val="0"/>
          <w:color w:val="auto"/>
          <w:highlight w:val="none"/>
          <w:vertAlign w:val="subscript"/>
          <w:lang w:val="en-US" w:eastAsia="zh-CN"/>
        </w:rPr>
        <w:t>N</w:t>
      </w:r>
      <w:r>
        <w:rPr>
          <w:rFonts w:hint="default" w:ascii="Times New Roman" w:hAnsi="Times New Roman" w:cs="Times New Roman"/>
          <w:b w:val="0"/>
          <w:bCs w:val="0"/>
          <w:color w:val="auto"/>
          <w:highlight w:val="none"/>
          <w:vertAlign w:val="subscript"/>
          <w:lang w:val="en-US" w:eastAsia="zh-CN"/>
        </w:rPr>
        <w:t>max</w:t>
      </w:r>
      <w:r>
        <w:rPr>
          <w:rFonts w:hint="default" w:ascii="Times New Roman" w:hAnsi="Times New Roman" w:cs="Times New Roman"/>
          <w:b w:val="0"/>
          <w:bCs w:val="0"/>
          <w:color w:val="auto"/>
          <w:highlight w:val="none"/>
          <w:lang w:val="en-US" w:eastAsia="zh-CN"/>
        </w:rPr>
        <w:t>=0.4455＜0.7</w:t>
      </w:r>
      <w:r>
        <w:rPr>
          <w:rFonts w:hint="default" w:ascii="Times New Roman" w:hAnsi="Times New Roman" w:eastAsia="宋体" w:cs="Times New Roman"/>
          <w:b w:val="0"/>
          <w:bCs w:val="0"/>
          <w:color w:val="auto"/>
          <w:highlight w:val="none"/>
          <w:lang w:val="en-US" w:eastAsia="zh-CN"/>
        </w:rPr>
        <w:t>，依据表</w:t>
      </w:r>
      <w:r>
        <w:rPr>
          <w:rFonts w:hint="default" w:ascii="Times New Roman" w:hAnsi="Times New Roman" w:cs="Times New Roman"/>
          <w:b w:val="0"/>
          <w:bCs w:val="0"/>
          <w:color w:val="auto"/>
          <w:highlight w:val="none"/>
          <w:lang w:val="en-US" w:eastAsia="zh-CN"/>
        </w:rPr>
        <w:t>5-2-2</w:t>
      </w:r>
      <w:r>
        <w:rPr>
          <w:rFonts w:hint="default" w:ascii="Times New Roman" w:hAnsi="Times New Roman" w:eastAsia="宋体" w:cs="Times New Roman"/>
          <w:b w:val="0"/>
          <w:bCs w:val="0"/>
          <w:color w:val="auto"/>
          <w:highlight w:val="none"/>
          <w:lang w:val="en-US" w:eastAsia="zh-CN"/>
        </w:rPr>
        <w:t>内梅罗污染指数评价标准，该</w:t>
      </w:r>
      <w:r>
        <w:rPr>
          <w:rFonts w:hint="eastAsia" w:cs="Times New Roman"/>
          <w:b w:val="0"/>
          <w:bCs w:val="0"/>
          <w:color w:val="auto"/>
          <w:highlight w:val="none"/>
          <w:lang w:val="en-US" w:eastAsia="zh-CN"/>
        </w:rPr>
        <w:t>工业</w:t>
      </w:r>
      <w:r>
        <w:rPr>
          <w:rFonts w:hint="default" w:ascii="Times New Roman" w:hAnsi="Times New Roman" w:eastAsia="宋体" w:cs="Times New Roman"/>
          <w:b w:val="0"/>
          <w:bCs w:val="0"/>
          <w:color w:val="auto"/>
          <w:highlight w:val="none"/>
          <w:lang w:val="en-US" w:eastAsia="zh-CN"/>
        </w:rPr>
        <w:t>园区</w:t>
      </w:r>
      <w:r>
        <w:rPr>
          <w:rFonts w:hint="eastAsia" w:cs="Times New Roman"/>
          <w:b w:val="0"/>
          <w:bCs w:val="0"/>
          <w:color w:val="auto"/>
          <w:highlight w:val="none"/>
          <w:lang w:val="en-US" w:eastAsia="zh-CN"/>
        </w:rPr>
        <w:t>及周边</w:t>
      </w:r>
      <w:r>
        <w:rPr>
          <w:rFonts w:hint="default" w:ascii="Times New Roman" w:hAnsi="Times New Roman" w:cs="Times New Roman"/>
          <w:b w:val="0"/>
          <w:bCs w:val="0"/>
          <w:color w:val="auto"/>
          <w:highlight w:val="none"/>
          <w:lang w:val="en-US" w:eastAsia="zh-CN"/>
        </w:rPr>
        <w:t>土壤质量现状</w:t>
      </w:r>
      <w:r>
        <w:rPr>
          <w:rFonts w:hint="default" w:ascii="Times New Roman" w:hAnsi="Times New Roman" w:eastAsia="宋体" w:cs="Times New Roman"/>
          <w:b w:val="0"/>
          <w:bCs w:val="0"/>
          <w:color w:val="auto"/>
          <w:highlight w:val="none"/>
          <w:lang w:val="en-US" w:eastAsia="zh-CN"/>
        </w:rPr>
        <w:t>可判定为I级清洁（安全）。</w:t>
      </w:r>
    </w:p>
    <w:p w14:paraId="17BC5571">
      <w:pPr>
        <w:pStyle w:val="4"/>
        <w:tabs>
          <w:tab w:val="left" w:leader="dot" w:pos="0"/>
          <w:tab w:val="clear" w:pos="425"/>
        </w:tabs>
        <w:rPr>
          <w:rFonts w:hint="default" w:ascii="Times New Roman" w:hAnsi="Times New Roman" w:cs="Times New Roman"/>
          <w:color w:val="auto"/>
          <w:highlight w:val="none"/>
        </w:rPr>
      </w:pPr>
      <w:bookmarkStart w:id="74" w:name="_Toc24255"/>
      <w:bookmarkStart w:id="75" w:name="_Toc17729"/>
      <w:r>
        <w:rPr>
          <w:rFonts w:hint="default" w:ascii="Times New Roman" w:hAnsi="Times New Roman" w:cs="Times New Roman"/>
          <w:color w:val="auto"/>
          <w:highlight w:val="none"/>
        </w:rPr>
        <w:t>检测结果小结</w:t>
      </w:r>
      <w:bookmarkEnd w:id="72"/>
      <w:bookmarkEnd w:id="74"/>
      <w:bookmarkEnd w:id="75"/>
    </w:p>
    <w:p w14:paraId="6875227B">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土壤检测结果小结</w:t>
      </w:r>
    </w:p>
    <w:p w14:paraId="586CF952">
      <w:pPr>
        <w:numPr>
          <w:ilvl w:val="0"/>
          <w:numId w:val="13"/>
        </w:numPr>
        <w:spacing w:line="360" w:lineRule="auto"/>
        <w:ind w:firstLine="420" w:firstLineChars="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共布设</w:t>
      </w:r>
      <w:r>
        <w:rPr>
          <w:rFonts w:hint="default" w:ascii="Times New Roman" w:hAnsi="Times New Roman" w:cs="Times New Roman"/>
          <w:color w:val="auto"/>
          <w:sz w:val="24"/>
          <w:highlight w:val="none"/>
          <w:lang w:val="en-US" w:eastAsia="zh-CN"/>
        </w:rPr>
        <w:t>16</w:t>
      </w:r>
      <w:r>
        <w:rPr>
          <w:rFonts w:hint="default" w:ascii="Times New Roman" w:hAnsi="Times New Roman" w:cs="Times New Roman"/>
          <w:color w:val="auto"/>
          <w:sz w:val="24"/>
          <w:highlight w:val="none"/>
        </w:rPr>
        <w:t>个土壤</w:t>
      </w:r>
      <w:r>
        <w:rPr>
          <w:rFonts w:hint="default" w:ascii="Times New Roman" w:hAnsi="Times New Roman" w:cs="Times New Roman"/>
          <w:color w:val="auto"/>
          <w:sz w:val="24"/>
          <w:highlight w:val="none"/>
          <w:lang w:eastAsia="zh-CN"/>
        </w:rPr>
        <w:t>点位，采集</w:t>
      </w:r>
      <w:r>
        <w:rPr>
          <w:rFonts w:hint="eastAsia" w:cs="Times New Roman"/>
          <w:color w:val="auto"/>
          <w:sz w:val="24"/>
          <w:highlight w:val="none"/>
          <w:lang w:val="en-US" w:eastAsia="zh-CN"/>
        </w:rPr>
        <w:t>16个土壤样品（不含质控样品）</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共检测</w:t>
      </w:r>
      <w:r>
        <w:rPr>
          <w:rFonts w:hint="default" w:ascii="Times New Roman" w:hAnsi="Times New Roman" w:cs="Times New Roman"/>
          <w:color w:val="auto"/>
          <w:sz w:val="24"/>
          <w:highlight w:val="none"/>
          <w:lang w:val="en-US" w:eastAsia="zh-CN"/>
        </w:rPr>
        <w:t>61</w:t>
      </w:r>
      <w:r>
        <w:rPr>
          <w:rFonts w:hint="default" w:ascii="Times New Roman" w:hAnsi="Times New Roman" w:cs="Times New Roman"/>
          <w:color w:val="auto"/>
          <w:sz w:val="24"/>
          <w:highlight w:val="none"/>
        </w:rPr>
        <w:t>项测试项目，其中</w:t>
      </w:r>
      <w:r>
        <w:rPr>
          <w:rFonts w:hint="default" w:ascii="Times New Roman" w:hAnsi="Times New Roman" w:cs="Times New Roman"/>
          <w:color w:val="auto"/>
          <w:sz w:val="24"/>
          <w:highlight w:val="none"/>
          <w:lang w:val="en-US" w:eastAsia="zh-CN"/>
        </w:rPr>
        <w:t>12</w:t>
      </w:r>
      <w:r>
        <w:rPr>
          <w:rFonts w:hint="default" w:ascii="Times New Roman" w:hAnsi="Times New Roman" w:cs="Times New Roman"/>
          <w:color w:val="auto"/>
          <w:sz w:val="24"/>
          <w:highlight w:val="none"/>
        </w:rPr>
        <w:t>项重金属测试项目除</w:t>
      </w:r>
      <w:r>
        <w:rPr>
          <w:rFonts w:hint="default" w:ascii="Times New Roman" w:hAnsi="Times New Roman" w:cs="Times New Roman"/>
          <w:color w:val="auto"/>
          <w:sz w:val="24"/>
          <w:highlight w:val="none"/>
          <w:lang w:eastAsia="zh-CN"/>
        </w:rPr>
        <w:t>铬（六价）</w:t>
      </w:r>
      <w:r>
        <w:rPr>
          <w:rFonts w:hint="default" w:ascii="Times New Roman" w:hAnsi="Times New Roman" w:cs="Times New Roman"/>
          <w:color w:val="auto"/>
          <w:sz w:val="24"/>
          <w:highlight w:val="none"/>
        </w:rPr>
        <w:t>外均有检出</w:t>
      </w:r>
      <w:r>
        <w:rPr>
          <w:rFonts w:hint="default" w:ascii="Times New Roman" w:hAnsi="Times New Roman" w:cs="Times New Roman"/>
          <w:color w:val="auto"/>
          <w:sz w:val="24"/>
          <w:highlight w:val="none"/>
          <w:lang w:eastAsia="zh-CN"/>
        </w:rPr>
        <w:t>，</w:t>
      </w:r>
      <w:r>
        <w:rPr>
          <w:rFonts w:hint="default" w:ascii="Times New Roman" w:hAnsi="Times New Roman" w:cs="Times New Roman"/>
          <w:lang w:eastAsia="zh-CN"/>
        </w:rPr>
        <w:t>除</w:t>
      </w:r>
      <w:r>
        <w:rPr>
          <w:rFonts w:hint="default" w:ascii="Times New Roman" w:hAnsi="Times New Roman" w:cs="Times New Roman"/>
          <w:lang w:val="en-US" w:eastAsia="zh-CN"/>
        </w:rPr>
        <w:t>SJG-JJ-8、SJG-JJ-9部分多环芳烃类半挥发性有机物指标有检出，其它</w:t>
      </w:r>
      <w:r>
        <w:rPr>
          <w:rFonts w:hint="default" w:ascii="Times New Roman" w:hAnsi="Times New Roman" w:cs="Times New Roman"/>
        </w:rPr>
        <w:t>所有</w:t>
      </w:r>
      <w:r>
        <w:rPr>
          <w:rFonts w:hint="default" w:ascii="Times New Roman" w:hAnsi="Times New Roman" w:cs="Times New Roman"/>
          <w:highlight w:val="none"/>
        </w:rPr>
        <w:t>土壤样品</w:t>
      </w:r>
      <w:r>
        <w:rPr>
          <w:rFonts w:hint="default" w:ascii="Times New Roman" w:hAnsi="Times New Roman" w:cs="Times New Roman"/>
        </w:rPr>
        <w:t>的挥发性有机物和半挥发性有机物均未检出</w:t>
      </w:r>
      <w:r>
        <w:rPr>
          <w:rFonts w:hint="default" w:ascii="Times New Roman" w:hAnsi="Times New Roman" w:cs="Times New Roman"/>
          <w:lang w:eastAsia="zh-CN"/>
        </w:rPr>
        <w:t>；</w:t>
      </w:r>
      <w:r>
        <w:rPr>
          <w:rFonts w:hint="default" w:ascii="Times New Roman" w:hAnsi="Times New Roman" w:cs="Times New Roman"/>
          <w:color w:val="auto"/>
          <w:sz w:val="24"/>
          <w:highlight w:val="none"/>
          <w:lang w:eastAsia="zh-CN"/>
        </w:rPr>
        <w:t>总氟化物、</w:t>
      </w:r>
      <w:r>
        <w:rPr>
          <w:rFonts w:hint="default" w:ascii="Times New Roman" w:hAnsi="Times New Roman" w:cs="Times New Roman"/>
          <w:color w:val="auto"/>
          <w:highlight w:val="none"/>
          <w:lang w:val="en-US" w:eastAsia="zh-CN"/>
        </w:rPr>
        <w:t>二噁英</w:t>
      </w:r>
      <w:r>
        <w:rPr>
          <w:rFonts w:hint="default" w:ascii="Times New Roman" w:hAnsi="Times New Roman" w:cs="Times New Roman"/>
          <w:color w:val="auto"/>
          <w:sz w:val="24"/>
          <w:highlight w:val="none"/>
          <w:lang w:eastAsia="zh-CN"/>
        </w:rPr>
        <w:t>均有检出</w:t>
      </w:r>
      <w:r>
        <w:rPr>
          <w:rFonts w:hint="default" w:ascii="Times New Roman" w:hAnsi="Times New Roman" w:cs="Times New Roman"/>
          <w:color w:val="auto"/>
          <w:sz w:val="24"/>
          <w:highlight w:val="none"/>
        </w:rPr>
        <w:t>。</w:t>
      </w:r>
    </w:p>
    <w:p w14:paraId="78985998">
      <w:pPr>
        <w:numPr>
          <w:ilvl w:val="0"/>
          <w:numId w:val="13"/>
        </w:numPr>
        <w:spacing w:line="360" w:lineRule="auto"/>
        <w:ind w:firstLine="420" w:firstLineChars="0"/>
        <w:rPr>
          <w:rFonts w:hint="default" w:ascii="Times New Roman" w:hAnsi="Times New Roman" w:cs="Times New Roman"/>
          <w:color w:val="auto"/>
          <w:sz w:val="24"/>
          <w:highlight w:val="none"/>
          <w:lang w:val="en-US" w:eastAsia="zh-CN"/>
        </w:rPr>
      </w:pPr>
      <w:r>
        <w:rPr>
          <w:rFonts w:hint="eastAsia" w:cs="Times New Roman"/>
          <w:highlight w:val="none"/>
          <w:lang w:val="en-US" w:eastAsia="zh-CN"/>
        </w:rPr>
        <w:t>除</w:t>
      </w:r>
      <w:r>
        <w:rPr>
          <w:rFonts w:hint="default" w:ascii="Times New Roman" w:hAnsi="Times New Roman" w:cs="Times New Roman"/>
          <w:color w:val="auto"/>
          <w:sz w:val="24"/>
          <w:highlight w:val="none"/>
          <w:lang w:val="en-US" w:eastAsia="zh-CN"/>
        </w:rPr>
        <w:t>土壤采样点位SJG-JJ-8</w:t>
      </w:r>
      <w:r>
        <w:rPr>
          <w:rFonts w:hint="eastAsia" w:cs="Times New Roman"/>
          <w:color w:val="auto"/>
          <w:sz w:val="24"/>
          <w:highlight w:val="none"/>
          <w:lang w:val="en-US" w:eastAsia="zh-CN"/>
        </w:rPr>
        <w:t>的</w:t>
      </w:r>
      <w:r>
        <w:rPr>
          <w:rFonts w:hint="default" w:ascii="Times New Roman" w:hAnsi="Times New Roman" w:cs="Times New Roman"/>
          <w:color w:val="auto"/>
          <w:sz w:val="24"/>
          <w:highlight w:val="none"/>
          <w:lang w:val="en-US" w:eastAsia="zh-CN"/>
        </w:rPr>
        <w:t>苯并（a）芘</w:t>
      </w:r>
      <w:r>
        <w:rPr>
          <w:rFonts w:hint="eastAsia" w:cs="Times New Roman"/>
          <w:color w:val="auto"/>
          <w:sz w:val="24"/>
          <w:highlight w:val="none"/>
          <w:lang w:val="en-US" w:eastAsia="zh-CN"/>
        </w:rPr>
        <w:t>外，</w:t>
      </w:r>
      <w:r>
        <w:rPr>
          <w:rFonts w:hint="default" w:ascii="Times New Roman" w:hAnsi="Times New Roman" w:cs="Times New Roman"/>
          <w:highlight w:val="none"/>
          <w:lang w:val="en-US" w:eastAsia="zh-CN"/>
        </w:rPr>
        <w:t>其他</w:t>
      </w:r>
      <w:r>
        <w:rPr>
          <w:rFonts w:hint="eastAsia" w:cs="Times New Roman"/>
          <w:highlight w:val="none"/>
          <w:lang w:val="en-US" w:eastAsia="zh-CN"/>
        </w:rPr>
        <w:t>各点位各检测</w:t>
      </w:r>
      <w:r>
        <w:rPr>
          <w:rFonts w:hint="default" w:ascii="Times New Roman" w:hAnsi="Times New Roman" w:cs="Times New Roman"/>
          <w:highlight w:val="none"/>
          <w:lang w:val="en-US" w:eastAsia="zh-CN"/>
        </w:rPr>
        <w:t>指标均满足</w:t>
      </w:r>
      <w:r>
        <w:rPr>
          <w:rFonts w:hint="default" w:ascii="Times New Roman" w:hAnsi="Times New Roman" w:cs="Times New Roman"/>
          <w:color w:val="auto"/>
          <w:sz w:val="24"/>
          <w:highlight w:val="none"/>
        </w:rPr>
        <w:t>《土壤环境质量 建设用地土壤污染风险管控标准（试行）》（GB36600-2018）</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《土壤环境质量 农用地土壤污染风险管控标准（试行）》（GB1561</w:t>
      </w:r>
      <w:r>
        <w:rPr>
          <w:rFonts w:hint="default" w:ascii="Times New Roman" w:hAnsi="Times New Roman" w:cs="Times New Roman"/>
          <w:color w:val="auto"/>
          <w:highlight w:val="none"/>
          <w:lang w:val="en-US" w:eastAsia="zh-CN"/>
        </w:rPr>
        <w:t>-2018</w:t>
      </w:r>
      <w:r>
        <w:rPr>
          <w:rFonts w:hint="default" w:ascii="Times New Roman" w:hAnsi="Times New Roman" w:cs="Times New Roman"/>
          <w:color w:val="auto"/>
          <w:highlight w:val="none"/>
          <w:lang w:eastAsia="zh-CN"/>
        </w:rPr>
        <w:t>）、《建设用地土壤污染风险筛选值和管制值》（DB4403_T 67-2020）（深圳）</w:t>
      </w:r>
      <w:r>
        <w:rPr>
          <w:rFonts w:hint="eastAsia" w:cs="Times New Roman"/>
          <w:color w:val="auto"/>
          <w:highlight w:val="none"/>
          <w:lang w:eastAsia="zh-CN"/>
        </w:rPr>
        <w:t>、</w:t>
      </w:r>
      <w:r>
        <w:rPr>
          <w:rFonts w:hint="default" w:ascii="Times New Roman" w:hAnsi="Times New Roman" w:cs="Times New Roman"/>
          <w:color w:val="000000"/>
          <w:kern w:val="0"/>
          <w:highlight w:val="none"/>
        </w:rPr>
        <w:t>《建设用地土壤污染风险筛选值（DB13_T 5216-2020）</w:t>
      </w:r>
      <w:r>
        <w:rPr>
          <w:rFonts w:hint="eastAsia" w:cs="Times New Roman"/>
          <w:color w:val="000000"/>
          <w:kern w:val="0"/>
          <w:highlight w:val="none"/>
          <w:lang w:eastAsia="zh-CN"/>
        </w:rPr>
        <w:t>（</w:t>
      </w:r>
      <w:r>
        <w:rPr>
          <w:rFonts w:hint="eastAsia" w:cs="Times New Roman"/>
          <w:color w:val="000000"/>
          <w:kern w:val="0"/>
          <w:highlight w:val="none"/>
          <w:lang w:val="en-US" w:eastAsia="zh-CN"/>
        </w:rPr>
        <w:t>河北</w:t>
      </w:r>
      <w:r>
        <w:rPr>
          <w:rFonts w:hint="eastAsia" w:cs="Times New Roman"/>
          <w:color w:val="000000"/>
          <w:kern w:val="0"/>
          <w:highlight w:val="none"/>
          <w:lang w:eastAsia="zh-CN"/>
        </w:rPr>
        <w:t>）</w:t>
      </w:r>
      <w:r>
        <w:rPr>
          <w:rFonts w:hint="default" w:ascii="Times New Roman" w:hAnsi="Times New Roman" w:cs="Times New Roman"/>
          <w:color w:val="000000"/>
          <w:kern w:val="0"/>
          <w:highlight w:val="none"/>
        </w:rPr>
        <w:t>》</w:t>
      </w:r>
      <w:r>
        <w:rPr>
          <w:rFonts w:hint="default" w:ascii="Times New Roman" w:hAnsi="Times New Roman" w:cs="Times New Roman"/>
          <w:color w:val="auto"/>
          <w:highlight w:val="none"/>
          <w:lang w:eastAsia="zh-CN"/>
        </w:rPr>
        <w:t>中相应用地类型筛选值的</w:t>
      </w:r>
      <w:r>
        <w:rPr>
          <w:rFonts w:hint="default" w:ascii="Times New Roman" w:hAnsi="Times New Roman" w:cs="Times New Roman"/>
          <w:color w:val="auto"/>
          <w:sz w:val="24"/>
          <w:highlight w:val="none"/>
        </w:rPr>
        <w:t>要求</w:t>
      </w:r>
      <w:r>
        <w:rPr>
          <w:rFonts w:hint="default" w:ascii="Times New Roman" w:hAnsi="Times New Roman" w:cs="Times New Roman"/>
          <w:color w:val="auto"/>
          <w:highlight w:val="none"/>
          <w:lang w:val="en-US" w:eastAsia="zh-CN"/>
        </w:rPr>
        <w:t>。</w:t>
      </w:r>
    </w:p>
    <w:p w14:paraId="668CE40B">
      <w:pPr>
        <w:numPr>
          <w:ilvl w:val="0"/>
          <w:numId w:val="13"/>
        </w:numPr>
        <w:spacing w:line="360" w:lineRule="auto"/>
        <w:ind w:firstLine="420" w:firstLineChars="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SJG-JJ-8污染物指标苯并（a）芘</w:t>
      </w:r>
      <w:r>
        <w:rPr>
          <w:rFonts w:hint="default" w:ascii="Times New Roman" w:hAnsi="Times New Roman" w:cs="Times New Roman"/>
          <w:highlight w:val="none"/>
          <w:lang w:val="en-US" w:eastAsia="zh-CN"/>
        </w:rPr>
        <w:t>高于《土壤环境质量建设用地土壤污染风险管控标准（试行）》（GB36600-2018）第二类建设用地筛选值且未超过第二类用地管制值</w:t>
      </w:r>
      <w:r>
        <w:rPr>
          <w:rFonts w:hint="eastAsia" w:cs="Times New Roman"/>
          <w:highlight w:val="none"/>
          <w:lang w:val="en-US" w:eastAsia="zh-CN"/>
        </w:rPr>
        <w:t>。</w:t>
      </w:r>
    </w:p>
    <w:p w14:paraId="3344BE71">
      <w:pPr>
        <w:numPr>
          <w:ilvl w:val="0"/>
          <w:numId w:val="13"/>
        </w:numPr>
        <w:spacing w:line="360" w:lineRule="auto"/>
        <w:ind w:firstLine="420" w:firstLineChars="0"/>
        <w:rPr>
          <w:rFonts w:hint="default" w:ascii="Times New Roman" w:hAnsi="Times New Roman" w:cs="Times New Roman"/>
          <w:color w:val="auto"/>
          <w:highlight w:val="none"/>
          <w:lang w:val="en-US" w:eastAsia="zh-CN"/>
        </w:rPr>
      </w:pPr>
      <w:r>
        <w:rPr>
          <w:rFonts w:hint="eastAsia"/>
          <w:lang w:val="en-US" w:eastAsia="zh-CN"/>
        </w:rPr>
        <w:t>参考</w:t>
      </w:r>
      <w:r>
        <w:rPr>
          <w:rFonts w:hint="default" w:ascii="Times New Roman" w:hAnsi="Times New Roman" w:cs="Times New Roman"/>
          <w:highlight w:val="none"/>
        </w:rPr>
        <w:t>《上海市建设用地土壤污染状况调查、风险评估、风险管控与修复方案编制、风险管控与修复效果评估工作的补充规定（试行）》</w:t>
      </w:r>
      <w:r>
        <w:rPr>
          <w:rFonts w:hint="default" w:ascii="Times New Roman" w:hAnsi="Times New Roman" w:cs="Times New Roman"/>
          <w:highlight w:val="none"/>
          <w:lang w:eastAsia="zh-CN"/>
        </w:rPr>
        <w:t>（沪环土（</w:t>
      </w:r>
      <w:r>
        <w:rPr>
          <w:rFonts w:hint="default" w:ascii="Times New Roman" w:hAnsi="Times New Roman" w:cs="Times New Roman"/>
          <w:highlight w:val="none"/>
          <w:lang w:val="en-US" w:eastAsia="zh-CN"/>
        </w:rPr>
        <w:t>2020</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62号</w:t>
      </w:r>
      <w:r>
        <w:rPr>
          <w:rFonts w:hint="default" w:ascii="Times New Roman" w:hAnsi="Times New Roman" w:cs="Times New Roman"/>
          <w:highlight w:val="none"/>
          <w:lang w:eastAsia="zh-CN"/>
        </w:rPr>
        <w:t>），</w:t>
      </w:r>
      <w:r>
        <w:rPr>
          <w:rFonts w:hint="default" w:ascii="Times New Roman" w:hAnsi="Times New Roman" w:cs="Times New Roman"/>
          <w:color w:val="auto"/>
          <w:highlight w:val="none"/>
          <w:lang w:val="en-US" w:eastAsia="zh-CN"/>
        </w:rPr>
        <w:t xml:space="preserve"> 在</w:t>
      </w:r>
      <w:r>
        <w:rPr>
          <w:rFonts w:hint="default" w:ascii="Times New Roman" w:hAnsi="Times New Roman" w:cs="Times New Roman"/>
          <w:color w:val="auto"/>
          <w:sz w:val="24"/>
          <w:highlight w:val="none"/>
          <w:lang w:val="en-US" w:eastAsia="zh-CN"/>
        </w:rPr>
        <w:t>SJG-JJ-8周边</w:t>
      </w:r>
      <w:r>
        <w:rPr>
          <w:rFonts w:hint="default" w:ascii="Times New Roman" w:hAnsi="Times New Roman" w:cs="Times New Roman"/>
          <w:lang w:eastAsia="zh-CN"/>
        </w:rPr>
        <w:t>补充布设</w:t>
      </w:r>
      <w:r>
        <w:rPr>
          <w:rFonts w:hint="default" w:ascii="Times New Roman" w:hAnsi="Times New Roman" w:cs="Times New Roman"/>
          <w:lang w:val="en-US" w:eastAsia="zh-CN"/>
        </w:rPr>
        <w:t>5个土壤点位，采集10个土壤样品、</w:t>
      </w:r>
      <w:r>
        <w:rPr>
          <w:rFonts w:hint="default" w:ascii="Times New Roman" w:hAnsi="Times New Roman" w:cs="Times New Roman"/>
          <w:color w:val="auto"/>
          <w:sz w:val="24"/>
          <w:highlight w:val="none"/>
          <w:lang w:val="en-US" w:eastAsia="zh-CN"/>
        </w:rPr>
        <w:t>1个现场平行盲样和1个运输空白样</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对苯并（a）芘进行检测。检测结果均为未检出；</w:t>
      </w:r>
      <w:r>
        <w:rPr>
          <w:rFonts w:hint="default" w:ascii="Times New Roman" w:hAnsi="Times New Roman" w:cs="Times New Roman"/>
          <w:highlight w:val="none"/>
          <w:lang w:val="en-US" w:eastAsia="zh-CN"/>
        </w:rPr>
        <w:t>因此，可以判断</w:t>
      </w:r>
      <w:r>
        <w:rPr>
          <w:rFonts w:hint="default" w:ascii="Times New Roman" w:hAnsi="Times New Roman" w:eastAsia="宋体" w:cs="Times New Roman"/>
          <w:sz w:val="24"/>
          <w:szCs w:val="24"/>
          <w:highlight w:val="none"/>
          <w:lang w:val="en-US" w:eastAsia="zh-CN"/>
        </w:rPr>
        <w:t>SJG-JJ-8</w:t>
      </w:r>
      <w:r>
        <w:rPr>
          <w:rFonts w:hint="default" w:ascii="Times New Roman" w:hAnsi="Times New Roman" w:cs="Times New Roman"/>
          <w:sz w:val="24"/>
          <w:szCs w:val="24"/>
          <w:highlight w:val="none"/>
          <w:lang w:val="en-US" w:eastAsia="zh-CN"/>
        </w:rPr>
        <w:t>点位</w:t>
      </w:r>
      <w:r>
        <w:rPr>
          <w:rFonts w:hint="default" w:ascii="Times New Roman" w:hAnsi="Times New Roman" w:cs="Times New Roman"/>
          <w:highlight w:val="none"/>
          <w:lang w:val="en-US" w:eastAsia="zh-CN"/>
        </w:rPr>
        <w:t>苯并(a)芘超标属于异常情况，不具代表性。</w:t>
      </w:r>
    </w:p>
    <w:p w14:paraId="56A8E99D">
      <w:pPr>
        <w:numPr>
          <w:ilvl w:val="0"/>
          <w:numId w:val="13"/>
        </w:numPr>
        <w:spacing w:line="360" w:lineRule="auto"/>
        <w:ind w:firstLine="420" w:firstLineChars="0"/>
        <w:rPr>
          <w:rFonts w:hint="default" w:ascii="Times New Roman" w:hAnsi="Times New Roman" w:eastAsia="宋体" w:cs="Times New Roman"/>
          <w:lang w:val="en-US" w:eastAsia="zh-CN"/>
        </w:rPr>
      </w:pPr>
      <w:r>
        <w:rPr>
          <w:rFonts w:hint="default" w:ascii="Times New Roman" w:hAnsi="Times New Roman" w:cs="Times New Roman"/>
          <w:color w:val="auto"/>
          <w:highlight w:val="none"/>
          <w:lang w:val="en-US" w:eastAsia="zh-CN"/>
        </w:rPr>
        <w:t>各土壤样品的单项污染指数Pimax=0.600＜1，可以判断工业园区及周边的所有点位各因子的单项污染指数对应的污染程度均为无污染。</w:t>
      </w:r>
    </w:p>
    <w:p w14:paraId="55235316">
      <w:pPr>
        <w:numPr>
          <w:ilvl w:val="0"/>
          <w:numId w:val="13"/>
        </w:numPr>
        <w:spacing w:line="360" w:lineRule="auto"/>
        <w:ind w:firstLine="420" w:firstLineChars="0"/>
        <w:rPr>
          <w:rFonts w:hint="default" w:ascii="Times New Roman" w:hAnsi="Times New Roman" w:eastAsia="宋体" w:cs="Times New Roman"/>
          <w:lang w:val="en-US" w:eastAsia="zh-CN"/>
        </w:rPr>
      </w:pPr>
      <w:r>
        <w:rPr>
          <w:rFonts w:hint="default" w:ascii="Times New Roman" w:hAnsi="Times New Roman" w:cs="Times New Roman"/>
          <w:color w:val="auto"/>
          <w:highlight w:val="none"/>
          <w:lang w:val="en-US" w:eastAsia="zh-CN"/>
        </w:rPr>
        <w:t>工业园区及周边各因子内梅罗污染指数</w:t>
      </w:r>
      <w:r>
        <w:rPr>
          <w:rFonts w:hint="default" w:ascii="Times New Roman" w:hAnsi="Times New Roman" w:eastAsia="宋体" w:cs="Times New Roman"/>
          <w:b w:val="0"/>
          <w:bCs w:val="0"/>
          <w:color w:val="auto"/>
          <w:highlight w:val="none"/>
          <w:lang w:val="en-US" w:eastAsia="zh-CN"/>
        </w:rPr>
        <w:t>P</w:t>
      </w:r>
      <w:r>
        <w:rPr>
          <w:rFonts w:hint="default" w:ascii="Times New Roman" w:hAnsi="Times New Roman" w:eastAsia="宋体" w:cs="Times New Roman"/>
          <w:b w:val="0"/>
          <w:bCs w:val="0"/>
          <w:color w:val="auto"/>
          <w:highlight w:val="none"/>
          <w:vertAlign w:val="subscript"/>
          <w:lang w:val="en-US" w:eastAsia="zh-CN"/>
        </w:rPr>
        <w:t>N</w:t>
      </w:r>
      <w:r>
        <w:rPr>
          <w:rFonts w:hint="default" w:ascii="Times New Roman" w:hAnsi="Times New Roman" w:cs="Times New Roman"/>
          <w:b w:val="0"/>
          <w:bCs w:val="0"/>
          <w:color w:val="auto"/>
          <w:highlight w:val="none"/>
          <w:vertAlign w:val="subscript"/>
          <w:lang w:val="en-US" w:eastAsia="zh-CN"/>
        </w:rPr>
        <w:t>max</w:t>
      </w:r>
      <w:r>
        <w:rPr>
          <w:rFonts w:hint="default" w:ascii="Times New Roman" w:hAnsi="Times New Roman" w:cs="Times New Roman"/>
          <w:b w:val="0"/>
          <w:bCs w:val="0"/>
          <w:color w:val="auto"/>
          <w:highlight w:val="none"/>
          <w:lang w:val="en-US" w:eastAsia="zh-CN"/>
        </w:rPr>
        <w:t>=0.4455＜0.7，可以判断本</w:t>
      </w:r>
      <w:r>
        <w:rPr>
          <w:rFonts w:hint="eastAsia" w:cs="Times New Roman"/>
          <w:b w:val="0"/>
          <w:bCs w:val="0"/>
          <w:color w:val="auto"/>
          <w:highlight w:val="none"/>
          <w:lang w:val="en-US" w:eastAsia="zh-CN"/>
        </w:rPr>
        <w:t>工业园区及周边</w:t>
      </w:r>
      <w:r>
        <w:rPr>
          <w:rFonts w:hint="default" w:ascii="Times New Roman" w:hAnsi="Times New Roman" w:cs="Times New Roman"/>
          <w:b w:val="0"/>
          <w:bCs w:val="0"/>
          <w:color w:val="auto"/>
          <w:highlight w:val="none"/>
          <w:lang w:val="en-US" w:eastAsia="zh-CN"/>
        </w:rPr>
        <w:t>的所有因子的</w:t>
      </w:r>
      <w:r>
        <w:rPr>
          <w:rFonts w:hint="default" w:ascii="Times New Roman" w:hAnsi="Times New Roman" w:cs="Times New Roman"/>
          <w:color w:val="auto"/>
          <w:highlight w:val="none"/>
          <w:lang w:val="en-US" w:eastAsia="zh-CN"/>
        </w:rPr>
        <w:t>内梅罗污染指数对应的污染等级均为</w:t>
      </w:r>
      <w:r>
        <w:rPr>
          <w:rFonts w:hint="default" w:ascii="Times New Roman" w:hAnsi="Times New Roman" w:eastAsia="宋体" w:cs="Times New Roman"/>
          <w:b w:val="0"/>
          <w:bCs w:val="0"/>
          <w:color w:val="auto"/>
          <w:highlight w:val="none"/>
          <w:lang w:val="en-US" w:eastAsia="zh-CN"/>
        </w:rPr>
        <w:t>I级清洁（安全）</w:t>
      </w:r>
      <w:r>
        <w:rPr>
          <w:rFonts w:hint="default" w:ascii="Times New Roman" w:hAnsi="Times New Roman" w:cs="Times New Roman"/>
          <w:b w:val="0"/>
          <w:bCs w:val="0"/>
          <w:color w:val="auto"/>
          <w:highlight w:val="none"/>
          <w:lang w:val="en-US" w:eastAsia="zh-CN"/>
        </w:rPr>
        <w:t>。</w:t>
      </w:r>
    </w:p>
    <w:p w14:paraId="4C4CA9F0">
      <w:pPr>
        <w:pStyle w:val="5"/>
        <w:tabs>
          <w:tab w:val="left" w:pos="425"/>
        </w:tabs>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地下水检测结果小结</w:t>
      </w:r>
    </w:p>
    <w:p w14:paraId="5E7E70C3">
      <w:pPr>
        <w:numPr>
          <w:ilvl w:val="0"/>
          <w:numId w:val="0"/>
        </w:numPr>
        <w:spacing w:line="360" w:lineRule="auto"/>
        <w:ind w:firstLine="420" w:firstLineChars="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本</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调查</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w:t>
      </w:r>
      <w:r>
        <w:rPr>
          <w:rFonts w:hint="default" w:ascii="Times New Roman" w:hAnsi="Times New Roman" w:cs="Times New Roman"/>
          <w:color w:val="auto"/>
          <w:sz w:val="24"/>
          <w:highlight w:val="none"/>
          <w:lang w:eastAsia="zh-CN"/>
        </w:rPr>
        <w:t>地下水</w:t>
      </w:r>
      <w:r>
        <w:rPr>
          <w:rFonts w:hint="default" w:ascii="Times New Roman" w:hAnsi="Times New Roman" w:cs="Times New Roman"/>
          <w:color w:val="auto"/>
          <w:sz w:val="24"/>
          <w:highlight w:val="none"/>
        </w:rPr>
        <w:t>样品（</w:t>
      </w:r>
      <w:r>
        <w:rPr>
          <w:rFonts w:hint="default" w:ascii="Times New Roman" w:hAnsi="Times New Roman" w:cs="Times New Roman"/>
          <w:color w:val="auto"/>
          <w:sz w:val="24"/>
          <w:highlight w:val="none"/>
          <w:lang w:eastAsia="zh-CN"/>
        </w:rPr>
        <w:t>不</w:t>
      </w:r>
      <w:r>
        <w:rPr>
          <w:rFonts w:hint="default" w:ascii="Times New Roman" w:hAnsi="Times New Roman" w:cs="Times New Roman"/>
          <w:color w:val="auto"/>
          <w:sz w:val="24"/>
          <w:highlight w:val="none"/>
        </w:rPr>
        <w:t>含平行盲样），共检测</w:t>
      </w:r>
      <w:r>
        <w:rPr>
          <w:rFonts w:hint="default"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rPr>
        <w:t>项测试项目</w:t>
      </w:r>
      <w:r>
        <w:rPr>
          <w:rFonts w:hint="default" w:ascii="Times New Roman" w:hAnsi="Times New Roman" w:cs="Times New Roman"/>
          <w:color w:val="auto"/>
          <w:sz w:val="24"/>
          <w:highlight w:val="none"/>
          <w:lang w:eastAsia="zh-CN"/>
        </w:rPr>
        <w:t>包括</w:t>
      </w:r>
      <w:r>
        <w:rPr>
          <w:rFonts w:hint="default" w:ascii="Times New Roman" w:hAnsi="Times New Roman" w:cs="Times New Roman"/>
          <w:color w:val="auto"/>
          <w:sz w:val="24"/>
          <w:highlight w:val="none"/>
        </w:rPr>
        <w:t>无机项目</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14项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、金属类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13项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、有机物类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5项</w:t>
      </w:r>
      <w:r>
        <w:rPr>
          <w:rFonts w:hint="default" w:ascii="Times New Roman" w:hAnsi="Times New Roman" w:cs="Times New Roman"/>
          <w:color w:val="auto"/>
          <w:sz w:val="24"/>
          <w:highlight w:val="none"/>
          <w:lang w:eastAsia="zh-CN"/>
        </w:rPr>
        <w:t>），共检出</w:t>
      </w:r>
      <w:r>
        <w:rPr>
          <w:rFonts w:hint="default" w:ascii="Times New Roman" w:hAnsi="Times New Roman" w:cs="Times New Roman"/>
          <w:color w:val="auto"/>
          <w:sz w:val="24"/>
          <w:highlight w:val="none"/>
          <w:lang w:val="en-US" w:eastAsia="zh-CN"/>
        </w:rPr>
        <w:t>17项污染物指标</w:t>
      </w:r>
      <w:r>
        <w:rPr>
          <w:rFonts w:hint="default" w:ascii="Times New Roman" w:hAnsi="Times New Roman" w:cs="Times New Roman"/>
          <w:color w:val="auto"/>
          <w:sz w:val="24"/>
          <w:highlight w:val="none"/>
        </w:rPr>
        <w:t>。</w:t>
      </w:r>
    </w:p>
    <w:p w14:paraId="055AD128">
      <w:pPr>
        <w:numPr>
          <w:ilvl w:val="0"/>
          <w:numId w:val="0"/>
        </w:numPr>
        <w:spacing w:line="360" w:lineRule="auto"/>
        <w:ind w:firstLine="420" w:firstLineChars="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各点位已检出污染物（</w:t>
      </w:r>
      <w:r>
        <w:rPr>
          <w:rFonts w:hint="default" w:ascii="Times New Roman" w:hAnsi="Times New Roman" w:cs="Times New Roman"/>
          <w:color w:val="auto"/>
          <w:highlight w:val="none"/>
          <w:lang w:eastAsia="zh-CN"/>
        </w:rPr>
        <w:t>总硬度、溶解性总固体、耗氧量、硫酸盐、硝酸盐、氯化物、总氟化物、阴离子表面活性剂、氨氮、亚硝酸盐氮、锰、钠、锌、砷、铅、石油类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均满足</w:t>
      </w:r>
      <w:r>
        <w:rPr>
          <w:rFonts w:hint="default" w:ascii="Times New Roman" w:hAnsi="Times New Roman" w:cs="Times New Roman"/>
          <w:color w:val="auto"/>
          <w:sz w:val="24"/>
          <w:highlight w:val="none"/>
        </w:rPr>
        <w:t>《地下水质量标准》（</w:t>
      </w:r>
      <w:r>
        <w:rPr>
          <w:rFonts w:hint="default" w:ascii="Times New Roman" w:hAnsi="Times New Roman" w:cs="Times New Roman"/>
          <w:color w:val="auto"/>
          <w:sz w:val="24"/>
          <w:highlight w:val="none"/>
          <w:lang w:val="en-US" w:eastAsia="zh-CN"/>
        </w:rPr>
        <w:t>G</w:t>
      </w:r>
      <w:r>
        <w:rPr>
          <w:rFonts w:hint="default" w:ascii="Times New Roman" w:hAnsi="Times New Roman" w:cs="Times New Roman"/>
          <w:color w:val="auto"/>
          <w:sz w:val="24"/>
          <w:highlight w:val="none"/>
        </w:rPr>
        <w:t>B/T 14848-2017）中</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类标准限值</w:t>
      </w:r>
      <w:r>
        <w:rPr>
          <w:rFonts w:hint="default" w:ascii="Times New Roman" w:hAnsi="Times New Roman" w:cs="Times New Roman"/>
          <w:color w:val="auto"/>
          <w:sz w:val="24"/>
          <w:highlight w:val="none"/>
          <w:lang w:eastAsia="zh-CN"/>
        </w:rPr>
        <w:t>或</w:t>
      </w:r>
      <w:r>
        <w:rPr>
          <w:rFonts w:hint="default" w:ascii="Times New Roman" w:hAnsi="Times New Roman" w:cs="Times New Roman"/>
          <w:color w:val="auto"/>
          <w:sz w:val="24"/>
          <w:highlight w:val="none"/>
        </w:rPr>
        <w:t>《地表水环境质量标准》</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GB3838-2002</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w:t>
      </w:r>
      <w:r>
        <w:rPr>
          <w:rFonts w:hint="default" w:ascii="Times New Roman" w:hAnsi="Times New Roman" w:cs="Times New Roman"/>
          <w:color w:val="auto"/>
          <w:highlight w:val="none"/>
          <w:lang w:eastAsia="zh-CN"/>
        </w:rPr>
        <w:t>要求。</w:t>
      </w:r>
    </w:p>
    <w:p w14:paraId="21C81441">
      <w:pPr>
        <w:pStyle w:val="5"/>
        <w:tabs>
          <w:tab w:val="clear" w:pos="851"/>
        </w:tabs>
        <w:rPr>
          <w:rFonts w:hint="default" w:ascii="Times New Roman" w:hAnsi="Times New Roman" w:cs="Times New Roman"/>
          <w:color w:val="auto"/>
          <w:highlight w:val="none"/>
        </w:rPr>
      </w:pPr>
      <w:r>
        <w:rPr>
          <w:rFonts w:hint="default" w:ascii="Times New Roman" w:hAnsi="Times New Roman" w:cs="Times New Roman"/>
          <w:color w:val="auto"/>
          <w:highlight w:val="none"/>
        </w:rPr>
        <w:t>不确定性分析</w:t>
      </w:r>
    </w:p>
    <w:p w14:paraId="320F39A4">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调查报告是基于实际调查情况，以土壤污染状况调查导则、标准等相关文件为理论依据，以目前所掌握的调查资料、调查范围、调查点位实际监测数据为基础，结合专业的判断进行的逻辑推论与结果分析成果，但不排除存在如下不确定情况：</w:t>
      </w:r>
    </w:p>
    <w:p w14:paraId="79ADEA9A">
      <w:pPr>
        <w:ind w:firstLine="482"/>
        <w:rPr>
          <w:rFonts w:hint="default" w:ascii="Times New Roman" w:hAnsi="Times New Roman" w:cs="Times New Roman"/>
          <w:highlight w:val="none"/>
        </w:rPr>
      </w:pPr>
      <w:r>
        <w:rPr>
          <w:rFonts w:hint="default" w:ascii="Times New Roman" w:hAnsi="Times New Roman" w:cs="Times New Roman"/>
          <w:highlight w:val="none"/>
        </w:rPr>
        <w:t>本次调查范围园区内企业众多，尚不能完全一一搜集到各个企业相关资料、档案文件，且园区历史沿革悠久，历史上存续过或现状存续的企业的识别可能会存在遗漏，因此，园区特征污染物的识别可能与实际情况有所差别</w:t>
      </w:r>
      <w:r>
        <w:rPr>
          <w:rFonts w:hint="default" w:ascii="Times New Roman" w:hAnsi="Times New Roman" w:cs="Times New Roman"/>
          <w:highlight w:val="none"/>
          <w:lang w:eastAsia="zh-CN"/>
        </w:rPr>
        <w:t>。</w:t>
      </w:r>
      <w:r>
        <w:rPr>
          <w:rFonts w:hint="default" w:ascii="Times New Roman" w:hAnsi="Times New Roman" w:cs="Times New Roman"/>
          <w:highlight w:val="none"/>
        </w:rPr>
        <w:t>但本次特征污染物的识别原则主要依据园区规划产业定位确定，并根据</w:t>
      </w:r>
      <w:r>
        <w:rPr>
          <w:rFonts w:hint="default" w:ascii="Times New Roman" w:hAnsi="Times New Roman" w:cs="Times New Roman"/>
          <w:color w:val="000000" w:themeColor="text1"/>
          <w:highlight w:val="none"/>
          <w14:textFill>
            <w14:solidFill>
              <w14:schemeClr w14:val="tx1"/>
            </w14:solidFill>
          </w14:textFill>
        </w:rPr>
        <w:t>重点行</w:t>
      </w:r>
      <w:r>
        <w:rPr>
          <w:rFonts w:hint="default" w:ascii="Times New Roman" w:hAnsi="Times New Roman" w:cs="Times New Roman"/>
          <w:highlight w:val="none"/>
        </w:rPr>
        <w:t>业企业用地调查信息管理系统、全国排污许可证管理信息平台公开端补充典型企业污染因子</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因此，</w:t>
      </w:r>
      <w:r>
        <w:rPr>
          <w:rFonts w:hint="default" w:ascii="Times New Roman" w:hAnsi="Times New Roman" w:cs="Times New Roman"/>
          <w:highlight w:val="none"/>
        </w:rPr>
        <w:t>识别出的因子能够涵盖</w:t>
      </w:r>
      <w:r>
        <w:rPr>
          <w:rFonts w:hint="default" w:ascii="Times New Roman" w:hAnsi="Times New Roman" w:cs="Times New Roman"/>
          <w:highlight w:val="none"/>
          <w:lang w:val="en-US" w:eastAsia="zh-CN"/>
        </w:rPr>
        <w:t>园区内可能涉及的主要土壤污染因子</w:t>
      </w:r>
      <w:r>
        <w:rPr>
          <w:rFonts w:hint="default" w:ascii="Times New Roman" w:hAnsi="Times New Roman" w:cs="Times New Roman"/>
          <w:highlight w:val="none"/>
        </w:rPr>
        <w:t>及存在土壤环境潜在污染风险企业的特征因子，特征污染物的设定可以满足本次调查目的的要求。</w:t>
      </w:r>
    </w:p>
    <w:p w14:paraId="24235BE0">
      <w:pPr>
        <w:spacing w:line="360" w:lineRule="auto"/>
        <w:ind w:firstLine="482"/>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highlight w:val="none"/>
          <w:lang w:eastAsia="zh-CN"/>
        </w:rPr>
        <w:t>在采样方案设计阶段，由于园区周边点位</w:t>
      </w:r>
      <w:r>
        <w:rPr>
          <w:rFonts w:hint="default" w:ascii="Times New Roman" w:hAnsi="Times New Roman" w:cs="Times New Roman"/>
          <w:color w:val="auto"/>
          <w:highlight w:val="none"/>
          <w:lang w:val="en-US" w:eastAsia="zh-CN"/>
        </w:rPr>
        <w:t>SJG-1距边界400m断面点位位于山坡上，地势较高，且不具备人员设备进入条件，故仅布设SJG-1-75、SJG-1-200两个断面点位。根据监测结果，SJG--1-75、SJG-1-200最近企业的特征污染因子监测值均远低于标准值</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因此，点位的布设满足了本次调查目的的要求。</w:t>
      </w:r>
    </w:p>
    <w:p w14:paraId="78A565B5">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综上所述，本报告是基于现阶段的实际情况进行的分析，如果调查后由于人为及自然等因素的影响导致</w:t>
      </w:r>
      <w:r>
        <w:rPr>
          <w:rFonts w:hint="default" w:ascii="Times New Roman" w:hAnsi="Times New Roman" w:cs="Times New Roman"/>
          <w:color w:val="auto"/>
          <w:sz w:val="24"/>
          <w:highlight w:val="none"/>
          <w:lang w:eastAsia="zh-CN"/>
        </w:rPr>
        <w:t>采样点位附近状况</w:t>
      </w:r>
      <w:r>
        <w:rPr>
          <w:rFonts w:hint="default" w:ascii="Times New Roman" w:hAnsi="Times New Roman" w:cs="Times New Roman"/>
          <w:color w:val="auto"/>
          <w:sz w:val="24"/>
          <w:highlight w:val="none"/>
        </w:rPr>
        <w:t xml:space="preserve">有改变，可能会改变污染物的种类、浓度和分布情况等，进而对本报告的准确性和有效性造成影响。 </w:t>
      </w:r>
    </w:p>
    <w:p w14:paraId="3FC419D6">
      <w:pPr>
        <w:pStyle w:val="2"/>
        <w:rPr>
          <w:rFonts w:hint="default" w:ascii="Times New Roman" w:hAnsi="Times New Roman" w:cs="Times New Roman"/>
          <w:color w:val="auto"/>
          <w:highlight w:val="none"/>
          <w:lang w:eastAsia="zh-CN"/>
        </w:rPr>
        <w:sectPr>
          <w:headerReference r:id="rId22"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p>
    <w:p w14:paraId="7C442D26">
      <w:pPr>
        <w:pStyle w:val="3"/>
        <w:numPr>
          <w:ilvl w:val="0"/>
          <w:numId w:val="1"/>
        </w:numPr>
        <w:tabs>
          <w:tab w:val="clear" w:pos="425"/>
        </w:tabs>
        <w:rPr>
          <w:rFonts w:hint="default" w:ascii="Times New Roman" w:hAnsi="Times New Roman" w:cs="Times New Roman"/>
          <w:color w:val="auto"/>
          <w:highlight w:val="none"/>
        </w:rPr>
      </w:pPr>
      <w:bookmarkStart w:id="76" w:name="_Toc28052"/>
      <w:bookmarkStart w:id="77" w:name="_Toc56693201"/>
      <w:bookmarkStart w:id="78" w:name="_Toc46849320"/>
      <w:bookmarkStart w:id="79" w:name="_Toc23956"/>
      <w:r>
        <w:rPr>
          <w:rFonts w:hint="default" w:ascii="Times New Roman" w:hAnsi="Times New Roman" w:cs="Times New Roman"/>
          <w:color w:val="auto"/>
          <w:highlight w:val="none"/>
        </w:rPr>
        <w:t>结论与建议</w:t>
      </w:r>
      <w:bookmarkEnd w:id="76"/>
      <w:bookmarkEnd w:id="77"/>
      <w:bookmarkEnd w:id="78"/>
      <w:bookmarkEnd w:id="79"/>
    </w:p>
    <w:p w14:paraId="2C0CA246">
      <w:pPr>
        <w:pStyle w:val="4"/>
        <w:tabs>
          <w:tab w:val="left" w:leader="dot" w:pos="0"/>
          <w:tab w:val="clear" w:pos="425"/>
        </w:tabs>
        <w:rPr>
          <w:rFonts w:hint="default" w:ascii="Times New Roman" w:hAnsi="Times New Roman" w:cs="Times New Roman"/>
          <w:color w:val="auto"/>
          <w:highlight w:val="none"/>
        </w:rPr>
      </w:pPr>
      <w:bookmarkStart w:id="80" w:name="_Toc46849321"/>
      <w:bookmarkStart w:id="81" w:name="_Toc30052"/>
      <w:bookmarkStart w:id="82" w:name="_Toc30200"/>
      <w:bookmarkStart w:id="83" w:name="_Toc56693202"/>
      <w:r>
        <w:rPr>
          <w:rFonts w:hint="default" w:ascii="Times New Roman" w:hAnsi="Times New Roman" w:cs="Times New Roman"/>
          <w:color w:val="auto"/>
          <w:highlight w:val="none"/>
        </w:rPr>
        <w:t>调查结论</w:t>
      </w:r>
      <w:bookmarkEnd w:id="80"/>
      <w:bookmarkEnd w:id="81"/>
      <w:bookmarkEnd w:id="82"/>
      <w:bookmarkEnd w:id="83"/>
    </w:p>
    <w:p w14:paraId="25D60579">
      <w:pPr>
        <w:spacing w:line="360" w:lineRule="auto"/>
        <w:ind w:firstLine="482"/>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本次调查</w:t>
      </w:r>
      <w:r>
        <w:rPr>
          <w:rFonts w:hint="default" w:ascii="Times New Roman" w:hAnsi="Times New Roman" w:cs="Times New Roman"/>
          <w:color w:val="auto"/>
          <w:sz w:val="24"/>
          <w:highlight w:val="none"/>
          <w:lang w:eastAsia="zh-CN"/>
        </w:rPr>
        <w:t>共布设</w:t>
      </w:r>
      <w:r>
        <w:rPr>
          <w:rFonts w:hint="eastAsia" w:cs="Times New Roman"/>
          <w:color w:val="auto"/>
          <w:sz w:val="24"/>
          <w:highlight w:val="none"/>
          <w:lang w:val="en-US" w:eastAsia="zh-CN"/>
        </w:rPr>
        <w:t>16</w:t>
      </w:r>
      <w:r>
        <w:rPr>
          <w:rFonts w:hint="default" w:ascii="Times New Roman" w:hAnsi="Times New Roman" w:cs="Times New Roman"/>
          <w:color w:val="auto"/>
          <w:sz w:val="24"/>
          <w:highlight w:val="none"/>
        </w:rPr>
        <w:t>个土壤</w:t>
      </w:r>
      <w:r>
        <w:rPr>
          <w:rFonts w:hint="default" w:ascii="Times New Roman" w:hAnsi="Times New Roman" w:cs="Times New Roman"/>
          <w:color w:val="auto"/>
          <w:sz w:val="24"/>
          <w:highlight w:val="none"/>
          <w:lang w:eastAsia="zh-CN"/>
        </w:rPr>
        <w:t>点位，采集</w:t>
      </w:r>
      <w:r>
        <w:rPr>
          <w:rFonts w:hint="eastAsia" w:cs="Times New Roman"/>
          <w:color w:val="auto"/>
          <w:sz w:val="24"/>
          <w:highlight w:val="none"/>
          <w:lang w:val="en-US" w:eastAsia="zh-CN"/>
        </w:rPr>
        <w:t>16</w:t>
      </w:r>
      <w:r>
        <w:rPr>
          <w:rFonts w:hint="default" w:ascii="Times New Roman" w:hAnsi="Times New Roman" w:cs="Times New Roman"/>
          <w:color w:val="auto"/>
          <w:sz w:val="24"/>
          <w:highlight w:val="none"/>
          <w:lang w:val="en-US" w:eastAsia="zh-CN"/>
        </w:rPr>
        <w:t>个土壤</w:t>
      </w:r>
      <w:r>
        <w:rPr>
          <w:rFonts w:hint="default" w:ascii="Times New Roman" w:hAnsi="Times New Roman" w:cs="Times New Roman"/>
          <w:color w:val="auto"/>
          <w:sz w:val="24"/>
          <w:highlight w:val="none"/>
        </w:rPr>
        <w:t>样品</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个现场平行盲样和</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个运输空白样</w:t>
      </w:r>
      <w:r>
        <w:rPr>
          <w:rFonts w:hint="default" w:ascii="Times New Roman" w:hAnsi="Times New Roman" w:cs="Times New Roman"/>
          <w:color w:val="auto"/>
          <w:kern w:val="0"/>
          <w:sz w:val="24"/>
          <w:highlight w:val="none"/>
        </w:rPr>
        <w:t>，测试项目包括pH、重金属、挥发性有机物、半挥发性有机物、石油烃</w:t>
      </w:r>
      <w:r>
        <w:rPr>
          <w:rFonts w:hint="default" w:ascii="Times New Roman" w:hAnsi="Times New Roman" w:cs="Times New Roman"/>
          <w:color w:val="auto"/>
          <w:kern w:val="0"/>
          <w:sz w:val="24"/>
          <w:highlight w:val="none"/>
          <w:lang w:eastAsia="zh-CN"/>
        </w:rPr>
        <w:t>、二噁英</w:t>
      </w:r>
      <w:r>
        <w:rPr>
          <w:rFonts w:hint="default" w:ascii="Times New Roman" w:hAnsi="Times New Roman" w:cs="Times New Roman"/>
          <w:color w:val="auto"/>
          <w:kern w:val="0"/>
          <w:sz w:val="24"/>
          <w:highlight w:val="none"/>
        </w:rPr>
        <w:t>等</w:t>
      </w:r>
      <w:r>
        <w:rPr>
          <w:rFonts w:hint="default" w:ascii="Times New Roman" w:hAnsi="Times New Roman" w:cs="Times New Roman"/>
          <w:color w:val="auto"/>
          <w:kern w:val="0"/>
          <w:sz w:val="24"/>
          <w:highlight w:val="none"/>
          <w:lang w:val="en-US" w:eastAsia="zh-CN"/>
        </w:rPr>
        <w:t>61</w:t>
      </w:r>
      <w:r>
        <w:rPr>
          <w:rFonts w:hint="default" w:ascii="Times New Roman" w:hAnsi="Times New Roman" w:cs="Times New Roman"/>
          <w:color w:val="auto"/>
          <w:kern w:val="0"/>
          <w:sz w:val="24"/>
          <w:highlight w:val="none"/>
        </w:rPr>
        <w:t>项；</w:t>
      </w:r>
      <w:r>
        <w:rPr>
          <w:rFonts w:hint="eastAsia" w:cs="Times New Roman"/>
          <w:color w:val="auto"/>
          <w:kern w:val="0"/>
          <w:sz w:val="24"/>
          <w:highlight w:val="none"/>
          <w:lang w:val="en-US" w:eastAsia="zh-CN"/>
        </w:rPr>
        <w:t>补充采样阶段共布设5个土壤点位，采集10个土壤样品</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个现场平行盲样和</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个运输空白样</w:t>
      </w:r>
      <w:r>
        <w:rPr>
          <w:rFonts w:hint="eastAsia" w:cs="Times New Roman"/>
          <w:color w:val="auto"/>
          <w:sz w:val="24"/>
          <w:highlight w:val="none"/>
          <w:lang w:val="en-US" w:eastAsia="zh-CN"/>
        </w:rPr>
        <w:t>，测试项目为苯并(a)芘；</w:t>
      </w:r>
      <w:r>
        <w:rPr>
          <w:rFonts w:hint="default" w:ascii="Times New Roman" w:hAnsi="Times New Roman" w:cs="Times New Roman"/>
          <w:color w:val="auto"/>
          <w:kern w:val="0"/>
          <w:sz w:val="24"/>
          <w:highlight w:val="none"/>
        </w:rPr>
        <w:t>共布设</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个地下水监测点位，送检</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个地下水样品，测试项目包括无机项目、金属类、有机类等</w:t>
      </w:r>
      <w:r>
        <w:rPr>
          <w:rFonts w:hint="default" w:ascii="Times New Roman" w:hAnsi="Times New Roman" w:cs="Times New Roman"/>
          <w:color w:val="auto"/>
          <w:kern w:val="0"/>
          <w:sz w:val="24"/>
          <w:highlight w:val="none"/>
          <w:lang w:val="en-US" w:eastAsia="zh-CN"/>
        </w:rPr>
        <w:t>32</w:t>
      </w:r>
      <w:r>
        <w:rPr>
          <w:rFonts w:hint="default" w:ascii="Times New Roman" w:hAnsi="Times New Roman" w:cs="Times New Roman"/>
          <w:color w:val="auto"/>
          <w:kern w:val="0"/>
          <w:sz w:val="24"/>
          <w:highlight w:val="none"/>
        </w:rPr>
        <w:t>项。调查结论如下：</w:t>
      </w:r>
    </w:p>
    <w:p w14:paraId="7C9B33FB">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土壤pH</w:t>
      </w:r>
      <w:r>
        <w:rPr>
          <w:rFonts w:hint="default" w:ascii="Times New Roman" w:hAnsi="Times New Roman" w:cs="Times New Roman"/>
          <w:color w:val="auto"/>
          <w:sz w:val="24"/>
          <w:highlight w:val="none"/>
          <w:lang w:val="en-US" w:eastAsia="zh-CN"/>
        </w:rPr>
        <w:t>区间为5.38~8.55</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rPr>
        <w:t>所有送检土壤样品中</w:t>
      </w:r>
      <w:r>
        <w:rPr>
          <w:rFonts w:hint="eastAsia" w:cs="Times New Roman"/>
          <w:color w:val="auto"/>
          <w:sz w:val="24"/>
          <w:highlight w:val="none"/>
          <w:lang w:val="en-US" w:eastAsia="zh-CN"/>
        </w:rPr>
        <w:t>除SJG-JJ-8苯并(a)芘超标外，其余</w:t>
      </w:r>
      <w:r>
        <w:rPr>
          <w:rFonts w:hint="default" w:ascii="Times New Roman" w:hAnsi="Times New Roman" w:cs="Times New Roman"/>
          <w:color w:val="auto"/>
          <w:sz w:val="24"/>
          <w:highlight w:val="none"/>
        </w:rPr>
        <w:t>重金属、挥发性有机物、半挥发性有机物、石油烃</w:t>
      </w:r>
      <w:r>
        <w:rPr>
          <w:rFonts w:hint="default" w:ascii="Times New Roman" w:hAnsi="Times New Roman" w:cs="Times New Roman"/>
          <w:color w:val="auto"/>
          <w:kern w:val="0"/>
          <w:sz w:val="24"/>
          <w:highlight w:val="none"/>
          <w:lang w:eastAsia="zh-CN"/>
        </w:rPr>
        <w:t>、二噁英</w:t>
      </w:r>
      <w:r>
        <w:rPr>
          <w:rFonts w:hint="default" w:ascii="Times New Roman" w:hAnsi="Times New Roman" w:cs="Times New Roman"/>
          <w:color w:val="auto"/>
          <w:kern w:val="0"/>
          <w:sz w:val="24"/>
          <w:highlight w:val="none"/>
        </w:rPr>
        <w:t>等</w:t>
      </w:r>
      <w:r>
        <w:rPr>
          <w:rFonts w:hint="default" w:ascii="Times New Roman" w:hAnsi="Times New Roman" w:cs="Times New Roman"/>
          <w:color w:val="auto"/>
          <w:sz w:val="24"/>
          <w:highlight w:val="none"/>
        </w:rPr>
        <w:t>检测值均可满足《土壤环境质量 建设用地土壤污染风险管控标准（试行）》（GB36600-2018）</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《土壤环境质量 农用地土壤污染风险管控标准（试行）》（GB1561</w:t>
      </w:r>
      <w:r>
        <w:rPr>
          <w:rFonts w:hint="default" w:ascii="Times New Roman" w:hAnsi="Times New Roman" w:cs="Times New Roman"/>
          <w:color w:val="auto"/>
          <w:highlight w:val="none"/>
          <w:lang w:val="en-US" w:eastAsia="zh-CN"/>
        </w:rPr>
        <w:t>-2018</w:t>
      </w:r>
      <w:r>
        <w:rPr>
          <w:rFonts w:hint="default" w:ascii="Times New Roman" w:hAnsi="Times New Roman" w:cs="Times New Roman"/>
          <w:color w:val="auto"/>
          <w:highlight w:val="none"/>
          <w:lang w:eastAsia="zh-CN"/>
        </w:rPr>
        <w:t>）、《建设用地土壤污染风险筛选值和管制值》（DB4403_T 67-2020）（深圳）</w:t>
      </w:r>
      <w:r>
        <w:rPr>
          <w:rFonts w:hint="eastAsia" w:cs="Times New Roman"/>
          <w:color w:val="auto"/>
          <w:highlight w:val="none"/>
          <w:lang w:eastAsia="zh-CN"/>
        </w:rPr>
        <w:t>、</w:t>
      </w:r>
      <w:r>
        <w:rPr>
          <w:rFonts w:hint="default" w:ascii="Times New Roman" w:hAnsi="Times New Roman" w:cs="Times New Roman"/>
          <w:color w:val="000000"/>
          <w:kern w:val="0"/>
          <w:highlight w:val="none"/>
        </w:rPr>
        <w:t>《建设用地土壤污染风险筛选值（DB13_T 5216-2020）</w:t>
      </w:r>
      <w:r>
        <w:rPr>
          <w:rFonts w:hint="eastAsia" w:cs="Times New Roman"/>
          <w:color w:val="000000"/>
          <w:kern w:val="0"/>
          <w:highlight w:val="none"/>
          <w:lang w:eastAsia="zh-CN"/>
        </w:rPr>
        <w:t>（</w:t>
      </w:r>
      <w:r>
        <w:rPr>
          <w:rFonts w:hint="eastAsia" w:cs="Times New Roman"/>
          <w:color w:val="000000"/>
          <w:kern w:val="0"/>
          <w:highlight w:val="none"/>
          <w:lang w:val="en-US" w:eastAsia="zh-CN"/>
        </w:rPr>
        <w:t>河北</w:t>
      </w:r>
      <w:r>
        <w:rPr>
          <w:rFonts w:hint="eastAsia" w:cs="Times New Roman"/>
          <w:color w:val="000000"/>
          <w:kern w:val="0"/>
          <w:highlight w:val="none"/>
          <w:lang w:eastAsia="zh-CN"/>
        </w:rPr>
        <w:t>）</w:t>
      </w:r>
      <w:r>
        <w:rPr>
          <w:rFonts w:hint="default" w:ascii="Times New Roman" w:hAnsi="Times New Roman" w:cs="Times New Roman"/>
          <w:color w:val="000000"/>
          <w:kern w:val="0"/>
          <w:highlight w:val="none"/>
        </w:rPr>
        <w:t>》</w:t>
      </w:r>
      <w:r>
        <w:rPr>
          <w:rFonts w:hint="default" w:ascii="Times New Roman" w:hAnsi="Times New Roman" w:cs="Times New Roman"/>
          <w:color w:val="auto"/>
          <w:highlight w:val="none"/>
          <w:lang w:eastAsia="zh-CN"/>
        </w:rPr>
        <w:t>中相应用地类型筛选值的</w:t>
      </w:r>
      <w:r>
        <w:rPr>
          <w:rFonts w:hint="default" w:ascii="Times New Roman" w:hAnsi="Times New Roman" w:cs="Times New Roman"/>
          <w:color w:val="auto"/>
          <w:sz w:val="24"/>
          <w:highlight w:val="none"/>
        </w:rPr>
        <w:t>要求，</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土壤中各类检出的污染物浓度可接受</w:t>
      </w:r>
      <w:r>
        <w:rPr>
          <w:rFonts w:hint="default" w:ascii="Times New Roman" w:hAnsi="Times New Roman" w:cs="Times New Roman"/>
          <w:color w:val="auto"/>
          <w:sz w:val="24"/>
          <w:highlight w:val="none"/>
          <w:lang w:eastAsia="zh-CN"/>
        </w:rPr>
        <w:t>；</w:t>
      </w:r>
    </w:p>
    <w:p w14:paraId="4C990A72">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SJG-JJ-8污染物指标苯并（a）芘</w:t>
      </w:r>
      <w:r>
        <w:rPr>
          <w:rFonts w:hint="default" w:ascii="Times New Roman" w:hAnsi="Times New Roman" w:cs="Times New Roman"/>
          <w:highlight w:val="none"/>
          <w:lang w:val="en-US" w:eastAsia="zh-CN"/>
        </w:rPr>
        <w:t>高于《土壤环境质量建设用地土壤污染风险管控标准（试行）》（GB36600-2018）第二类建设用地筛选值且未超过第二类用地管制值</w:t>
      </w:r>
      <w:r>
        <w:rPr>
          <w:rFonts w:hint="eastAsia" w:cs="Times New Roman"/>
          <w:highlight w:val="none"/>
          <w:lang w:val="en-US" w:eastAsia="zh-CN"/>
        </w:rPr>
        <w:t>。</w:t>
      </w:r>
      <w:r>
        <w:rPr>
          <w:rFonts w:hint="eastAsia"/>
          <w:lang w:val="en-US" w:eastAsia="zh-CN"/>
        </w:rPr>
        <w:t>参考</w:t>
      </w:r>
      <w:r>
        <w:rPr>
          <w:rFonts w:hint="eastAsia"/>
        </w:rPr>
        <w:t>《上海市建设用地土壤污染状况调查、风险评估、风险管控与修复方案编制、风险管控与修复效果评估工作的补充规定（试行）》（沪环土（2020）62号）， 在SJG-JJ-8周边补充布设5个土壤点位，采集10个土壤样品、1个现场平行盲样和1个运输空白样，对苯并（a）芘进行检测。检测结果均为未检出；因此，可以判断SJG-JJ-8点位苯并(a)芘超标属于异常情况，不具代表性。</w:t>
      </w:r>
    </w:p>
    <w:p w14:paraId="32B3F37D">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highlight w:val="none"/>
          <w:lang w:eastAsia="zh-CN"/>
        </w:rPr>
        <w:t>园区内</w:t>
      </w:r>
      <w:r>
        <w:rPr>
          <w:rFonts w:hint="eastAsia" w:cs="Times New Roman"/>
          <w:color w:val="auto"/>
          <w:highlight w:val="none"/>
          <w:lang w:val="en-US" w:eastAsia="zh-CN"/>
        </w:rPr>
        <w:t>除SJG-JJ-8外，</w:t>
      </w:r>
      <w:r>
        <w:rPr>
          <w:rFonts w:hint="default" w:ascii="Times New Roman" w:hAnsi="Times New Roman" w:cs="Times New Roman"/>
          <w:color w:val="auto"/>
          <w:highlight w:val="none"/>
          <w:lang w:eastAsia="zh-CN"/>
        </w:rPr>
        <w:t>上风向点位和下风向点位</w:t>
      </w:r>
      <w:r>
        <w:rPr>
          <w:rFonts w:hint="default" w:ascii="Times New Roman" w:hAnsi="Times New Roman" w:cs="Times New Roman"/>
          <w:color w:val="auto"/>
          <w:highlight w:val="none"/>
        </w:rPr>
        <w:t>各测试项目检测值</w:t>
      </w:r>
      <w:r>
        <w:rPr>
          <w:rFonts w:hint="default" w:ascii="Times New Roman" w:hAnsi="Times New Roman" w:cs="Times New Roman"/>
          <w:color w:val="auto"/>
          <w:highlight w:val="none"/>
          <w:lang w:eastAsia="zh-CN"/>
        </w:rPr>
        <w:t>差别较小，各</w:t>
      </w:r>
      <w:r>
        <w:rPr>
          <w:rFonts w:hint="default" w:ascii="Times New Roman" w:hAnsi="Times New Roman" w:cs="Times New Roman"/>
          <w:color w:val="auto"/>
          <w:highlight w:val="none"/>
        </w:rPr>
        <w:t>检测值与均值</w:t>
      </w:r>
      <w:r>
        <w:rPr>
          <w:rFonts w:hint="default" w:ascii="Times New Roman" w:hAnsi="Times New Roman" w:cs="Times New Roman"/>
          <w:color w:val="auto"/>
          <w:highlight w:val="none"/>
          <w:lang w:eastAsia="zh-CN"/>
        </w:rPr>
        <w:t>差别较小</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说明工业园区周边及其已建成企业聚集区周边各</w:t>
      </w:r>
      <w:r>
        <w:rPr>
          <w:rFonts w:hint="default" w:ascii="Times New Roman" w:hAnsi="Times New Roman" w:cs="Times New Roman"/>
          <w:color w:val="auto"/>
          <w:highlight w:val="none"/>
        </w:rPr>
        <w:t>指标浓度处在同一水平</w:t>
      </w:r>
      <w:r>
        <w:rPr>
          <w:rFonts w:hint="default" w:ascii="Times New Roman" w:hAnsi="Times New Roman" w:cs="Times New Roman"/>
          <w:color w:val="auto"/>
          <w:highlight w:val="none"/>
          <w:lang w:eastAsia="zh-CN"/>
        </w:rPr>
        <w:t>；</w:t>
      </w:r>
    </w:p>
    <w:p w14:paraId="0BAFF797">
      <w:pPr>
        <w:numPr>
          <w:ilvl w:val="0"/>
          <w:numId w:val="14"/>
        </w:num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highlight w:val="none"/>
          <w:lang w:eastAsia="zh-CN"/>
        </w:rPr>
        <w:t>各土壤样品的单项污染指数Pimax=0.6</w:t>
      </w:r>
      <w:r>
        <w:rPr>
          <w:rFonts w:hint="default" w:ascii="Times New Roman" w:hAnsi="Times New Roman" w:cs="Times New Roman"/>
          <w:color w:val="auto"/>
          <w:highlight w:val="none"/>
          <w:lang w:val="en-US" w:eastAsia="zh-CN"/>
        </w:rPr>
        <w:t>00</w:t>
      </w:r>
      <w:r>
        <w:rPr>
          <w:rFonts w:hint="default" w:ascii="Times New Roman" w:hAnsi="Times New Roman" w:cs="Times New Roman"/>
          <w:color w:val="auto"/>
          <w:highlight w:val="none"/>
          <w:lang w:eastAsia="zh-CN"/>
        </w:rPr>
        <w:t>＜1，可以判断本</w:t>
      </w:r>
      <w:r>
        <w:rPr>
          <w:rFonts w:hint="eastAsia" w:cs="Times New Roman"/>
          <w:color w:val="auto"/>
          <w:highlight w:val="none"/>
          <w:lang w:eastAsia="zh-CN"/>
        </w:rPr>
        <w:t>工业园区及周边</w:t>
      </w:r>
      <w:r>
        <w:rPr>
          <w:rFonts w:hint="default" w:ascii="Times New Roman" w:hAnsi="Times New Roman" w:cs="Times New Roman"/>
          <w:color w:val="auto"/>
          <w:highlight w:val="none"/>
          <w:lang w:eastAsia="zh-CN"/>
        </w:rPr>
        <w:t>的所有点位各因子的单项污染指数对应的污染程度均为无污染；</w:t>
      </w:r>
    </w:p>
    <w:p w14:paraId="4AE5749F">
      <w:pPr>
        <w:numPr>
          <w:ilvl w:val="0"/>
          <w:numId w:val="14"/>
        </w:numPr>
        <w:spacing w:line="360" w:lineRule="auto"/>
        <w:ind w:firstLine="482"/>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highlight w:val="none"/>
          <w:lang w:eastAsia="zh-CN"/>
        </w:rPr>
        <w:t>本园区各因子内梅罗污染指数PNmax=0.</w:t>
      </w:r>
      <w:r>
        <w:rPr>
          <w:rFonts w:hint="default" w:ascii="Times New Roman" w:hAnsi="Times New Roman" w:cs="Times New Roman"/>
          <w:color w:val="auto"/>
          <w:highlight w:val="none"/>
          <w:lang w:val="en-US" w:eastAsia="zh-CN"/>
        </w:rPr>
        <w:t>4455</w:t>
      </w:r>
      <w:r>
        <w:rPr>
          <w:rFonts w:hint="default" w:ascii="Times New Roman" w:hAnsi="Times New Roman" w:cs="Times New Roman"/>
          <w:color w:val="auto"/>
          <w:highlight w:val="none"/>
          <w:lang w:eastAsia="zh-CN"/>
        </w:rPr>
        <w:t>＜0.7，可以判断本园区</w:t>
      </w:r>
      <w:r>
        <w:rPr>
          <w:rFonts w:hint="eastAsia"/>
          <w:lang w:val="en-US" w:eastAsia="zh-CN"/>
        </w:rPr>
        <w:t>及周边</w:t>
      </w:r>
      <w:r>
        <w:rPr>
          <w:rFonts w:hint="default" w:ascii="Times New Roman" w:hAnsi="Times New Roman" w:cs="Times New Roman"/>
          <w:color w:val="auto"/>
          <w:highlight w:val="none"/>
          <w:lang w:eastAsia="zh-CN"/>
        </w:rPr>
        <w:t>的所有因子的内梅罗污染指数对应的污染等级均为I级清洁（安全）；</w:t>
      </w:r>
    </w:p>
    <w:p w14:paraId="642D3130">
      <w:pPr>
        <w:numPr>
          <w:ilvl w:val="0"/>
          <w:numId w:val="14"/>
        </w:numPr>
        <w:spacing w:line="360" w:lineRule="auto"/>
        <w:ind w:firstLine="482"/>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调查</w:t>
      </w:r>
      <w:r>
        <w:rPr>
          <w:rFonts w:hint="default" w:ascii="Times New Roman" w:hAnsi="Times New Roman" w:cs="Times New Roman"/>
          <w:color w:val="auto"/>
          <w:sz w:val="24"/>
          <w:highlight w:val="none"/>
          <w:lang w:eastAsia="zh-CN"/>
        </w:rPr>
        <w:t>园区</w:t>
      </w:r>
      <w:r>
        <w:rPr>
          <w:rFonts w:hint="default" w:ascii="Times New Roman" w:hAnsi="Times New Roman" w:cs="Times New Roman"/>
          <w:color w:val="auto"/>
          <w:sz w:val="24"/>
          <w:highlight w:val="none"/>
        </w:rPr>
        <w:t>内地下水测试项目</w:t>
      </w:r>
      <w:r>
        <w:rPr>
          <w:rFonts w:hint="default" w:ascii="Times New Roman" w:hAnsi="Times New Roman" w:cs="Times New Roman"/>
          <w:color w:val="auto"/>
          <w:sz w:val="24"/>
          <w:highlight w:val="none"/>
          <w:lang w:eastAsia="zh-CN"/>
        </w:rPr>
        <w:t>已检出污染物（</w:t>
      </w:r>
      <w:r>
        <w:rPr>
          <w:rFonts w:hint="default" w:ascii="Times New Roman" w:hAnsi="Times New Roman" w:cs="Times New Roman"/>
          <w:color w:val="auto"/>
          <w:highlight w:val="none"/>
          <w:lang w:eastAsia="zh-CN"/>
        </w:rPr>
        <w:t>总硬度、溶解性总固体、耗氧量、硫酸盐、硝酸盐、氯化物、总氟化物、阴离子表面活性剂、氨氮、亚硝酸盐氮、锰、钠、锌、砷、铅、石油类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highlight w:val="none"/>
          <w:lang w:eastAsia="zh-CN"/>
        </w:rPr>
        <w:t>均满足</w:t>
      </w:r>
      <w:r>
        <w:rPr>
          <w:rFonts w:hint="default" w:ascii="Times New Roman" w:hAnsi="Times New Roman" w:cs="Times New Roman"/>
          <w:color w:val="auto"/>
          <w:sz w:val="24"/>
          <w:highlight w:val="none"/>
        </w:rPr>
        <w:t>《地下水质量标准》（</w:t>
      </w:r>
      <w:r>
        <w:rPr>
          <w:rFonts w:hint="default" w:ascii="Times New Roman" w:hAnsi="Times New Roman" w:cs="Times New Roman"/>
          <w:color w:val="auto"/>
          <w:sz w:val="24"/>
          <w:highlight w:val="none"/>
          <w:lang w:val="en-US" w:eastAsia="zh-CN"/>
        </w:rPr>
        <w:t>G</w:t>
      </w:r>
      <w:r>
        <w:rPr>
          <w:rFonts w:hint="default" w:ascii="Times New Roman" w:hAnsi="Times New Roman" w:cs="Times New Roman"/>
          <w:color w:val="auto"/>
          <w:sz w:val="24"/>
          <w:highlight w:val="none"/>
        </w:rPr>
        <w:t>B/T 14848-2017）中</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类标准限值</w:t>
      </w:r>
      <w:r>
        <w:rPr>
          <w:rFonts w:hint="default" w:ascii="Times New Roman" w:hAnsi="Times New Roman" w:cs="Times New Roman"/>
          <w:color w:val="auto"/>
          <w:sz w:val="24"/>
          <w:highlight w:val="none"/>
          <w:lang w:eastAsia="zh-CN"/>
        </w:rPr>
        <w:t>或</w:t>
      </w:r>
      <w:r>
        <w:rPr>
          <w:rFonts w:hint="default" w:ascii="Times New Roman" w:hAnsi="Times New Roman" w:cs="Times New Roman"/>
          <w:color w:val="auto"/>
          <w:sz w:val="24"/>
          <w:highlight w:val="none"/>
        </w:rPr>
        <w:t>《地表水环境质量标准》</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GB3838-2002</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4"/>
          <w:highlight w:val="none"/>
          <w:lang w:eastAsia="zh-CN"/>
        </w:rPr>
        <w:t>Ⅳ</w:t>
      </w:r>
      <w:r>
        <w:rPr>
          <w:rFonts w:hint="default" w:ascii="Times New Roman" w:hAnsi="Times New Roman" w:cs="Times New Roman"/>
          <w:color w:val="auto"/>
          <w:sz w:val="24"/>
          <w:highlight w:val="none"/>
        </w:rPr>
        <w:t>类标准</w:t>
      </w:r>
      <w:r>
        <w:rPr>
          <w:rFonts w:hint="default" w:ascii="Times New Roman" w:hAnsi="Times New Roman" w:cs="Times New Roman"/>
          <w:color w:val="auto"/>
          <w:highlight w:val="none"/>
          <w:lang w:eastAsia="zh-CN"/>
        </w:rPr>
        <w:t>要求。</w:t>
      </w:r>
    </w:p>
    <w:p w14:paraId="0D4041B8">
      <w:pPr>
        <w:pStyle w:val="4"/>
        <w:tabs>
          <w:tab w:val="left" w:leader="dot" w:pos="0"/>
          <w:tab w:val="clear" w:pos="425"/>
        </w:tabs>
        <w:rPr>
          <w:rFonts w:hint="default" w:ascii="Times New Roman" w:hAnsi="Times New Roman" w:cs="Times New Roman"/>
          <w:color w:val="auto"/>
          <w:highlight w:val="none"/>
        </w:rPr>
      </w:pPr>
      <w:bookmarkStart w:id="84" w:name="_Toc56693203"/>
      <w:bookmarkStart w:id="85" w:name="_Toc6475"/>
      <w:bookmarkStart w:id="86" w:name="_Toc46849322"/>
      <w:bookmarkStart w:id="87" w:name="_Toc13271"/>
      <w:r>
        <w:rPr>
          <w:rFonts w:hint="default" w:ascii="Times New Roman" w:hAnsi="Times New Roman" w:cs="Times New Roman"/>
          <w:color w:val="auto"/>
          <w:highlight w:val="none"/>
        </w:rPr>
        <w:t>建议</w:t>
      </w:r>
      <w:bookmarkEnd w:id="84"/>
      <w:bookmarkEnd w:id="85"/>
      <w:bookmarkEnd w:id="86"/>
      <w:bookmarkEnd w:id="87"/>
    </w:p>
    <w:p w14:paraId="32176959">
      <w:pPr>
        <w:pStyle w:val="31"/>
        <w:numPr>
          <w:ilvl w:val="0"/>
          <w:numId w:val="15"/>
        </w:numPr>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制定三江港经济区周边土壤环境例行监测制度，建立工业园区周边土壤环境质量管理数据库。</w:t>
      </w:r>
    </w:p>
    <w:p w14:paraId="0631E354">
      <w:pPr>
        <w:pStyle w:val="31"/>
        <w:numPr>
          <w:ilvl w:val="0"/>
          <w:numId w:val="15"/>
        </w:numPr>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所有入园新建项目应开展环境影响评价工作，现有已入园企业，应严格落实环评文件及环境主管部门提出的各项污染防治措施，并保证污染治理设施正常、稳定运行。</w:t>
      </w:r>
    </w:p>
    <w:p w14:paraId="26100A38">
      <w:pPr>
        <w:pStyle w:val="31"/>
        <w:numPr>
          <w:ilvl w:val="0"/>
          <w:numId w:val="15"/>
        </w:numPr>
        <w:spacing w:after="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加强园区内涉重企业环境管理及监控，定期对涉重企业</w:t>
      </w:r>
      <w:r>
        <w:rPr>
          <w:rFonts w:hint="default" w:ascii="Times New Roman" w:hAnsi="Times New Roman" w:eastAsia="宋体" w:cs="Times New Roman"/>
          <w:color w:val="auto"/>
          <w:kern w:val="2"/>
          <w:sz w:val="24"/>
          <w:szCs w:val="24"/>
          <w:highlight w:val="none"/>
          <w:lang w:val="en-US" w:eastAsia="zh-CN" w:bidi="ar"/>
        </w:rPr>
        <w:t>内部及</w:t>
      </w:r>
      <w:r>
        <w:rPr>
          <w:rFonts w:hint="default" w:ascii="Times New Roman" w:hAnsi="Times New Roman" w:cs="Times New Roman"/>
          <w:color w:val="auto"/>
          <w:highlight w:val="none"/>
          <w:lang w:eastAsia="zh-CN"/>
        </w:rPr>
        <w:t>周边土壤环境质量开展检测工作。</w:t>
      </w:r>
    </w:p>
    <w:p w14:paraId="0FE04933">
      <w:pPr>
        <w:pStyle w:val="31"/>
        <w:numPr>
          <w:ilvl w:val="0"/>
          <w:numId w:val="15"/>
        </w:numPr>
        <w:spacing w:after="0"/>
        <w:ind w:firstLine="480"/>
        <w:rPr>
          <w:rFonts w:hint="default" w:ascii="Times New Roman" w:hAnsi="Times New Roman" w:cs="Times New Roman"/>
          <w:color w:val="auto"/>
          <w:szCs w:val="24"/>
          <w:highlight w:val="none"/>
        </w:rPr>
      </w:pPr>
      <w:r>
        <w:rPr>
          <w:rFonts w:hint="default" w:ascii="Times New Roman" w:hAnsi="Times New Roman" w:cs="Times New Roman"/>
          <w:color w:val="auto"/>
          <w:highlight w:val="none"/>
        </w:rPr>
        <w:t>本报告仅针对调查期间</w:t>
      </w:r>
      <w:r>
        <w:rPr>
          <w:rFonts w:hint="default" w:ascii="Times New Roman" w:hAnsi="Times New Roman" w:cs="Times New Roman"/>
          <w:color w:val="auto"/>
          <w:highlight w:val="none"/>
          <w:lang w:eastAsia="zh-CN"/>
        </w:rPr>
        <w:t>监测</w:t>
      </w:r>
      <w:r>
        <w:rPr>
          <w:rFonts w:hint="default" w:ascii="Times New Roman" w:hAnsi="Times New Roman" w:cs="Times New Roman"/>
          <w:color w:val="auto"/>
          <w:highlight w:val="none"/>
        </w:rPr>
        <w:t>点土壤及地下水环境质量进行调查与评价，</w:t>
      </w:r>
      <w:r>
        <w:rPr>
          <w:rFonts w:hint="default" w:ascii="Times New Roman" w:hAnsi="Times New Roman" w:cs="Times New Roman"/>
          <w:color w:val="auto"/>
          <w:highlight w:val="none"/>
          <w:lang w:val="en-US" w:eastAsia="zh-CN"/>
        </w:rPr>
        <w:t>园区周边土壤</w:t>
      </w:r>
      <w:r>
        <w:rPr>
          <w:rFonts w:hint="default" w:ascii="Times New Roman" w:hAnsi="Times New Roman" w:cs="Times New Roman"/>
          <w:color w:val="auto"/>
          <w:highlight w:val="none"/>
          <w:lang w:eastAsia="zh-CN"/>
        </w:rPr>
        <w:t>点位</w:t>
      </w:r>
      <w:r>
        <w:rPr>
          <w:rFonts w:hint="default" w:ascii="Times New Roman" w:hAnsi="Times New Roman" w:cs="Times New Roman"/>
          <w:color w:val="auto"/>
          <w:highlight w:val="none"/>
          <w:lang w:val="en-US" w:eastAsia="zh-CN"/>
        </w:rPr>
        <w:t>若其用地类型发生变化需</w:t>
      </w:r>
      <w:r>
        <w:rPr>
          <w:rFonts w:hint="default" w:ascii="Times New Roman" w:hAnsi="Times New Roman" w:cs="Times New Roman"/>
          <w:color w:val="auto"/>
          <w:highlight w:val="none"/>
        </w:rPr>
        <w:t>另行调查评估</w:t>
      </w:r>
      <w:r>
        <w:rPr>
          <w:rFonts w:hint="default" w:ascii="Times New Roman" w:hAnsi="Times New Roman" w:cs="Times New Roman"/>
          <w:color w:val="auto"/>
          <w:szCs w:val="24"/>
          <w:highlight w:val="none"/>
        </w:rPr>
        <w:t>。</w:t>
      </w:r>
    </w:p>
    <w:p w14:paraId="5D067F20">
      <w:pPr>
        <w:pStyle w:val="2"/>
        <w:rPr>
          <w:rFonts w:hint="default" w:ascii="Times New Roman" w:hAnsi="Times New Roman" w:cs="Times New Roman"/>
          <w:color w:val="auto"/>
          <w:highlight w:val="none"/>
          <w:lang w:eastAsia="zh-CN"/>
        </w:rPr>
      </w:pPr>
    </w:p>
    <w:sectPr>
      <w:headerReference r:id="rId23" w:type="default"/>
      <w:pgSz w:w="11905" w:h="16838"/>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2772">
    <w:pPr>
      <w:pStyle w:val="14"/>
      <w:rPr>
        <w:u w:val="sing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68E0">
    <w:pPr>
      <w:pStyle w:val="14"/>
      <w:rPr>
        <w:u w:val="single"/>
      </w:rPr>
    </w:pPr>
    <w:r>
      <w:rPr>
        <w:u w:val="single"/>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2CFF8">
                          <w:pPr>
                            <w:pStyle w:val="14"/>
                          </w:pPr>
                          <w:r>
                            <w:rPr>
                              <w:rFonts w:hint="eastAsia"/>
                            </w:rPr>
                            <w:fldChar w:fldCharType="begin"/>
                          </w:r>
                          <w:r>
                            <w:rPr>
                              <w:rFonts w:hint="eastAsia"/>
                            </w:rPr>
                            <w:instrText xml:space="preserve"> PAGE  \* MERGEFORMAT </w:instrText>
                          </w:r>
                          <w:r>
                            <w:rPr>
                              <w:rFonts w:hint="eastAsia"/>
                            </w:rPr>
                            <w:fldChar w:fldCharType="separate"/>
                          </w:r>
                          <w:r>
                            <w:t>- 59 -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422CFF8">
                    <w:pPr>
                      <w:pStyle w:val="14"/>
                    </w:pPr>
                    <w:r>
                      <w:rPr>
                        <w:rFonts w:hint="eastAsia"/>
                      </w:rPr>
                      <w:fldChar w:fldCharType="begin"/>
                    </w:r>
                    <w:r>
                      <w:rPr>
                        <w:rFonts w:hint="eastAsia"/>
                      </w:rPr>
                      <w:instrText xml:space="preserve"> PAGE  \* MERGEFORMAT </w:instrText>
                    </w:r>
                    <w:r>
                      <w:rPr>
                        <w:rFonts w:hint="eastAsia"/>
                      </w:rPr>
                      <w:fldChar w:fldCharType="separate"/>
                    </w:r>
                    <w:r>
                      <w:t>- 59 -</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CC226">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89BE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5589BE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71A84">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3E1D7">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03E1D7">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8E14">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D1BA6">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89D1BA6">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07BD1">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eastAsia" w:eastAsia="宋体"/>
        <w:b/>
        <w:bCs/>
        <w:color w:val="000000" w:themeColor="text1"/>
        <w:szCs w:val="18"/>
        <w:lang w:eastAsia="zh-CN"/>
        <w14:textFill>
          <w14:solidFill>
            <w14:schemeClr w14:val="tx1"/>
          </w14:solidFill>
        </w14:textFill>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三江港经济区</w:t>
    </w:r>
    <w:r>
      <w:rPr>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lang w:eastAsia="zh-CN"/>
        <w14:textFill>
          <w14:solidFill>
            <w14:schemeClr w14:val="tx1"/>
          </w14:solidFill>
        </w14:textFill>
      </w:rPr>
      <w:t>目录</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C9EE6">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三江港</w:t>
    </w:r>
    <w:r>
      <w:rPr>
        <w:rFonts w:hint="eastAsia"/>
        <w:b/>
        <w:bCs/>
        <w:color w:val="000000" w:themeColor="text1"/>
        <w:kern w:val="0"/>
        <w:szCs w:val="18"/>
        <w:highlight w:val="none"/>
        <w:lang w:val="en-US" w:eastAsia="zh-CN"/>
        <w14:textFill>
          <w14:solidFill>
            <w14:schemeClr w14:val="tx1"/>
          </w14:solidFill>
        </w14:textFill>
      </w:rPr>
      <w:tab/>
    </w:r>
    <w:r>
      <w:rPr>
        <w:rFonts w:hint="eastAsia"/>
        <w:b/>
        <w:bCs/>
        <w:color w:val="000000" w:themeColor="text1"/>
        <w:kern w:val="0"/>
        <w:szCs w:val="18"/>
        <w:highlight w:val="none"/>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3.调查工作方案</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A134D">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三江港经济区</w:t>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1DD43">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三江港经济区</w:t>
    </w:r>
    <w:r>
      <w:rPr>
        <w:b/>
        <w:bCs/>
        <w:color w:val="000000" w:themeColor="text1"/>
        <w:kern w:val="0"/>
        <w:szCs w:val="18"/>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238E2">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jc w:val="left"/>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三江港经济区</w:t>
    </w:r>
    <w:r>
      <w:rPr>
        <w:rFonts w:hint="eastAsia"/>
        <w:b/>
        <w:bCs/>
        <w:color w:val="000000" w:themeColor="text1"/>
        <w:kern w:val="0"/>
        <w:szCs w:val="18"/>
        <w:lang w:val="en-US" w:eastAsia="zh-CN"/>
        <w14:textFill>
          <w14:solidFill>
            <w14:schemeClr w14:val="tx1"/>
          </w14:solidFill>
        </w14:textFill>
      </w:rPr>
      <w:tab/>
    </w:r>
    <w:r>
      <w:rPr>
        <w:rFonts w:hint="eastAsia"/>
        <w:b/>
        <w:bCs/>
        <w:color w:val="000000" w:themeColor="text1"/>
        <w:kern w:val="0"/>
        <w:szCs w:val="18"/>
        <w:lang w:val="en-US" w:eastAsia="zh-CN"/>
        <w14:textFill>
          <w14:solidFill>
            <w14:schemeClr w14:val="tx1"/>
          </w14:solidFill>
        </w14:textFill>
      </w:rPr>
      <w:tab/>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5.结果与评价</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3457D">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三江港经济区</w:t>
    </w:r>
    <w:r>
      <w:rPr>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6.结论与建议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FDB55">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三江港经济区</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目录</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B6123">
    <w:pPr>
      <w:pStyle w:val="15"/>
      <w:keepNext w:val="0"/>
      <w:keepLines w:val="0"/>
      <w:pageBreakBefore w:val="0"/>
      <w:widowControl w:val="0"/>
      <w:pBdr>
        <w:bottom w:val="none" w:color="auto" w:sz="0"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5D07C">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highlight w:val="none"/>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三江港经济区</w:t>
    </w:r>
    <w:r>
      <w:rPr>
        <w:rFonts w:hint="eastAsia"/>
        <w:b/>
        <w:bCs/>
        <w:color w:val="000000" w:themeColor="text1"/>
        <w:kern w:val="0"/>
        <w:szCs w:val="18"/>
        <w:highlight w:val="none"/>
        <w14:textFill>
          <w14:solidFill>
            <w14:schemeClr w14:val="tx1"/>
          </w14:solidFill>
        </w14:textFill>
      </w:rPr>
      <w:t xml:space="preserve">  </w:t>
    </w:r>
    <w:r>
      <w:rPr>
        <w:rFonts w:hint="eastAsia"/>
        <w:b/>
        <w:bCs/>
        <w:color w:val="000000" w:themeColor="text1"/>
        <w:kern w:val="0"/>
        <w:szCs w:val="18"/>
        <w:highlight w:val="none"/>
        <w:lang w:val="en-US" w:eastAsia="zh-CN"/>
        <w14:textFill>
          <w14:solidFill>
            <w14:schemeClr w14:val="tx1"/>
          </w14:solidFill>
        </w14:textFill>
      </w:rPr>
      <w:t xml:space="preserve"> </w:t>
    </w:r>
    <w:r>
      <w:rPr>
        <w:rFonts w:hint="eastAsia"/>
        <w:b/>
        <w:bCs/>
        <w:color w:val="000000" w:themeColor="text1"/>
        <w:kern w:val="0"/>
        <w:szCs w:val="18"/>
        <w:highlight w:val="none"/>
        <w14:textFill>
          <w14:solidFill>
            <w14:schemeClr w14:val="tx1"/>
          </w14:solidFill>
        </w14:textFill>
      </w:rPr>
      <w:t xml:space="preserve">                  </w:t>
    </w:r>
    <w:r>
      <w:rPr>
        <w:rFonts w:hint="eastAsia"/>
        <w:b/>
        <w:bCs/>
        <w:color w:val="000000" w:themeColor="text1"/>
        <w:kern w:val="0"/>
        <w:szCs w:val="18"/>
        <w:highlight w:val="none"/>
        <w:lang w:val="en-US" w:eastAsia="zh-CN"/>
        <w14:textFill>
          <w14:solidFill>
            <w14:schemeClr w14:val="tx1"/>
          </w14:solidFill>
        </w14:textFill>
      </w:rPr>
      <w:t xml:space="preserve">                1.概述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67172">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w:t>
    </w:r>
    <w:r>
      <w:rPr>
        <w:rFonts w:hint="eastAsia"/>
        <w:b/>
        <w:bCs/>
        <w:color w:val="000000" w:themeColor="text1"/>
        <w:kern w:val="0"/>
        <w:szCs w:val="18"/>
        <w:lang w:eastAsia="zh-CN"/>
        <w14:textFill>
          <w14:solidFill>
            <w14:schemeClr w14:val="tx1"/>
          </w14:solidFill>
        </w14:textFill>
      </w:rPr>
      <w:t>三江港经济区</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2.调查区域概况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BDE7D">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三江港经济区</w:t>
    </w:r>
    <w:r>
      <w:rPr>
        <w:rFonts w:hint="eastAsia" w:cs="Times New Roman"/>
        <w:b/>
        <w:bCs/>
        <w:color w:val="000000" w:themeColor="text1"/>
        <w:kern w:val="0"/>
        <w:sz w:val="18"/>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3.调查工作方案</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FF9FC">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三江港</w:t>
    </w:r>
    <w:r>
      <w:rPr>
        <w:rFonts w:hint="eastAsia"/>
        <w:b/>
        <w:bCs/>
        <w:color w:val="000000" w:themeColor="text1"/>
        <w:kern w:val="0"/>
        <w:szCs w:val="18"/>
        <w:highlight w:val="none"/>
        <w:lang w:val="en-US" w:eastAsia="zh-CN"/>
        <w14:textFill>
          <w14:solidFill>
            <w14:schemeClr w14:val="tx1"/>
          </w14:solidFill>
        </w14:textFill>
      </w:rPr>
      <w:tab/>
    </w:r>
    <w:r>
      <w:rPr>
        <w:rFonts w:hint="eastAsia"/>
        <w:b/>
        <w:bCs/>
        <w:color w:val="000000" w:themeColor="text1"/>
        <w:kern w:val="0"/>
        <w:szCs w:val="18"/>
        <w:highlight w:val="none"/>
        <w:lang w:val="en-US" w:eastAsia="zh-CN"/>
        <w14:textFill>
          <w14:solidFill>
            <w14:schemeClr w14:val="tx1"/>
          </w14:solidFill>
        </w14:textFill>
      </w:rPr>
      <w:tab/>
    </w:r>
    <w:r>
      <w:rPr>
        <w:rFonts w:hint="eastAsia"/>
        <w:b/>
        <w:bCs/>
        <w:color w:val="000000" w:themeColor="text1"/>
        <w:kern w:val="0"/>
        <w:szCs w:val="18"/>
        <w:highlight w:val="none"/>
        <w:lang w:val="en-US" w:eastAsia="zh-CN"/>
        <w14:textFill>
          <w14:solidFill>
            <w14:schemeClr w14:val="tx1"/>
          </w14:solidFill>
        </w14:textFill>
      </w:rPr>
      <w:tab/>
    </w:r>
    <w:r>
      <w:rPr>
        <w:rFonts w:hint="eastAsia"/>
        <w:b/>
        <w:bCs/>
        <w:color w:val="000000" w:themeColor="text1"/>
        <w:kern w:val="0"/>
        <w:szCs w:val="18"/>
        <w:highlight w:val="none"/>
        <w:lang w:val="en-US" w:eastAsia="zh-CN"/>
        <w14:textFill>
          <w14:solidFill>
            <w14:schemeClr w14:val="tx1"/>
          </w14:solidFill>
        </w14:textFill>
      </w:rPr>
      <w:tab/>
    </w:r>
    <w:r>
      <w:rPr>
        <w:rFonts w:hint="eastAsia"/>
        <w:b/>
        <w:bCs/>
        <w:color w:val="000000" w:themeColor="text1"/>
        <w:kern w:val="0"/>
        <w:szCs w:val="18"/>
        <w:highlight w:val="none"/>
        <w:lang w:val="en-US" w:eastAsia="zh-CN"/>
        <w14:textFill>
          <w14:solidFill>
            <w14:schemeClr w14:val="tx1"/>
          </w14:solidFill>
        </w14:textFill>
      </w:rPr>
      <w:tab/>
    </w:r>
    <w:r>
      <w:rPr>
        <w:rFonts w:hint="eastAsia"/>
        <w:b/>
        <w:bCs/>
        <w:color w:val="000000" w:themeColor="text1"/>
        <w:kern w:val="0"/>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3.调查工作方案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073C3">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三江港经济区</w:t>
    </w:r>
    <w:r>
      <w:rPr>
        <w:rFonts w:hint="eastAsia" w:cs="Times New Roman"/>
        <w:b/>
        <w:bCs/>
        <w:color w:val="000000" w:themeColor="text1"/>
        <w:kern w:val="0"/>
        <w:sz w:val="18"/>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4.现场工作及实验室分析</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E564F">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w:t>
    </w:r>
    <w:r>
      <w:rPr>
        <w:rFonts w:hint="eastAsia"/>
        <w:b/>
        <w:bCs/>
        <w:color w:val="000000" w:themeColor="text1"/>
        <w:kern w:val="0"/>
        <w:szCs w:val="18"/>
        <w:highlight w:val="none"/>
        <w:lang w:eastAsia="zh-CN"/>
        <w14:textFill>
          <w14:solidFill>
            <w14:schemeClr w14:val="tx1"/>
          </w14:solidFill>
        </w14:textFill>
      </w:rPr>
      <w:t>三江港经济区</w:t>
    </w:r>
    <w:r>
      <w:rPr>
        <w:rFonts w:hint="eastAsia" w:cs="Times New Roman"/>
        <w:b/>
        <w:bCs/>
        <w:color w:val="000000" w:themeColor="text1"/>
        <w:kern w:val="0"/>
        <w:sz w:val="18"/>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ab/>
    </w:r>
    <w:r>
      <w:rPr>
        <w:rFonts w:hint="eastAsia" w:cs="Times New Roman"/>
        <w:b/>
        <w:bCs/>
        <w:color w:val="000000" w:themeColor="text1"/>
        <w:kern w:val="0"/>
        <w:sz w:val="18"/>
        <w:szCs w:val="18"/>
        <w:lang w:val="en-US" w:eastAsia="zh-CN"/>
        <w14:textFill>
          <w14:solidFill>
            <w14:schemeClr w14:val="tx1"/>
          </w14:solidFill>
        </w14:textFill>
      </w:rPr>
      <w:t>4.现场工作及实验室分析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82E71"/>
    <w:multiLevelType w:val="singleLevel"/>
    <w:tmpl w:val="88C82E71"/>
    <w:lvl w:ilvl="0" w:tentative="0">
      <w:start w:val="1"/>
      <w:numFmt w:val="decimal"/>
      <w:suff w:val="nothing"/>
      <w:lvlText w:val="（%1）"/>
      <w:lvlJc w:val="left"/>
    </w:lvl>
  </w:abstractNum>
  <w:abstractNum w:abstractNumId="1">
    <w:nsid w:val="93E6CCA3"/>
    <w:multiLevelType w:val="singleLevel"/>
    <w:tmpl w:val="93E6CCA3"/>
    <w:lvl w:ilvl="0" w:tentative="0">
      <w:start w:val="1"/>
      <w:numFmt w:val="decimal"/>
      <w:suff w:val="nothing"/>
      <w:lvlText w:val="（%1）"/>
      <w:lvlJc w:val="left"/>
    </w:lvl>
  </w:abstractNum>
  <w:abstractNum w:abstractNumId="2">
    <w:nsid w:val="9F8DEC4D"/>
    <w:multiLevelType w:val="multilevel"/>
    <w:tmpl w:val="9F8DEC4D"/>
    <w:lvl w:ilvl="0" w:tentative="0">
      <w:start w:val="1"/>
      <w:numFmt w:val="decimal"/>
      <w:pStyle w:val="6"/>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B3E7A628"/>
    <w:multiLevelType w:val="singleLevel"/>
    <w:tmpl w:val="B3E7A628"/>
    <w:lvl w:ilvl="0" w:tentative="0">
      <w:start w:val="1"/>
      <w:numFmt w:val="decimal"/>
      <w:suff w:val="nothing"/>
      <w:lvlText w:val="（%1）"/>
      <w:lvlJc w:val="left"/>
    </w:lvl>
  </w:abstractNum>
  <w:abstractNum w:abstractNumId="4">
    <w:nsid w:val="C0A7D593"/>
    <w:multiLevelType w:val="multilevel"/>
    <w:tmpl w:val="C0A7D593"/>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5">
    <w:nsid w:val="E8EB3CD0"/>
    <w:multiLevelType w:val="multilevel"/>
    <w:tmpl w:val="E8EB3CD0"/>
    <w:lvl w:ilvl="0" w:tentative="0">
      <w:start w:val="1"/>
      <w:numFmt w:val="decimal"/>
      <w:suff w:val="nothing"/>
      <w:lvlText w:val="（%1）"/>
      <w:lvlJc w:val="left"/>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F6B9518F"/>
    <w:multiLevelType w:val="singleLevel"/>
    <w:tmpl w:val="F6B9518F"/>
    <w:lvl w:ilvl="0" w:tentative="0">
      <w:start w:val="1"/>
      <w:numFmt w:val="decimal"/>
      <w:suff w:val="nothing"/>
      <w:lvlText w:val="（%1）"/>
      <w:lvlJc w:val="left"/>
    </w:lvl>
  </w:abstractNum>
  <w:abstractNum w:abstractNumId="7">
    <w:nsid w:val="FFEB921D"/>
    <w:multiLevelType w:val="singleLevel"/>
    <w:tmpl w:val="FFEB921D"/>
    <w:lvl w:ilvl="0" w:tentative="0">
      <w:start w:val="1"/>
      <w:numFmt w:val="decimal"/>
      <w:suff w:val="nothing"/>
      <w:lvlText w:val="（%1）"/>
      <w:lvlJc w:val="left"/>
    </w:lvl>
  </w:abstractNum>
  <w:abstractNum w:abstractNumId="8">
    <w:nsid w:val="0000000E"/>
    <w:multiLevelType w:val="multilevel"/>
    <w:tmpl w:val="0000000E"/>
    <w:lvl w:ilvl="0" w:tentative="0">
      <w:start w:val="1"/>
      <w:numFmt w:val="decimal"/>
      <w:lvlText w:val="%1."/>
      <w:lvlJc w:val="left"/>
      <w:pPr>
        <w:tabs>
          <w:tab w:val="left" w:pos="425"/>
        </w:tabs>
        <w:ind w:left="425" w:hanging="425"/>
      </w:pPr>
    </w:lvl>
    <w:lvl w:ilvl="1" w:tentative="0">
      <w:start w:val="1"/>
      <w:numFmt w:val="decimal"/>
      <w:pStyle w:val="4"/>
      <w:lvlText w:val="%1.%2."/>
      <w:lvlJc w:val="left"/>
      <w:pPr>
        <w:tabs>
          <w:tab w:val="left" w:pos="567"/>
        </w:tabs>
        <w:ind w:left="567" w:hanging="567"/>
      </w:pPr>
      <w:rPr>
        <w:sz w:val="24"/>
        <w:szCs w:val="24"/>
      </w:rPr>
    </w:lvl>
    <w:lvl w:ilvl="2" w:tentative="0">
      <w:start w:val="1"/>
      <w:numFmt w:val="decimal"/>
      <w:pStyle w:val="5"/>
      <w:lvlText w:val="%1.%2.%3."/>
      <w:lvlJc w:val="left"/>
      <w:pPr>
        <w:tabs>
          <w:tab w:val="left" w:pos="851"/>
        </w:tabs>
        <w:ind w:left="851" w:hanging="709"/>
      </w:pPr>
      <w:rPr>
        <w:sz w:val="24"/>
        <w:szCs w:val="24"/>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9">
    <w:nsid w:val="16BDCB54"/>
    <w:multiLevelType w:val="singleLevel"/>
    <w:tmpl w:val="16BDCB54"/>
    <w:lvl w:ilvl="0" w:tentative="0">
      <w:start w:val="1"/>
      <w:numFmt w:val="decimal"/>
      <w:suff w:val="nothing"/>
      <w:lvlText w:val="（%1）"/>
      <w:lvlJc w:val="left"/>
    </w:lvl>
  </w:abstractNum>
  <w:abstractNum w:abstractNumId="10">
    <w:nsid w:val="2D09ECF0"/>
    <w:multiLevelType w:val="singleLevel"/>
    <w:tmpl w:val="2D09ECF0"/>
    <w:lvl w:ilvl="0" w:tentative="0">
      <w:start w:val="1"/>
      <w:numFmt w:val="decimal"/>
      <w:suff w:val="nothing"/>
      <w:lvlText w:val="（%1）"/>
      <w:lvlJc w:val="left"/>
    </w:lvl>
  </w:abstractNum>
  <w:abstractNum w:abstractNumId="11">
    <w:nsid w:val="4AB71BF3"/>
    <w:multiLevelType w:val="singleLevel"/>
    <w:tmpl w:val="4AB71BF3"/>
    <w:lvl w:ilvl="0" w:tentative="0">
      <w:start w:val="1"/>
      <w:numFmt w:val="decimal"/>
      <w:suff w:val="nothing"/>
      <w:lvlText w:val="（%1）"/>
      <w:lvlJc w:val="left"/>
    </w:lvl>
  </w:abstractNum>
  <w:abstractNum w:abstractNumId="12">
    <w:nsid w:val="594FBAFE"/>
    <w:multiLevelType w:val="singleLevel"/>
    <w:tmpl w:val="594FBAFE"/>
    <w:lvl w:ilvl="0" w:tentative="0">
      <w:start w:val="1"/>
      <w:numFmt w:val="decimal"/>
      <w:suff w:val="nothing"/>
      <w:lvlText w:val="（%1）"/>
      <w:lvlJc w:val="left"/>
    </w:lvl>
  </w:abstractNum>
  <w:abstractNum w:abstractNumId="13">
    <w:nsid w:val="645EC8D2"/>
    <w:multiLevelType w:val="singleLevel"/>
    <w:tmpl w:val="645EC8D2"/>
    <w:lvl w:ilvl="0" w:tentative="0">
      <w:start w:val="1"/>
      <w:numFmt w:val="decimal"/>
      <w:suff w:val="nothing"/>
      <w:lvlText w:val="（%1）"/>
      <w:lvlJc w:val="left"/>
    </w:lvl>
  </w:abstractNum>
  <w:abstractNum w:abstractNumId="14">
    <w:nsid w:val="792B8015"/>
    <w:multiLevelType w:val="singleLevel"/>
    <w:tmpl w:val="792B8015"/>
    <w:lvl w:ilvl="0" w:tentative="0">
      <w:start w:val="1"/>
      <w:numFmt w:val="decimal"/>
      <w:suff w:val="nothing"/>
      <w:lvlText w:val="（%1）"/>
      <w:lvlJc w:val="left"/>
    </w:lvl>
  </w:abstractNum>
  <w:num w:numId="1">
    <w:abstractNumId w:val="8"/>
  </w:num>
  <w:num w:numId="2">
    <w:abstractNumId w:val="2"/>
  </w:num>
  <w:num w:numId="3">
    <w:abstractNumId w:val="4"/>
  </w:num>
  <w:num w:numId="4">
    <w:abstractNumId w:val="1"/>
  </w:num>
  <w:num w:numId="5">
    <w:abstractNumId w:val="10"/>
  </w:num>
  <w:num w:numId="6">
    <w:abstractNumId w:val="14"/>
  </w:num>
  <w:num w:numId="7">
    <w:abstractNumId w:val="11"/>
  </w:num>
  <w:num w:numId="8">
    <w:abstractNumId w:val="7"/>
  </w:num>
  <w:num w:numId="9">
    <w:abstractNumId w:val="9"/>
  </w:num>
  <w:num w:numId="10">
    <w:abstractNumId w:val="0"/>
  </w:num>
  <w:num w:numId="11">
    <w:abstractNumId w:val="5"/>
  </w:num>
  <w:num w:numId="12">
    <w:abstractNumId w:val="3"/>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hideSpellingErrors/>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4F61"/>
    <w:rsid w:val="000C4C75"/>
    <w:rsid w:val="000E6504"/>
    <w:rsid w:val="00102FD0"/>
    <w:rsid w:val="00172A27"/>
    <w:rsid w:val="001E4ADC"/>
    <w:rsid w:val="001F52B1"/>
    <w:rsid w:val="00260150"/>
    <w:rsid w:val="00260A9C"/>
    <w:rsid w:val="002C568B"/>
    <w:rsid w:val="002D439F"/>
    <w:rsid w:val="002D45C9"/>
    <w:rsid w:val="0034147F"/>
    <w:rsid w:val="003534AF"/>
    <w:rsid w:val="00355C5A"/>
    <w:rsid w:val="00366160"/>
    <w:rsid w:val="003F5E7E"/>
    <w:rsid w:val="00436FD0"/>
    <w:rsid w:val="00483BDF"/>
    <w:rsid w:val="00551330"/>
    <w:rsid w:val="00596EC0"/>
    <w:rsid w:val="005A09E0"/>
    <w:rsid w:val="005E0945"/>
    <w:rsid w:val="005F0C98"/>
    <w:rsid w:val="006173F7"/>
    <w:rsid w:val="00625F8A"/>
    <w:rsid w:val="00667820"/>
    <w:rsid w:val="00675018"/>
    <w:rsid w:val="00695766"/>
    <w:rsid w:val="00696A64"/>
    <w:rsid w:val="006B35D1"/>
    <w:rsid w:val="006D6224"/>
    <w:rsid w:val="0072388F"/>
    <w:rsid w:val="007417DC"/>
    <w:rsid w:val="0074360E"/>
    <w:rsid w:val="00772983"/>
    <w:rsid w:val="00774E51"/>
    <w:rsid w:val="007764BA"/>
    <w:rsid w:val="007A4F01"/>
    <w:rsid w:val="007E4696"/>
    <w:rsid w:val="00804FCA"/>
    <w:rsid w:val="00817E95"/>
    <w:rsid w:val="0084433B"/>
    <w:rsid w:val="00846AB9"/>
    <w:rsid w:val="00875DD2"/>
    <w:rsid w:val="00876D29"/>
    <w:rsid w:val="008D270E"/>
    <w:rsid w:val="00917DDF"/>
    <w:rsid w:val="009232BD"/>
    <w:rsid w:val="00980551"/>
    <w:rsid w:val="00986C7D"/>
    <w:rsid w:val="009C035C"/>
    <w:rsid w:val="009F0A33"/>
    <w:rsid w:val="00A7537A"/>
    <w:rsid w:val="00A80313"/>
    <w:rsid w:val="00A94747"/>
    <w:rsid w:val="00AB7D7E"/>
    <w:rsid w:val="00AC4C7B"/>
    <w:rsid w:val="00AE178E"/>
    <w:rsid w:val="00AF2254"/>
    <w:rsid w:val="00AF7A7C"/>
    <w:rsid w:val="00B22E15"/>
    <w:rsid w:val="00B702D6"/>
    <w:rsid w:val="00BE2214"/>
    <w:rsid w:val="00C25BE2"/>
    <w:rsid w:val="00C37D62"/>
    <w:rsid w:val="00C67ACA"/>
    <w:rsid w:val="00C832D2"/>
    <w:rsid w:val="00CB150D"/>
    <w:rsid w:val="00CC7759"/>
    <w:rsid w:val="00D110F6"/>
    <w:rsid w:val="00DC41FB"/>
    <w:rsid w:val="00DD0CA5"/>
    <w:rsid w:val="00DD2718"/>
    <w:rsid w:val="00E343F7"/>
    <w:rsid w:val="00E36208"/>
    <w:rsid w:val="00EC76DE"/>
    <w:rsid w:val="00ED0E52"/>
    <w:rsid w:val="00F3107D"/>
    <w:rsid w:val="00F518A7"/>
    <w:rsid w:val="00F72F05"/>
    <w:rsid w:val="00FF3D8F"/>
    <w:rsid w:val="010454C1"/>
    <w:rsid w:val="01211107"/>
    <w:rsid w:val="013C1C78"/>
    <w:rsid w:val="01553293"/>
    <w:rsid w:val="015C4062"/>
    <w:rsid w:val="01674E8C"/>
    <w:rsid w:val="01CF3D66"/>
    <w:rsid w:val="01E90805"/>
    <w:rsid w:val="020F5611"/>
    <w:rsid w:val="022630CB"/>
    <w:rsid w:val="02292F83"/>
    <w:rsid w:val="02854083"/>
    <w:rsid w:val="02C403F2"/>
    <w:rsid w:val="02DC7E02"/>
    <w:rsid w:val="02F36711"/>
    <w:rsid w:val="03200DF8"/>
    <w:rsid w:val="033431B6"/>
    <w:rsid w:val="03B1623F"/>
    <w:rsid w:val="03CD3FB6"/>
    <w:rsid w:val="03EC5F21"/>
    <w:rsid w:val="046C2FA5"/>
    <w:rsid w:val="047C46AD"/>
    <w:rsid w:val="04CB7316"/>
    <w:rsid w:val="04F37485"/>
    <w:rsid w:val="05067A74"/>
    <w:rsid w:val="053B7537"/>
    <w:rsid w:val="055E2088"/>
    <w:rsid w:val="056E1E64"/>
    <w:rsid w:val="05743BF1"/>
    <w:rsid w:val="058E1BD8"/>
    <w:rsid w:val="05C06A2A"/>
    <w:rsid w:val="05CA7326"/>
    <w:rsid w:val="05F807FF"/>
    <w:rsid w:val="06493576"/>
    <w:rsid w:val="06CC76B5"/>
    <w:rsid w:val="06CD22CA"/>
    <w:rsid w:val="06E33C9A"/>
    <w:rsid w:val="0715171A"/>
    <w:rsid w:val="071F22FB"/>
    <w:rsid w:val="07355729"/>
    <w:rsid w:val="07431039"/>
    <w:rsid w:val="07B95E5C"/>
    <w:rsid w:val="07E800ED"/>
    <w:rsid w:val="080A21AA"/>
    <w:rsid w:val="081D5A6B"/>
    <w:rsid w:val="08371541"/>
    <w:rsid w:val="08513BB9"/>
    <w:rsid w:val="091559D6"/>
    <w:rsid w:val="097C6A67"/>
    <w:rsid w:val="09B20583"/>
    <w:rsid w:val="09C01FC4"/>
    <w:rsid w:val="09E05710"/>
    <w:rsid w:val="0A162818"/>
    <w:rsid w:val="0A80222E"/>
    <w:rsid w:val="0AB8621B"/>
    <w:rsid w:val="0B0D517C"/>
    <w:rsid w:val="0B120256"/>
    <w:rsid w:val="0B3D40B0"/>
    <w:rsid w:val="0B4B68BC"/>
    <w:rsid w:val="0BE20E78"/>
    <w:rsid w:val="0C332D47"/>
    <w:rsid w:val="0C4D14C4"/>
    <w:rsid w:val="0C963396"/>
    <w:rsid w:val="0C9929DE"/>
    <w:rsid w:val="0CA45933"/>
    <w:rsid w:val="0CCA4DDD"/>
    <w:rsid w:val="0CE45FD2"/>
    <w:rsid w:val="0D2A6084"/>
    <w:rsid w:val="0D471CF5"/>
    <w:rsid w:val="0D4A7B1E"/>
    <w:rsid w:val="0DB42527"/>
    <w:rsid w:val="0DBC29D1"/>
    <w:rsid w:val="0DE22680"/>
    <w:rsid w:val="0E007FB7"/>
    <w:rsid w:val="0E5F3A6A"/>
    <w:rsid w:val="0ECB3004"/>
    <w:rsid w:val="0F0D5BEE"/>
    <w:rsid w:val="0F115EDF"/>
    <w:rsid w:val="0F2F2384"/>
    <w:rsid w:val="0F391DEE"/>
    <w:rsid w:val="0FAF3F9B"/>
    <w:rsid w:val="0FF44602"/>
    <w:rsid w:val="101205A7"/>
    <w:rsid w:val="10131A4A"/>
    <w:rsid w:val="108E6073"/>
    <w:rsid w:val="10A22915"/>
    <w:rsid w:val="10B6307C"/>
    <w:rsid w:val="10C8419F"/>
    <w:rsid w:val="10D44C70"/>
    <w:rsid w:val="10F61189"/>
    <w:rsid w:val="10F90530"/>
    <w:rsid w:val="110260E0"/>
    <w:rsid w:val="113D6568"/>
    <w:rsid w:val="113E7253"/>
    <w:rsid w:val="119162BB"/>
    <w:rsid w:val="11E46865"/>
    <w:rsid w:val="11F9763C"/>
    <w:rsid w:val="1283544F"/>
    <w:rsid w:val="12C71CA7"/>
    <w:rsid w:val="12D61E27"/>
    <w:rsid w:val="12D63A9F"/>
    <w:rsid w:val="12FF2A90"/>
    <w:rsid w:val="13034080"/>
    <w:rsid w:val="13177AFA"/>
    <w:rsid w:val="131F7994"/>
    <w:rsid w:val="134A34EB"/>
    <w:rsid w:val="13EE3C70"/>
    <w:rsid w:val="13FA3F3B"/>
    <w:rsid w:val="141D095B"/>
    <w:rsid w:val="143C1EF3"/>
    <w:rsid w:val="144067E3"/>
    <w:rsid w:val="14FC599B"/>
    <w:rsid w:val="151941B7"/>
    <w:rsid w:val="158C4C85"/>
    <w:rsid w:val="15912FA5"/>
    <w:rsid w:val="15AB7B11"/>
    <w:rsid w:val="164F5F8C"/>
    <w:rsid w:val="16540C54"/>
    <w:rsid w:val="16644DCA"/>
    <w:rsid w:val="16A47AF8"/>
    <w:rsid w:val="16EF0D99"/>
    <w:rsid w:val="17501F70"/>
    <w:rsid w:val="17503990"/>
    <w:rsid w:val="17536279"/>
    <w:rsid w:val="17841DD8"/>
    <w:rsid w:val="17F840C2"/>
    <w:rsid w:val="18336FDB"/>
    <w:rsid w:val="18722E64"/>
    <w:rsid w:val="18B257CB"/>
    <w:rsid w:val="18DC2F5E"/>
    <w:rsid w:val="18DE724E"/>
    <w:rsid w:val="18EB0606"/>
    <w:rsid w:val="19135F25"/>
    <w:rsid w:val="191A7680"/>
    <w:rsid w:val="191F09D6"/>
    <w:rsid w:val="19261634"/>
    <w:rsid w:val="19A5063C"/>
    <w:rsid w:val="19E36402"/>
    <w:rsid w:val="19FE0875"/>
    <w:rsid w:val="1A42275A"/>
    <w:rsid w:val="1A7D3BE2"/>
    <w:rsid w:val="1AAE6B03"/>
    <w:rsid w:val="1AB0491F"/>
    <w:rsid w:val="1B13720F"/>
    <w:rsid w:val="1B450367"/>
    <w:rsid w:val="1B6532EE"/>
    <w:rsid w:val="1B695676"/>
    <w:rsid w:val="1BEB3359"/>
    <w:rsid w:val="1C3D33BA"/>
    <w:rsid w:val="1C462289"/>
    <w:rsid w:val="1C812F1B"/>
    <w:rsid w:val="1C815F8F"/>
    <w:rsid w:val="1D17203C"/>
    <w:rsid w:val="1D1D24D0"/>
    <w:rsid w:val="1D340FCC"/>
    <w:rsid w:val="1D5045CA"/>
    <w:rsid w:val="1D7B4061"/>
    <w:rsid w:val="1D94134C"/>
    <w:rsid w:val="1E534008"/>
    <w:rsid w:val="1E6365B6"/>
    <w:rsid w:val="1E6E0069"/>
    <w:rsid w:val="1E6F34D0"/>
    <w:rsid w:val="1E7B2AE9"/>
    <w:rsid w:val="1E84106F"/>
    <w:rsid w:val="1E873335"/>
    <w:rsid w:val="1EAA29D1"/>
    <w:rsid w:val="1EC646EF"/>
    <w:rsid w:val="1EC77D1C"/>
    <w:rsid w:val="1ECF5352"/>
    <w:rsid w:val="1EE30AB1"/>
    <w:rsid w:val="1F163863"/>
    <w:rsid w:val="1F973BC8"/>
    <w:rsid w:val="1FC8213C"/>
    <w:rsid w:val="1FD71EE4"/>
    <w:rsid w:val="1FE44FB8"/>
    <w:rsid w:val="1FEF5BFB"/>
    <w:rsid w:val="200320DA"/>
    <w:rsid w:val="20487C53"/>
    <w:rsid w:val="20812DAB"/>
    <w:rsid w:val="20872DD7"/>
    <w:rsid w:val="20E1766D"/>
    <w:rsid w:val="21577AB3"/>
    <w:rsid w:val="21680C2C"/>
    <w:rsid w:val="21C86A73"/>
    <w:rsid w:val="21D24354"/>
    <w:rsid w:val="21E34514"/>
    <w:rsid w:val="224824A4"/>
    <w:rsid w:val="22485207"/>
    <w:rsid w:val="2288732C"/>
    <w:rsid w:val="22E842F8"/>
    <w:rsid w:val="23186BA8"/>
    <w:rsid w:val="233D76C2"/>
    <w:rsid w:val="234C11F4"/>
    <w:rsid w:val="235F6F83"/>
    <w:rsid w:val="23670F48"/>
    <w:rsid w:val="2393758A"/>
    <w:rsid w:val="23DC2795"/>
    <w:rsid w:val="24045E17"/>
    <w:rsid w:val="242D39CB"/>
    <w:rsid w:val="2486698F"/>
    <w:rsid w:val="250635BD"/>
    <w:rsid w:val="25557556"/>
    <w:rsid w:val="25716782"/>
    <w:rsid w:val="25787059"/>
    <w:rsid w:val="25A04B18"/>
    <w:rsid w:val="25FD588D"/>
    <w:rsid w:val="26555C7B"/>
    <w:rsid w:val="26971F70"/>
    <w:rsid w:val="26AF59F5"/>
    <w:rsid w:val="27004270"/>
    <w:rsid w:val="27283C0C"/>
    <w:rsid w:val="27C25CE5"/>
    <w:rsid w:val="27C90671"/>
    <w:rsid w:val="27FE397E"/>
    <w:rsid w:val="28393B99"/>
    <w:rsid w:val="2877729A"/>
    <w:rsid w:val="288E0B23"/>
    <w:rsid w:val="288F78F6"/>
    <w:rsid w:val="28A977E0"/>
    <w:rsid w:val="291A30A0"/>
    <w:rsid w:val="294278F8"/>
    <w:rsid w:val="2946107F"/>
    <w:rsid w:val="29797537"/>
    <w:rsid w:val="29C0377A"/>
    <w:rsid w:val="2A7A3222"/>
    <w:rsid w:val="2AC20744"/>
    <w:rsid w:val="2AED0C97"/>
    <w:rsid w:val="2B076E6C"/>
    <w:rsid w:val="2B7A60E2"/>
    <w:rsid w:val="2B7C527F"/>
    <w:rsid w:val="2BB743D5"/>
    <w:rsid w:val="2BE17B89"/>
    <w:rsid w:val="2BEE6058"/>
    <w:rsid w:val="2C091A5B"/>
    <w:rsid w:val="2C4B48BD"/>
    <w:rsid w:val="2C8420B1"/>
    <w:rsid w:val="2C9D2A3B"/>
    <w:rsid w:val="2CA23C9C"/>
    <w:rsid w:val="2D1E563E"/>
    <w:rsid w:val="2D317CA9"/>
    <w:rsid w:val="2D3E6584"/>
    <w:rsid w:val="2D5A7FCC"/>
    <w:rsid w:val="2DAD365B"/>
    <w:rsid w:val="2DB54688"/>
    <w:rsid w:val="2DD25ACE"/>
    <w:rsid w:val="2DD5272D"/>
    <w:rsid w:val="2E1E5264"/>
    <w:rsid w:val="2E2F3CBA"/>
    <w:rsid w:val="2E5E66B3"/>
    <w:rsid w:val="2E8A7C0F"/>
    <w:rsid w:val="2E996201"/>
    <w:rsid w:val="2F352089"/>
    <w:rsid w:val="2F3E3B9C"/>
    <w:rsid w:val="2F592DCB"/>
    <w:rsid w:val="2F722C16"/>
    <w:rsid w:val="2FF73F34"/>
    <w:rsid w:val="303845C7"/>
    <w:rsid w:val="307029C4"/>
    <w:rsid w:val="30AF3AD6"/>
    <w:rsid w:val="310811F4"/>
    <w:rsid w:val="310A2130"/>
    <w:rsid w:val="310B6196"/>
    <w:rsid w:val="31111CFD"/>
    <w:rsid w:val="3146701C"/>
    <w:rsid w:val="317A12C2"/>
    <w:rsid w:val="31A07827"/>
    <w:rsid w:val="31E90DB3"/>
    <w:rsid w:val="32245DE8"/>
    <w:rsid w:val="324F1861"/>
    <w:rsid w:val="329F3EC1"/>
    <w:rsid w:val="32A954D3"/>
    <w:rsid w:val="32E14277"/>
    <w:rsid w:val="33117640"/>
    <w:rsid w:val="3321502F"/>
    <w:rsid w:val="33356AEE"/>
    <w:rsid w:val="336E58DE"/>
    <w:rsid w:val="33AE4BCE"/>
    <w:rsid w:val="33D91096"/>
    <w:rsid w:val="33FF46B6"/>
    <w:rsid w:val="34362B89"/>
    <w:rsid w:val="346872B6"/>
    <w:rsid w:val="34A60593"/>
    <w:rsid w:val="34DC6EDD"/>
    <w:rsid w:val="34E17A39"/>
    <w:rsid w:val="35051BDD"/>
    <w:rsid w:val="350602D2"/>
    <w:rsid w:val="350E6F62"/>
    <w:rsid w:val="35140E8D"/>
    <w:rsid w:val="35575A24"/>
    <w:rsid w:val="35606AB8"/>
    <w:rsid w:val="35C626FB"/>
    <w:rsid w:val="35D948BD"/>
    <w:rsid w:val="35E66F3B"/>
    <w:rsid w:val="35F6104F"/>
    <w:rsid w:val="36142768"/>
    <w:rsid w:val="36173596"/>
    <w:rsid w:val="365E2687"/>
    <w:rsid w:val="36AF14C3"/>
    <w:rsid w:val="36C13773"/>
    <w:rsid w:val="36EC3E34"/>
    <w:rsid w:val="3715799B"/>
    <w:rsid w:val="372001BD"/>
    <w:rsid w:val="37547E25"/>
    <w:rsid w:val="379C0FD9"/>
    <w:rsid w:val="381D7E33"/>
    <w:rsid w:val="381F45D7"/>
    <w:rsid w:val="384F1349"/>
    <w:rsid w:val="38502AA8"/>
    <w:rsid w:val="38530C9B"/>
    <w:rsid w:val="38533B8A"/>
    <w:rsid w:val="3928690E"/>
    <w:rsid w:val="392A431D"/>
    <w:rsid w:val="394E38BC"/>
    <w:rsid w:val="39826242"/>
    <w:rsid w:val="399975EF"/>
    <w:rsid w:val="39DE2512"/>
    <w:rsid w:val="39E93760"/>
    <w:rsid w:val="3A0B2595"/>
    <w:rsid w:val="3A2C3B98"/>
    <w:rsid w:val="3A416211"/>
    <w:rsid w:val="3A482FF1"/>
    <w:rsid w:val="3A55514C"/>
    <w:rsid w:val="3A5C1815"/>
    <w:rsid w:val="3A6818FD"/>
    <w:rsid w:val="3AAD1485"/>
    <w:rsid w:val="3AF67281"/>
    <w:rsid w:val="3B2C50DC"/>
    <w:rsid w:val="3B607E2A"/>
    <w:rsid w:val="3B7D1ED4"/>
    <w:rsid w:val="3BA7005C"/>
    <w:rsid w:val="3BB261A0"/>
    <w:rsid w:val="3BC540E7"/>
    <w:rsid w:val="3BDA2A81"/>
    <w:rsid w:val="3BF20FF4"/>
    <w:rsid w:val="3C1A0EDA"/>
    <w:rsid w:val="3C20326E"/>
    <w:rsid w:val="3C276A67"/>
    <w:rsid w:val="3C6F0680"/>
    <w:rsid w:val="3C721D88"/>
    <w:rsid w:val="3C825B04"/>
    <w:rsid w:val="3C932C60"/>
    <w:rsid w:val="3CB54628"/>
    <w:rsid w:val="3CFA171A"/>
    <w:rsid w:val="3CFD5C66"/>
    <w:rsid w:val="3D5417DC"/>
    <w:rsid w:val="3D7A1A13"/>
    <w:rsid w:val="3DAF5EE0"/>
    <w:rsid w:val="3DD526B0"/>
    <w:rsid w:val="3E0B30E3"/>
    <w:rsid w:val="3E131D07"/>
    <w:rsid w:val="3E372257"/>
    <w:rsid w:val="3E4B4131"/>
    <w:rsid w:val="3E9C002F"/>
    <w:rsid w:val="3EA72D51"/>
    <w:rsid w:val="3EAB6930"/>
    <w:rsid w:val="3EB271C0"/>
    <w:rsid w:val="3EC83E70"/>
    <w:rsid w:val="3F4F147D"/>
    <w:rsid w:val="3F585171"/>
    <w:rsid w:val="3F747BEF"/>
    <w:rsid w:val="3FA52D38"/>
    <w:rsid w:val="3FB37414"/>
    <w:rsid w:val="40084668"/>
    <w:rsid w:val="400D2C11"/>
    <w:rsid w:val="401C3696"/>
    <w:rsid w:val="405A1195"/>
    <w:rsid w:val="412543F8"/>
    <w:rsid w:val="41572D21"/>
    <w:rsid w:val="415D489E"/>
    <w:rsid w:val="41C544D0"/>
    <w:rsid w:val="422D6C24"/>
    <w:rsid w:val="424D601B"/>
    <w:rsid w:val="425D0B81"/>
    <w:rsid w:val="42611B01"/>
    <w:rsid w:val="42686235"/>
    <w:rsid w:val="428E665C"/>
    <w:rsid w:val="42E22E0D"/>
    <w:rsid w:val="43045DBD"/>
    <w:rsid w:val="431B1B7B"/>
    <w:rsid w:val="431C4F9D"/>
    <w:rsid w:val="432E4B46"/>
    <w:rsid w:val="43676F5C"/>
    <w:rsid w:val="436A47C7"/>
    <w:rsid w:val="43993A9A"/>
    <w:rsid w:val="43A1162E"/>
    <w:rsid w:val="43CC39E1"/>
    <w:rsid w:val="43CF3214"/>
    <w:rsid w:val="43DB2BD0"/>
    <w:rsid w:val="43DF7E37"/>
    <w:rsid w:val="4408325E"/>
    <w:rsid w:val="445219B8"/>
    <w:rsid w:val="4464161B"/>
    <w:rsid w:val="44734DF7"/>
    <w:rsid w:val="447E146C"/>
    <w:rsid w:val="449D411E"/>
    <w:rsid w:val="44AC3CA0"/>
    <w:rsid w:val="44FC2B6F"/>
    <w:rsid w:val="45026C93"/>
    <w:rsid w:val="451A4FB9"/>
    <w:rsid w:val="45370A42"/>
    <w:rsid w:val="45681062"/>
    <w:rsid w:val="457D424A"/>
    <w:rsid w:val="45F60ADB"/>
    <w:rsid w:val="46271D15"/>
    <w:rsid w:val="465B26EB"/>
    <w:rsid w:val="46A86710"/>
    <w:rsid w:val="46B02191"/>
    <w:rsid w:val="46B74F01"/>
    <w:rsid w:val="46B94BF0"/>
    <w:rsid w:val="46CE2EF9"/>
    <w:rsid w:val="46FF36AA"/>
    <w:rsid w:val="47184352"/>
    <w:rsid w:val="47DF74C5"/>
    <w:rsid w:val="47F545CC"/>
    <w:rsid w:val="483E5BCF"/>
    <w:rsid w:val="48621CD0"/>
    <w:rsid w:val="487F05E2"/>
    <w:rsid w:val="488109ED"/>
    <w:rsid w:val="48937100"/>
    <w:rsid w:val="48B30F2A"/>
    <w:rsid w:val="48B5703D"/>
    <w:rsid w:val="48BE7760"/>
    <w:rsid w:val="48CC55C0"/>
    <w:rsid w:val="48FD2974"/>
    <w:rsid w:val="49255577"/>
    <w:rsid w:val="495D5FC7"/>
    <w:rsid w:val="49686B0C"/>
    <w:rsid w:val="49963205"/>
    <w:rsid w:val="49EC2D3C"/>
    <w:rsid w:val="4A151B87"/>
    <w:rsid w:val="4A197940"/>
    <w:rsid w:val="4AAD5290"/>
    <w:rsid w:val="4AEE1074"/>
    <w:rsid w:val="4B4F5E76"/>
    <w:rsid w:val="4B796FBD"/>
    <w:rsid w:val="4C1371D9"/>
    <w:rsid w:val="4C2540E8"/>
    <w:rsid w:val="4C485B9B"/>
    <w:rsid w:val="4C70036C"/>
    <w:rsid w:val="4C86213D"/>
    <w:rsid w:val="4CAE2B8E"/>
    <w:rsid w:val="4D0456B9"/>
    <w:rsid w:val="4D6802B6"/>
    <w:rsid w:val="4D7263C5"/>
    <w:rsid w:val="4D735FE4"/>
    <w:rsid w:val="4E103AF7"/>
    <w:rsid w:val="4E810FD4"/>
    <w:rsid w:val="4EF03C8D"/>
    <w:rsid w:val="4EFF2D08"/>
    <w:rsid w:val="4F20225C"/>
    <w:rsid w:val="4FA932C4"/>
    <w:rsid w:val="4FBC1645"/>
    <w:rsid w:val="4FE93AFA"/>
    <w:rsid w:val="4FF556CC"/>
    <w:rsid w:val="50233155"/>
    <w:rsid w:val="50623DDB"/>
    <w:rsid w:val="508070CA"/>
    <w:rsid w:val="5107062C"/>
    <w:rsid w:val="510C653B"/>
    <w:rsid w:val="511243DF"/>
    <w:rsid w:val="512E7CBD"/>
    <w:rsid w:val="513B2141"/>
    <w:rsid w:val="518241F8"/>
    <w:rsid w:val="51DA16D0"/>
    <w:rsid w:val="52E32D08"/>
    <w:rsid w:val="52E55361"/>
    <w:rsid w:val="536727E1"/>
    <w:rsid w:val="53945B23"/>
    <w:rsid w:val="53A50F19"/>
    <w:rsid w:val="53BC2299"/>
    <w:rsid w:val="53FF630B"/>
    <w:rsid w:val="54640C5C"/>
    <w:rsid w:val="546525D0"/>
    <w:rsid w:val="548117F1"/>
    <w:rsid w:val="54DC2CDE"/>
    <w:rsid w:val="54DF2E25"/>
    <w:rsid w:val="54F33E2F"/>
    <w:rsid w:val="54FA45CE"/>
    <w:rsid w:val="55010A82"/>
    <w:rsid w:val="550C004B"/>
    <w:rsid w:val="5579353D"/>
    <w:rsid w:val="55DB4501"/>
    <w:rsid w:val="560932FE"/>
    <w:rsid w:val="56DD104C"/>
    <w:rsid w:val="56E84D9B"/>
    <w:rsid w:val="571D0BA3"/>
    <w:rsid w:val="5751295E"/>
    <w:rsid w:val="577853FF"/>
    <w:rsid w:val="57A605D4"/>
    <w:rsid w:val="57B706B8"/>
    <w:rsid w:val="581C1ACD"/>
    <w:rsid w:val="58480EF3"/>
    <w:rsid w:val="58ED12E5"/>
    <w:rsid w:val="59124C0F"/>
    <w:rsid w:val="59644396"/>
    <w:rsid w:val="59876438"/>
    <w:rsid w:val="59A25F36"/>
    <w:rsid w:val="59AB3DF5"/>
    <w:rsid w:val="59AF35BE"/>
    <w:rsid w:val="59CB7ECB"/>
    <w:rsid w:val="5A1A570D"/>
    <w:rsid w:val="5A33685B"/>
    <w:rsid w:val="5A476C93"/>
    <w:rsid w:val="5A5A4AEC"/>
    <w:rsid w:val="5AF20E08"/>
    <w:rsid w:val="5B085C65"/>
    <w:rsid w:val="5B0E083A"/>
    <w:rsid w:val="5B314ED9"/>
    <w:rsid w:val="5B577157"/>
    <w:rsid w:val="5B843AF6"/>
    <w:rsid w:val="5C072935"/>
    <w:rsid w:val="5C24640F"/>
    <w:rsid w:val="5C620FCA"/>
    <w:rsid w:val="5D2D7DD2"/>
    <w:rsid w:val="5D8A3E78"/>
    <w:rsid w:val="5D8B5AB6"/>
    <w:rsid w:val="5DB94CA1"/>
    <w:rsid w:val="5DBD1B05"/>
    <w:rsid w:val="5E7F7AA8"/>
    <w:rsid w:val="5EDB7024"/>
    <w:rsid w:val="5EEA2669"/>
    <w:rsid w:val="5EF61193"/>
    <w:rsid w:val="5F074A92"/>
    <w:rsid w:val="5F0D3FCA"/>
    <w:rsid w:val="5F1D795F"/>
    <w:rsid w:val="5F370ADF"/>
    <w:rsid w:val="5F5D3EC4"/>
    <w:rsid w:val="5F5F42A0"/>
    <w:rsid w:val="5FCA0A1B"/>
    <w:rsid w:val="5FD749AD"/>
    <w:rsid w:val="5FDE72A5"/>
    <w:rsid w:val="5FE55EA4"/>
    <w:rsid w:val="5FFC5BA4"/>
    <w:rsid w:val="5FFF6518"/>
    <w:rsid w:val="6025260A"/>
    <w:rsid w:val="60632DF8"/>
    <w:rsid w:val="606557DC"/>
    <w:rsid w:val="60702568"/>
    <w:rsid w:val="6091421B"/>
    <w:rsid w:val="60992005"/>
    <w:rsid w:val="609D1C55"/>
    <w:rsid w:val="60AC627A"/>
    <w:rsid w:val="60D33FAF"/>
    <w:rsid w:val="60F20CB6"/>
    <w:rsid w:val="610C10C6"/>
    <w:rsid w:val="612B494B"/>
    <w:rsid w:val="61626C55"/>
    <w:rsid w:val="616E731F"/>
    <w:rsid w:val="61C4664C"/>
    <w:rsid w:val="61D1719B"/>
    <w:rsid w:val="61D92A97"/>
    <w:rsid w:val="61EA58A5"/>
    <w:rsid w:val="61F9523B"/>
    <w:rsid w:val="623051ED"/>
    <w:rsid w:val="62446CE6"/>
    <w:rsid w:val="628F06C7"/>
    <w:rsid w:val="62B24199"/>
    <w:rsid w:val="62E84F83"/>
    <w:rsid w:val="62E94D6B"/>
    <w:rsid w:val="632D7CAD"/>
    <w:rsid w:val="63E81D4F"/>
    <w:rsid w:val="64173D22"/>
    <w:rsid w:val="643403E1"/>
    <w:rsid w:val="64445760"/>
    <w:rsid w:val="646503BC"/>
    <w:rsid w:val="651442A2"/>
    <w:rsid w:val="652E1A88"/>
    <w:rsid w:val="655E469A"/>
    <w:rsid w:val="65680627"/>
    <w:rsid w:val="65A01D8E"/>
    <w:rsid w:val="65CA7432"/>
    <w:rsid w:val="664358DD"/>
    <w:rsid w:val="66CE2B70"/>
    <w:rsid w:val="677A2230"/>
    <w:rsid w:val="67E47A06"/>
    <w:rsid w:val="68087F84"/>
    <w:rsid w:val="68296D75"/>
    <w:rsid w:val="684C7D48"/>
    <w:rsid w:val="68535B2D"/>
    <w:rsid w:val="689403A5"/>
    <w:rsid w:val="68BF097E"/>
    <w:rsid w:val="68DD680F"/>
    <w:rsid w:val="68EB3285"/>
    <w:rsid w:val="692F542A"/>
    <w:rsid w:val="69525718"/>
    <w:rsid w:val="699D0E1B"/>
    <w:rsid w:val="69B32909"/>
    <w:rsid w:val="69BE7298"/>
    <w:rsid w:val="69D42C3D"/>
    <w:rsid w:val="6A061909"/>
    <w:rsid w:val="6A4F4A85"/>
    <w:rsid w:val="6AB05A94"/>
    <w:rsid w:val="6AB553BB"/>
    <w:rsid w:val="6AC02E7D"/>
    <w:rsid w:val="6ACE3433"/>
    <w:rsid w:val="6AF7000B"/>
    <w:rsid w:val="6B1A197D"/>
    <w:rsid w:val="6B452A58"/>
    <w:rsid w:val="6B7E7CC4"/>
    <w:rsid w:val="6C321E85"/>
    <w:rsid w:val="6C662390"/>
    <w:rsid w:val="6C7636AA"/>
    <w:rsid w:val="6C834A4A"/>
    <w:rsid w:val="6CA15E50"/>
    <w:rsid w:val="6CB26EA4"/>
    <w:rsid w:val="6CE55F22"/>
    <w:rsid w:val="6DC145CF"/>
    <w:rsid w:val="6DCC2BE1"/>
    <w:rsid w:val="6DEC3904"/>
    <w:rsid w:val="6E0D153B"/>
    <w:rsid w:val="6E461A97"/>
    <w:rsid w:val="6E5C2B1A"/>
    <w:rsid w:val="6E7332D5"/>
    <w:rsid w:val="6E7773E0"/>
    <w:rsid w:val="6E921074"/>
    <w:rsid w:val="6E951EBE"/>
    <w:rsid w:val="6EC44855"/>
    <w:rsid w:val="6F031300"/>
    <w:rsid w:val="6F386FE2"/>
    <w:rsid w:val="6F4339E5"/>
    <w:rsid w:val="6F7420FD"/>
    <w:rsid w:val="6FB61A78"/>
    <w:rsid w:val="6FCD159A"/>
    <w:rsid w:val="6FCE3958"/>
    <w:rsid w:val="6FE3093B"/>
    <w:rsid w:val="6FEC7A24"/>
    <w:rsid w:val="702C316E"/>
    <w:rsid w:val="7064077F"/>
    <w:rsid w:val="70664521"/>
    <w:rsid w:val="707508B4"/>
    <w:rsid w:val="707644A0"/>
    <w:rsid w:val="708D36D9"/>
    <w:rsid w:val="70DA4716"/>
    <w:rsid w:val="7168123E"/>
    <w:rsid w:val="71742AB6"/>
    <w:rsid w:val="718B0F2B"/>
    <w:rsid w:val="71A54932"/>
    <w:rsid w:val="71F5150B"/>
    <w:rsid w:val="723421CA"/>
    <w:rsid w:val="72364567"/>
    <w:rsid w:val="724439B7"/>
    <w:rsid w:val="72977C7E"/>
    <w:rsid w:val="72C25D29"/>
    <w:rsid w:val="72E50AF4"/>
    <w:rsid w:val="72F703D7"/>
    <w:rsid w:val="7335541A"/>
    <w:rsid w:val="73641703"/>
    <w:rsid w:val="738A15C9"/>
    <w:rsid w:val="73C10C2D"/>
    <w:rsid w:val="73FC0510"/>
    <w:rsid w:val="7405477C"/>
    <w:rsid w:val="741A2BB9"/>
    <w:rsid w:val="74273276"/>
    <w:rsid w:val="742A7D22"/>
    <w:rsid w:val="74863565"/>
    <w:rsid w:val="74911D0A"/>
    <w:rsid w:val="749B4D02"/>
    <w:rsid w:val="74DD3896"/>
    <w:rsid w:val="74DE57C0"/>
    <w:rsid w:val="750967F7"/>
    <w:rsid w:val="75141DA2"/>
    <w:rsid w:val="755E78AB"/>
    <w:rsid w:val="7562391A"/>
    <w:rsid w:val="75623E15"/>
    <w:rsid w:val="75654BE6"/>
    <w:rsid w:val="757A3718"/>
    <w:rsid w:val="759832E6"/>
    <w:rsid w:val="76045BAC"/>
    <w:rsid w:val="76173EBF"/>
    <w:rsid w:val="76761667"/>
    <w:rsid w:val="76807A8E"/>
    <w:rsid w:val="771B6FF4"/>
    <w:rsid w:val="773A08FA"/>
    <w:rsid w:val="77637680"/>
    <w:rsid w:val="77B65398"/>
    <w:rsid w:val="77C37B25"/>
    <w:rsid w:val="781B7FD6"/>
    <w:rsid w:val="783645CA"/>
    <w:rsid w:val="78A452AC"/>
    <w:rsid w:val="78BA7CFB"/>
    <w:rsid w:val="79216803"/>
    <w:rsid w:val="792A2864"/>
    <w:rsid w:val="797568ED"/>
    <w:rsid w:val="7996610D"/>
    <w:rsid w:val="7A024380"/>
    <w:rsid w:val="7AA97940"/>
    <w:rsid w:val="7AE11E44"/>
    <w:rsid w:val="7B290F02"/>
    <w:rsid w:val="7BBD1694"/>
    <w:rsid w:val="7BBD6D6A"/>
    <w:rsid w:val="7C424D12"/>
    <w:rsid w:val="7C5A43CD"/>
    <w:rsid w:val="7C603C72"/>
    <w:rsid w:val="7C691D7C"/>
    <w:rsid w:val="7C89225A"/>
    <w:rsid w:val="7C8C08B0"/>
    <w:rsid w:val="7C991F0B"/>
    <w:rsid w:val="7D053632"/>
    <w:rsid w:val="7D2C440A"/>
    <w:rsid w:val="7D444D02"/>
    <w:rsid w:val="7D730950"/>
    <w:rsid w:val="7D91758A"/>
    <w:rsid w:val="7DAE7AD5"/>
    <w:rsid w:val="7DE26243"/>
    <w:rsid w:val="7E467F9E"/>
    <w:rsid w:val="7E5B6D2B"/>
    <w:rsid w:val="7E92300C"/>
    <w:rsid w:val="7E971F2C"/>
    <w:rsid w:val="7E9B39EA"/>
    <w:rsid w:val="7EA37D3E"/>
    <w:rsid w:val="7F08435C"/>
    <w:rsid w:val="7F0E05D4"/>
    <w:rsid w:val="7F2A79D2"/>
    <w:rsid w:val="7F3F2C1B"/>
    <w:rsid w:val="7F515B9E"/>
    <w:rsid w:val="7F5268BB"/>
    <w:rsid w:val="7FD336C4"/>
    <w:rsid w:val="7FD70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pageBreakBefore/>
      <w:pBdr>
        <w:bottom w:val="single" w:color="auto" w:sz="12" w:space="1"/>
      </w:pBdr>
      <w:tabs>
        <w:tab w:val="left" w:pos="425"/>
      </w:tabs>
      <w:spacing w:before="960" w:after="960"/>
      <w:ind w:left="425" w:hanging="425"/>
      <w:outlineLvl w:val="0"/>
    </w:pPr>
    <w:rPr>
      <w:rFonts w:eastAsia="黑体"/>
      <w:b/>
      <w:bCs/>
      <w:kern w:val="44"/>
      <w:sz w:val="32"/>
      <w:szCs w:val="44"/>
    </w:rPr>
  </w:style>
  <w:style w:type="paragraph" w:styleId="4">
    <w:name w:val="heading 2"/>
    <w:basedOn w:val="1"/>
    <w:next w:val="1"/>
    <w:link w:val="29"/>
    <w:qFormat/>
    <w:uiPriority w:val="99"/>
    <w:pPr>
      <w:keepNext/>
      <w:keepLines/>
      <w:numPr>
        <w:ilvl w:val="1"/>
        <w:numId w:val="1"/>
      </w:numPr>
      <w:tabs>
        <w:tab w:val="left" w:pos="425"/>
      </w:tabs>
      <w:spacing w:after="60" w:line="360" w:lineRule="auto"/>
      <w:outlineLvl w:val="1"/>
    </w:pPr>
    <w:rPr>
      <w:rFonts w:eastAsia="黑体"/>
      <w:b/>
      <w:bCs/>
      <w:sz w:val="24"/>
    </w:rPr>
  </w:style>
  <w:style w:type="paragraph" w:styleId="5">
    <w:name w:val="heading 3"/>
    <w:basedOn w:val="1"/>
    <w:next w:val="1"/>
    <w:link w:val="65"/>
    <w:qFormat/>
    <w:uiPriority w:val="99"/>
    <w:pPr>
      <w:keepNext/>
      <w:keepLines/>
      <w:numPr>
        <w:ilvl w:val="2"/>
        <w:numId w:val="1"/>
      </w:numPr>
      <w:spacing w:after="60" w:line="360" w:lineRule="auto"/>
      <w:outlineLvl w:val="2"/>
    </w:pPr>
    <w:rPr>
      <w:b/>
      <w:bCs/>
      <w:sz w:val="24"/>
      <w:szCs w:val="32"/>
    </w:rPr>
  </w:style>
  <w:style w:type="paragraph" w:styleId="6">
    <w:name w:val="heading 4"/>
    <w:basedOn w:val="1"/>
    <w:next w:val="1"/>
    <w:link w:val="64"/>
    <w:qFormat/>
    <w:uiPriority w:val="0"/>
    <w:pPr>
      <w:keepNext/>
      <w:keepLines/>
      <w:numPr>
        <w:ilvl w:val="0"/>
        <w:numId w:val="2"/>
      </w:numPr>
      <w:spacing w:after="60" w:line="360" w:lineRule="auto"/>
      <w:outlineLvl w:val="3"/>
    </w:pPr>
    <w:rPr>
      <w:rFonts w:ascii="Times New Roman" w:hAnsi="Times New Roman" w:eastAsia="宋体"/>
      <w:b/>
      <w:bCs/>
    </w:rPr>
  </w:style>
  <w:style w:type="paragraph" w:styleId="7">
    <w:name w:val="heading 5"/>
    <w:basedOn w:val="1"/>
    <w:next w:val="1"/>
    <w:semiHidden/>
    <w:unhideWhenUsed/>
    <w:qFormat/>
    <w:uiPriority w:val="0"/>
    <w:pPr>
      <w:keepNext/>
      <w:keepLines/>
      <w:numPr>
        <w:ilvl w:val="4"/>
        <w:numId w:val="3"/>
      </w:numPr>
      <w:spacing w:before="280" w:beforeLines="0" w:beforeAutospacing="0" w:after="290" w:afterLines="0" w:afterAutospacing="0" w:line="372" w:lineRule="auto"/>
      <w:ind w:left="1008" w:hanging="1008"/>
      <w:outlineLvl w:val="4"/>
    </w:pPr>
    <w:rPr>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67"/>
    <w:unhideWhenUsed/>
    <w:qFormat/>
    <w:uiPriority w:val="99"/>
    <w:pPr>
      <w:spacing w:after="120"/>
    </w:pPr>
  </w:style>
  <w:style w:type="paragraph" w:styleId="8">
    <w:name w:val="Normal Indent"/>
    <w:basedOn w:val="1"/>
    <w:link w:val="52"/>
    <w:qFormat/>
    <w:uiPriority w:val="0"/>
    <w:pPr>
      <w:spacing w:line="360" w:lineRule="auto"/>
      <w:ind w:firstLine="482"/>
    </w:pPr>
    <w:rPr>
      <w:sz w:val="24"/>
      <w:szCs w:val="20"/>
    </w:rPr>
  </w:style>
  <w:style w:type="paragraph" w:styleId="9">
    <w:name w:val="caption"/>
    <w:basedOn w:val="1"/>
    <w:next w:val="1"/>
    <w:qFormat/>
    <w:uiPriority w:val="0"/>
    <w:pPr>
      <w:jc w:val="center"/>
    </w:pPr>
    <w:rPr>
      <w:rFonts w:ascii="Calibri" w:hAnsi="Calibri" w:cs="黑体"/>
      <w:b/>
      <w:szCs w:val="20"/>
    </w:rPr>
  </w:style>
  <w:style w:type="paragraph" w:styleId="10">
    <w:name w:val="annotation text"/>
    <w:basedOn w:val="1"/>
    <w:link w:val="68"/>
    <w:qFormat/>
    <w:uiPriority w:val="99"/>
    <w:pPr>
      <w:keepNext w:val="0"/>
      <w:keepLines w:val="0"/>
      <w:widowControl w:val="0"/>
      <w:suppressLineNumbers w:val="0"/>
      <w:spacing w:before="0" w:beforeAutospacing="0" w:after="0" w:afterAutospacing="0" w:line="360" w:lineRule="auto"/>
      <w:ind w:left="0" w:right="0"/>
      <w:jc w:val="left"/>
    </w:pPr>
    <w:rPr>
      <w:rFonts w:hint="default" w:ascii="Times New Roman" w:hAnsi="Times New Roman" w:eastAsia="宋体" w:cs="Times New Roman"/>
      <w:kern w:val="2"/>
      <w:sz w:val="24"/>
      <w:szCs w:val="24"/>
      <w:lang w:val="en-US" w:eastAsia="zh-CN" w:bidi="ar"/>
    </w:rPr>
  </w:style>
  <w:style w:type="paragraph" w:styleId="11">
    <w:name w:val="toc 3"/>
    <w:basedOn w:val="1"/>
    <w:next w:val="1"/>
    <w:qFormat/>
    <w:uiPriority w:val="39"/>
    <w:pPr>
      <w:ind w:left="840" w:leftChars="400"/>
    </w:pPr>
  </w:style>
  <w:style w:type="paragraph" w:styleId="12">
    <w:name w:val="Body Text Indent 2"/>
    <w:basedOn w:val="1"/>
    <w:link w:val="51"/>
    <w:qFormat/>
    <w:uiPriority w:val="0"/>
    <w:pPr>
      <w:spacing w:after="120" w:line="480" w:lineRule="auto"/>
      <w:ind w:left="420" w:leftChars="200"/>
    </w:pPr>
  </w:style>
  <w:style w:type="paragraph" w:styleId="13">
    <w:name w:val="Balloon Text"/>
    <w:basedOn w:val="1"/>
    <w:link w:val="47"/>
    <w:qFormat/>
    <w:uiPriority w:val="0"/>
    <w:rPr>
      <w:sz w:val="18"/>
      <w:szCs w:val="18"/>
    </w:rPr>
  </w:style>
  <w:style w:type="paragraph" w:styleId="14">
    <w:name w:val="footer"/>
    <w:basedOn w:val="1"/>
    <w:link w:val="54"/>
    <w:qFormat/>
    <w:uiPriority w:val="99"/>
    <w:pPr>
      <w:tabs>
        <w:tab w:val="center" w:pos="4153"/>
        <w:tab w:val="right" w:pos="8306"/>
      </w:tabs>
      <w:snapToGrid w:val="0"/>
      <w:jc w:val="left"/>
    </w:pPr>
    <w:rPr>
      <w:sz w:val="18"/>
      <w:szCs w:val="18"/>
    </w:rPr>
  </w:style>
  <w:style w:type="paragraph" w:styleId="15">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39"/>
  </w:style>
  <w:style w:type="paragraph" w:styleId="17">
    <w:name w:val="footnote text"/>
    <w:basedOn w:val="1"/>
    <w:qFormat/>
    <w:uiPriority w:val="0"/>
    <w:pPr>
      <w:snapToGrid w:val="0"/>
      <w:jc w:val="left"/>
    </w:pPr>
    <w:rPr>
      <w:sz w:val="18"/>
    </w:rPr>
  </w:style>
  <w:style w:type="paragraph" w:styleId="18">
    <w:name w:val="toc 2"/>
    <w:basedOn w:val="1"/>
    <w:next w:val="1"/>
    <w:qFormat/>
    <w:uiPriority w:val="39"/>
    <w:pPr>
      <w:ind w:left="420" w:leftChars="200"/>
    </w:pPr>
  </w:style>
  <w:style w:type="paragraph" w:styleId="1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0">
    <w:name w:val="annotation subject"/>
    <w:basedOn w:val="10"/>
    <w:next w:val="10"/>
    <w:link w:val="49"/>
    <w:qFormat/>
    <w:uiPriority w:val="0"/>
    <w:rPr>
      <w:b/>
      <w:bCs/>
    </w:rPr>
  </w:style>
  <w:style w:type="table" w:styleId="22">
    <w:name w:val="Table Grid"/>
    <w:basedOn w:val="2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basedOn w:val="23"/>
    <w:qFormat/>
    <w:uiPriority w:val="0"/>
    <w:rPr>
      <w:b/>
    </w:rPr>
  </w:style>
  <w:style w:type="character" w:styleId="25">
    <w:name w:val="FollowedHyperlink"/>
    <w:basedOn w:val="23"/>
    <w:qFormat/>
    <w:uiPriority w:val="0"/>
    <w:rPr>
      <w:color w:val="333333"/>
      <w:u w:val="none"/>
    </w:rPr>
  </w:style>
  <w:style w:type="character" w:styleId="26">
    <w:name w:val="Hyperlink"/>
    <w:qFormat/>
    <w:uiPriority w:val="99"/>
    <w:rPr>
      <w:color w:val="000000"/>
      <w:u w:val="none"/>
    </w:rPr>
  </w:style>
  <w:style w:type="character" w:styleId="27">
    <w:name w:val="annotation reference"/>
    <w:basedOn w:val="23"/>
    <w:qFormat/>
    <w:uiPriority w:val="0"/>
    <w:rPr>
      <w:sz w:val="21"/>
      <w:szCs w:val="21"/>
    </w:rPr>
  </w:style>
  <w:style w:type="character" w:styleId="28">
    <w:name w:val="footnote reference"/>
    <w:basedOn w:val="23"/>
    <w:qFormat/>
    <w:uiPriority w:val="0"/>
    <w:rPr>
      <w:vertAlign w:val="superscript"/>
    </w:rPr>
  </w:style>
  <w:style w:type="character" w:customStyle="1" w:styleId="29">
    <w:name w:val="标题 2 Char"/>
    <w:link w:val="4"/>
    <w:qFormat/>
    <w:uiPriority w:val="99"/>
    <w:rPr>
      <w:rFonts w:eastAsia="黑体"/>
      <w:b/>
      <w:bCs/>
      <w:kern w:val="2"/>
      <w:sz w:val="24"/>
      <w:szCs w:val="24"/>
    </w:rPr>
  </w:style>
  <w:style w:type="paragraph" w:customStyle="1" w:styleId="30">
    <w:name w:val="Default"/>
    <w:qFormat/>
    <w:uiPriority w:val="99"/>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1">
    <w:name w:val="君邦正文"/>
    <w:basedOn w:val="1"/>
    <w:link w:val="50"/>
    <w:qFormat/>
    <w:uiPriority w:val="0"/>
    <w:pPr>
      <w:spacing w:after="60" w:line="360" w:lineRule="auto"/>
      <w:ind w:firstLine="200" w:firstLineChars="200"/>
    </w:pPr>
    <w:rPr>
      <w:sz w:val="24"/>
      <w:szCs w:val="20"/>
    </w:rPr>
  </w:style>
  <w:style w:type="paragraph" w:styleId="32">
    <w:name w:val="List Paragraph"/>
    <w:basedOn w:val="1"/>
    <w:qFormat/>
    <w:uiPriority w:val="34"/>
    <w:pPr>
      <w:ind w:firstLine="420" w:firstLineChars="200"/>
    </w:pPr>
  </w:style>
  <w:style w:type="paragraph" w:customStyle="1" w:styleId="33">
    <w:name w:val="表"/>
    <w:basedOn w:val="1"/>
    <w:qFormat/>
    <w:uiPriority w:val="0"/>
    <w:pPr>
      <w:snapToGrid w:val="0"/>
      <w:jc w:val="center"/>
    </w:pPr>
    <w:rPr>
      <w:spacing w:val="2"/>
      <w:szCs w:val="20"/>
    </w:rPr>
  </w:style>
  <w:style w:type="paragraph" w:customStyle="1" w:styleId="34">
    <w:name w:val="表头样式1"/>
    <w:basedOn w:val="1"/>
    <w:qFormat/>
    <w:uiPriority w:val="0"/>
    <w:pPr>
      <w:spacing w:before="156" w:beforeLines="50"/>
      <w:jc w:val="center"/>
    </w:pPr>
    <w:rPr>
      <w:rFonts w:eastAsia="黑体"/>
      <w:b/>
      <w:sz w:val="24"/>
      <w:szCs w:val="20"/>
    </w:rPr>
  </w:style>
  <w:style w:type="paragraph" w:customStyle="1" w:styleId="35">
    <w:name w:val="报告书正文"/>
    <w:basedOn w:val="1"/>
    <w:qFormat/>
    <w:uiPriority w:val="0"/>
    <w:pPr>
      <w:jc w:val="left"/>
    </w:pPr>
  </w:style>
  <w:style w:type="paragraph" w:customStyle="1" w:styleId="36">
    <w:name w:val="无间隔2"/>
    <w:basedOn w:val="1"/>
    <w:qFormat/>
    <w:uiPriority w:val="0"/>
    <w:pPr>
      <w:adjustRightInd w:val="0"/>
      <w:snapToGrid w:val="0"/>
      <w:ind w:firstLine="480" w:firstLineChars="200"/>
    </w:pPr>
    <w:rPr>
      <w:sz w:val="24"/>
    </w:rPr>
  </w:style>
  <w:style w:type="paragraph" w:customStyle="1" w:styleId="37">
    <w:name w:val="表内格式"/>
    <w:basedOn w:val="1"/>
    <w:qFormat/>
    <w:uiPriority w:val="0"/>
    <w:pPr>
      <w:jc w:val="center"/>
    </w:pPr>
    <w:rPr>
      <w:sz w:val="18"/>
      <w:szCs w:val="20"/>
    </w:rPr>
  </w:style>
  <w:style w:type="paragraph" w:customStyle="1" w:styleId="38">
    <w:name w:val="表格内容"/>
    <w:basedOn w:val="1"/>
    <w:qFormat/>
    <w:uiPriority w:val="0"/>
    <w:pPr>
      <w:spacing w:line="240" w:lineRule="exact"/>
    </w:pPr>
    <w:rPr>
      <w:kern w:val="0"/>
      <w:szCs w:val="21"/>
    </w:rPr>
  </w:style>
  <w:style w:type="character" w:customStyle="1" w:styleId="39">
    <w:name w:val="bzrq"/>
    <w:basedOn w:val="23"/>
    <w:qFormat/>
    <w:uiPriority w:val="0"/>
  </w:style>
  <w:style w:type="character" w:customStyle="1" w:styleId="40">
    <w:name w:val="sysj"/>
    <w:basedOn w:val="23"/>
    <w:qFormat/>
    <w:uiPriority w:val="0"/>
  </w:style>
  <w:style w:type="character" w:customStyle="1" w:styleId="41">
    <w:name w:val="thisit"/>
    <w:basedOn w:val="23"/>
    <w:qFormat/>
    <w:uiPriority w:val="0"/>
  </w:style>
  <w:style w:type="character" w:customStyle="1" w:styleId="42">
    <w:name w:val="f_r6"/>
    <w:basedOn w:val="23"/>
    <w:qFormat/>
    <w:uiPriority w:val="0"/>
  </w:style>
  <w:style w:type="character" w:customStyle="1" w:styleId="43">
    <w:name w:val="bzmc"/>
    <w:basedOn w:val="23"/>
    <w:qFormat/>
    <w:uiPriority w:val="0"/>
  </w:style>
  <w:style w:type="character" w:customStyle="1" w:styleId="44">
    <w:name w:val="bzmc1"/>
    <w:basedOn w:val="23"/>
    <w:qFormat/>
    <w:uiPriority w:val="0"/>
  </w:style>
  <w:style w:type="character" w:customStyle="1" w:styleId="45">
    <w:name w:val="bzmc2"/>
    <w:basedOn w:val="23"/>
    <w:qFormat/>
    <w:uiPriority w:val="0"/>
  </w:style>
  <w:style w:type="character" w:customStyle="1" w:styleId="46">
    <w:name w:val="bzrq2"/>
    <w:basedOn w:val="23"/>
    <w:qFormat/>
    <w:uiPriority w:val="0"/>
  </w:style>
  <w:style w:type="character" w:customStyle="1" w:styleId="47">
    <w:name w:val="批注框文本 Char"/>
    <w:basedOn w:val="23"/>
    <w:link w:val="13"/>
    <w:qFormat/>
    <w:uiPriority w:val="0"/>
    <w:rPr>
      <w:kern w:val="2"/>
      <w:sz w:val="18"/>
      <w:szCs w:val="18"/>
    </w:rPr>
  </w:style>
  <w:style w:type="character" w:customStyle="1" w:styleId="48">
    <w:name w:val="批注文字 Char"/>
    <w:basedOn w:val="23"/>
    <w:link w:val="10"/>
    <w:qFormat/>
    <w:uiPriority w:val="99"/>
    <w:rPr>
      <w:kern w:val="2"/>
      <w:sz w:val="21"/>
      <w:szCs w:val="24"/>
    </w:rPr>
  </w:style>
  <w:style w:type="character" w:customStyle="1" w:styleId="49">
    <w:name w:val="批注主题 Char"/>
    <w:basedOn w:val="48"/>
    <w:link w:val="20"/>
    <w:qFormat/>
    <w:uiPriority w:val="0"/>
    <w:rPr>
      <w:b/>
      <w:bCs/>
      <w:kern w:val="2"/>
      <w:sz w:val="21"/>
      <w:szCs w:val="24"/>
    </w:rPr>
  </w:style>
  <w:style w:type="character" w:customStyle="1" w:styleId="50">
    <w:name w:val="君邦正文 Char2"/>
    <w:link w:val="31"/>
    <w:qFormat/>
    <w:uiPriority w:val="0"/>
    <w:rPr>
      <w:kern w:val="2"/>
      <w:sz w:val="24"/>
    </w:rPr>
  </w:style>
  <w:style w:type="character" w:customStyle="1" w:styleId="51">
    <w:name w:val="正文文本缩进 2 Char"/>
    <w:link w:val="12"/>
    <w:qFormat/>
    <w:uiPriority w:val="0"/>
    <w:rPr>
      <w:kern w:val="2"/>
      <w:sz w:val="21"/>
      <w:szCs w:val="24"/>
    </w:rPr>
  </w:style>
  <w:style w:type="character" w:customStyle="1" w:styleId="52">
    <w:name w:val="正文缩进 Char"/>
    <w:link w:val="8"/>
    <w:qFormat/>
    <w:uiPriority w:val="0"/>
    <w:rPr>
      <w:kern w:val="2"/>
      <w:sz w:val="24"/>
    </w:rPr>
  </w:style>
  <w:style w:type="paragraph" w:customStyle="1" w:styleId="53">
    <w:name w:val="目录"/>
    <w:basedOn w:val="31"/>
    <w:next w:val="31"/>
    <w:qFormat/>
    <w:uiPriority w:val="0"/>
    <w:pPr>
      <w:pBdr>
        <w:bottom w:val="single" w:color="auto" w:sz="12" w:space="1"/>
      </w:pBdr>
      <w:spacing w:before="960" w:after="960"/>
      <w:ind w:firstLine="0" w:firstLineChars="0"/>
      <w:jc w:val="right"/>
    </w:pPr>
    <w:rPr>
      <w:rFonts w:eastAsia="黑体"/>
      <w:b/>
      <w:i/>
      <w:sz w:val="32"/>
    </w:rPr>
  </w:style>
  <w:style w:type="character" w:customStyle="1" w:styleId="54">
    <w:name w:val="页脚 Char"/>
    <w:basedOn w:val="23"/>
    <w:link w:val="14"/>
    <w:qFormat/>
    <w:uiPriority w:val="99"/>
    <w:rPr>
      <w:kern w:val="2"/>
      <w:sz w:val="18"/>
      <w:szCs w:val="18"/>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WPSOffice手动目录 2"/>
    <w:qFormat/>
    <w:uiPriority w:val="0"/>
    <w:pPr>
      <w:ind w:leftChars="200"/>
    </w:pPr>
    <w:rPr>
      <w:rFonts w:ascii="Times New Roman" w:hAnsi="Times New Roman" w:eastAsia="宋体" w:cs="Times New Roman"/>
      <w:sz w:val="20"/>
      <w:szCs w:val="20"/>
    </w:rPr>
  </w:style>
  <w:style w:type="paragraph" w:customStyle="1" w:styleId="57">
    <w:name w:val="正文缩进1"/>
    <w:basedOn w:val="1"/>
    <w:qFormat/>
    <w:uiPriority w:val="0"/>
    <w:pPr>
      <w:spacing w:after="160" w:line="259" w:lineRule="auto"/>
      <w:ind w:firstLine="200" w:firstLineChars="200"/>
    </w:pPr>
    <w:rPr>
      <w:rFonts w:eastAsia="宋体"/>
      <w:sz w:val="21"/>
    </w:rPr>
  </w:style>
  <w:style w:type="character" w:customStyle="1" w:styleId="58">
    <w:name w:val="fontstyle01"/>
    <w:basedOn w:val="23"/>
    <w:qFormat/>
    <w:uiPriority w:val="0"/>
    <w:rPr>
      <w:rFonts w:hint="eastAsia" w:ascii="宋体" w:hAnsi="宋体" w:eastAsia="宋体" w:cs="宋体"/>
      <w:color w:val="000000"/>
      <w:sz w:val="44"/>
      <w:szCs w:val="44"/>
    </w:rPr>
  </w:style>
  <w:style w:type="character" w:customStyle="1" w:styleId="59">
    <w:name w:val="fontstyle21"/>
    <w:basedOn w:val="23"/>
    <w:qFormat/>
    <w:uiPriority w:val="0"/>
    <w:rPr>
      <w:rFonts w:ascii="黑体" w:hAnsi="宋体" w:eastAsia="黑体" w:cs="黑体"/>
      <w:color w:val="000000"/>
      <w:sz w:val="48"/>
      <w:szCs w:val="48"/>
    </w:rPr>
  </w:style>
  <w:style w:type="character" w:customStyle="1" w:styleId="60">
    <w:name w:val="fontstyle11"/>
    <w:basedOn w:val="23"/>
    <w:qFormat/>
    <w:uiPriority w:val="0"/>
    <w:rPr>
      <w:rFonts w:hint="default" w:ascii="Times New Roman" w:hAnsi="Times New Roman" w:cs="Times New Roman"/>
      <w:color w:val="000000"/>
      <w:sz w:val="24"/>
      <w:szCs w:val="24"/>
    </w:rPr>
  </w:style>
  <w:style w:type="character" w:customStyle="1" w:styleId="61">
    <w:name w:val="font61"/>
    <w:basedOn w:val="23"/>
    <w:qFormat/>
    <w:uiPriority w:val="0"/>
    <w:rPr>
      <w:rFonts w:hint="eastAsia" w:ascii="宋体" w:hAnsi="宋体" w:eastAsia="宋体" w:cs="宋体"/>
      <w:color w:val="000000"/>
      <w:sz w:val="20"/>
      <w:szCs w:val="20"/>
      <w:u w:val="none"/>
    </w:rPr>
  </w:style>
  <w:style w:type="character" w:customStyle="1" w:styleId="62">
    <w:name w:val="font11"/>
    <w:basedOn w:val="23"/>
    <w:qFormat/>
    <w:uiPriority w:val="0"/>
    <w:rPr>
      <w:rFonts w:hint="eastAsia" w:ascii="宋体" w:hAnsi="宋体" w:eastAsia="宋体" w:cs="宋体"/>
      <w:color w:val="000000"/>
      <w:sz w:val="22"/>
      <w:szCs w:val="22"/>
      <w:u w:val="none"/>
    </w:rPr>
  </w:style>
  <w:style w:type="character" w:customStyle="1" w:styleId="63">
    <w:name w:val="font01"/>
    <w:basedOn w:val="23"/>
    <w:qFormat/>
    <w:uiPriority w:val="0"/>
    <w:rPr>
      <w:rFonts w:hint="default" w:ascii="Times New Roman" w:hAnsi="Times New Roman" w:cs="Times New Roman"/>
      <w:color w:val="000000"/>
      <w:sz w:val="22"/>
      <w:szCs w:val="22"/>
      <w:u w:val="none"/>
    </w:rPr>
  </w:style>
  <w:style w:type="character" w:customStyle="1" w:styleId="64">
    <w:name w:val="标题 4 Char"/>
    <w:link w:val="6"/>
    <w:qFormat/>
    <w:uiPriority w:val="0"/>
    <w:rPr>
      <w:rFonts w:ascii="Times New Roman" w:hAnsi="Times New Roman" w:eastAsia="宋体"/>
      <w:b/>
      <w:bCs/>
      <w:sz w:val="24"/>
      <w:szCs w:val="24"/>
    </w:rPr>
  </w:style>
  <w:style w:type="character" w:customStyle="1" w:styleId="65">
    <w:name w:val="标题 3 Char1"/>
    <w:link w:val="5"/>
    <w:qFormat/>
    <w:uiPriority w:val="99"/>
    <w:rPr>
      <w:b/>
      <w:bCs/>
      <w:sz w:val="24"/>
      <w:szCs w:val="32"/>
    </w:rPr>
  </w:style>
  <w:style w:type="character" w:customStyle="1" w:styleId="66">
    <w:name w:val="font31"/>
    <w:basedOn w:val="23"/>
    <w:qFormat/>
    <w:uiPriority w:val="0"/>
    <w:rPr>
      <w:rFonts w:hint="default" w:ascii="Times New Roman" w:hAnsi="Times New Roman" w:cs="Times New Roman"/>
      <w:color w:val="000000"/>
      <w:sz w:val="21"/>
      <w:szCs w:val="21"/>
      <w:u w:val="none"/>
      <w:vertAlign w:val="subscript"/>
    </w:rPr>
  </w:style>
  <w:style w:type="character" w:customStyle="1" w:styleId="67">
    <w:name w:val="正文文本 字符"/>
    <w:basedOn w:val="23"/>
    <w:link w:val="2"/>
    <w:qFormat/>
    <w:uiPriority w:val="0"/>
    <w:rPr>
      <w:kern w:val="2"/>
      <w:sz w:val="24"/>
      <w:szCs w:val="24"/>
    </w:rPr>
  </w:style>
  <w:style w:type="character" w:customStyle="1" w:styleId="68">
    <w:name w:val="批注文字 字符"/>
    <w:basedOn w:val="23"/>
    <w:link w:val="10"/>
    <w:qFormat/>
    <w:uiPriority w:val="0"/>
    <w:rPr>
      <w:kern w:val="2"/>
      <w:sz w:val="24"/>
      <w:szCs w:val="24"/>
    </w:rPr>
  </w:style>
  <w:style w:type="character" w:customStyle="1" w:styleId="69">
    <w:name w:val="font21"/>
    <w:basedOn w:val="23"/>
    <w:qFormat/>
    <w:uiPriority w:val="0"/>
    <w:rPr>
      <w:rFonts w:hint="eastAsia" w:ascii="宋体" w:hAnsi="宋体" w:eastAsia="宋体" w:cs="宋体"/>
      <w:color w:val="FF0000"/>
      <w:sz w:val="21"/>
      <w:szCs w:val="21"/>
      <w:u w:val="none"/>
    </w:rPr>
  </w:style>
  <w:style w:type="character" w:customStyle="1" w:styleId="70">
    <w:name w:val="font41"/>
    <w:basedOn w:val="23"/>
    <w:qFormat/>
    <w:uiPriority w:val="0"/>
    <w:rPr>
      <w:rFonts w:hint="default" w:ascii="Times New Roman" w:hAnsi="Times New Roman" w:cs="Times New Roman"/>
      <w:color w:val="000000"/>
      <w:sz w:val="21"/>
      <w:szCs w:val="21"/>
      <w:u w:val="none"/>
    </w:rPr>
  </w:style>
  <w:style w:type="character" w:customStyle="1" w:styleId="71">
    <w:name w:val="font51"/>
    <w:basedOn w:val="23"/>
    <w:qFormat/>
    <w:uiPriority w:val="0"/>
    <w:rPr>
      <w:rFonts w:hint="default" w:ascii="Times New Roman" w:hAnsi="Times New Roman" w:cs="Times New Roman"/>
      <w:color w:val="131313"/>
      <w:sz w:val="24"/>
      <w:szCs w:val="24"/>
      <w:u w:val="none"/>
    </w:rPr>
  </w:style>
  <w:style w:type="character" w:customStyle="1" w:styleId="72">
    <w:name w:val="font81"/>
    <w:basedOn w:val="23"/>
    <w:qFormat/>
    <w:uiPriority w:val="0"/>
    <w:rPr>
      <w:rFonts w:hint="eastAsia" w:ascii="宋体" w:hAnsi="宋体" w:eastAsia="宋体" w:cs="宋体"/>
      <w:color w:val="333333"/>
      <w:sz w:val="24"/>
      <w:szCs w:val="24"/>
      <w:u w:val="none"/>
    </w:rPr>
  </w:style>
  <w:style w:type="character" w:customStyle="1" w:styleId="73">
    <w:name w:val="font71"/>
    <w:basedOn w:val="23"/>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customXml" Target="../customXml/item1.xml"/><Relationship Id="rId48" Type="http://schemas.openxmlformats.org/officeDocument/2006/relationships/image" Target="media/image12.jpeg"/><Relationship Id="rId47" Type="http://schemas.openxmlformats.org/officeDocument/2006/relationships/image" Target="media/image11.jpeg"/><Relationship Id="rId46" Type="http://schemas.openxmlformats.org/officeDocument/2006/relationships/chart" Target="charts/chart12.xml"/><Relationship Id="rId45" Type="http://schemas.openxmlformats.org/officeDocument/2006/relationships/chart" Target="charts/chart11.xml"/><Relationship Id="rId44" Type="http://schemas.openxmlformats.org/officeDocument/2006/relationships/chart" Target="charts/chart10.xml"/><Relationship Id="rId43" Type="http://schemas.openxmlformats.org/officeDocument/2006/relationships/chart" Target="charts/chart9.xml"/><Relationship Id="rId42" Type="http://schemas.openxmlformats.org/officeDocument/2006/relationships/chart" Target="charts/chart8.xml"/><Relationship Id="rId41" Type="http://schemas.openxmlformats.org/officeDocument/2006/relationships/chart" Target="charts/chart7.xml"/><Relationship Id="rId40" Type="http://schemas.openxmlformats.org/officeDocument/2006/relationships/chart" Target="charts/chart6.xml"/><Relationship Id="rId4" Type="http://schemas.openxmlformats.org/officeDocument/2006/relationships/endnotes" Target="endnotes.xml"/><Relationship Id="rId39" Type="http://schemas.openxmlformats.org/officeDocument/2006/relationships/chart" Target="charts/chart5.xml"/><Relationship Id="rId38" Type="http://schemas.openxmlformats.org/officeDocument/2006/relationships/chart" Target="charts/chart4.xml"/><Relationship Id="rId37" Type="http://schemas.openxmlformats.org/officeDocument/2006/relationships/chart" Target="charts/chart3.xml"/><Relationship Id="rId36" Type="http://schemas.openxmlformats.org/officeDocument/2006/relationships/chart" Target="charts/chart2.xml"/><Relationship Id="rId35" Type="http://schemas.openxmlformats.org/officeDocument/2006/relationships/chart" Target="charts/chart1.xml"/><Relationship Id="rId34" Type="http://schemas.openxmlformats.org/officeDocument/2006/relationships/image" Target="media/image10.wmf"/><Relationship Id="rId33" Type="http://schemas.openxmlformats.org/officeDocument/2006/relationships/image" Target="media/image9.jpeg"/><Relationship Id="rId32" Type="http://schemas.openxmlformats.org/officeDocument/2006/relationships/image" Target="media/image8.jpeg"/><Relationship Id="rId31" Type="http://schemas.openxmlformats.org/officeDocument/2006/relationships/image" Target="media/image7.jpeg"/><Relationship Id="rId30" Type="http://schemas.openxmlformats.org/officeDocument/2006/relationships/image" Target="media/image6.jpeg"/><Relationship Id="rId3" Type="http://schemas.openxmlformats.org/officeDocument/2006/relationships/footnotes" Target="footnotes.xml"/><Relationship Id="rId29" Type="http://schemas.openxmlformats.org/officeDocument/2006/relationships/image" Target="media/image5.png"/><Relationship Id="rId28" Type="http://schemas.openxmlformats.org/officeDocument/2006/relationships/image" Target="media/image4.jpeg"/><Relationship Id="rId27" Type="http://schemas.openxmlformats.org/officeDocument/2006/relationships/image" Target="media/image3.jpeg"/><Relationship Id="rId26" Type="http://schemas.openxmlformats.org/officeDocument/2006/relationships/image" Target="media/image2.jpe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4.xml"/><Relationship Id="rId22" Type="http://schemas.openxmlformats.org/officeDocument/2006/relationships/header" Target="header13.xml"/><Relationship Id="rId21" Type="http://schemas.openxmlformats.org/officeDocument/2006/relationships/header" Target="header12.xml"/><Relationship Id="rId20" Type="http://schemas.openxmlformats.org/officeDocument/2006/relationships/footer" Target="footer5.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4.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chartUserShapes" Target="../drawings/drawing5.xml"/><Relationship Id="rId1" Type="http://schemas.openxmlformats.org/officeDocument/2006/relationships/oleObject" Target="file:///C:\Users\Administrator\Desktop\SJG\&#25955;&#28857;&#22270;.xlsx" TargetMode="External"/></Relationships>
</file>

<file path=word/charts/_rels/chart10.xml.rels><?xml version="1.0" encoding="UTF-8" standalone="yes"?>
<Relationships xmlns="http://schemas.openxmlformats.org/package/2006/relationships"><Relationship Id="rId4" Type="http://schemas.microsoft.com/office/2011/relationships/chartColorStyle" Target="colors10.xml"/><Relationship Id="rId3" Type="http://schemas.microsoft.com/office/2011/relationships/chartStyle" Target="style10.xml"/><Relationship Id="rId2" Type="http://schemas.openxmlformats.org/officeDocument/2006/relationships/chartUserShapes" Target="../drawings/drawing10.xml"/><Relationship Id="rId1" Type="http://schemas.openxmlformats.org/officeDocument/2006/relationships/oleObject" Target="file:///C:\Users\Administrator\Desktop\SJG\&#25955;&#28857;&#22270;.xlsx" TargetMode="External"/></Relationships>
</file>

<file path=word/charts/_rels/chart11.xml.rels><?xml version="1.0" encoding="UTF-8" standalone="yes"?>
<Relationships xmlns="http://schemas.openxmlformats.org/package/2006/relationships"><Relationship Id="rId4" Type="http://schemas.microsoft.com/office/2011/relationships/chartColorStyle" Target="colors11.xml"/><Relationship Id="rId3" Type="http://schemas.microsoft.com/office/2011/relationships/chartStyle" Target="style11.xml"/><Relationship Id="rId2" Type="http://schemas.openxmlformats.org/officeDocument/2006/relationships/chartUserShapes" Target="../drawings/drawing11.xml"/><Relationship Id="rId1" Type="http://schemas.openxmlformats.org/officeDocument/2006/relationships/oleObject" Target="file:///C:\Users\Administrator\Desktop\SJG\&#25955;&#28857;&#22270;.xlsx" TargetMode="External"/></Relationships>
</file>

<file path=word/charts/_rels/chart12.xml.rels><?xml version="1.0" encoding="UTF-8" standalone="yes"?>
<Relationships xmlns="http://schemas.openxmlformats.org/package/2006/relationships"><Relationship Id="rId4" Type="http://schemas.microsoft.com/office/2011/relationships/chartColorStyle" Target="colors12.xml"/><Relationship Id="rId3" Type="http://schemas.microsoft.com/office/2011/relationships/chartStyle" Target="style12.xml"/><Relationship Id="rId2" Type="http://schemas.openxmlformats.org/officeDocument/2006/relationships/chartUserShapes" Target="../drawings/drawing12.xml"/><Relationship Id="rId1" Type="http://schemas.openxmlformats.org/officeDocument/2006/relationships/oleObject" Target="file:///C:\Users\Administrator\Desktop\SJG\&#25955;&#28857;&#22270;.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chartUserShapes" Target="../drawings/drawing6.xml"/><Relationship Id="rId1" Type="http://schemas.openxmlformats.org/officeDocument/2006/relationships/oleObject" Target="file:///C:\Users\Administrator\Desktop\SJG\&#25955;&#28857;&#22270;.xlsx"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chartUserShapes" Target="../drawings/drawing4.xml"/><Relationship Id="rId1" Type="http://schemas.openxmlformats.org/officeDocument/2006/relationships/oleObject" Target="file:///C:\Users\Administrator\Desktop\SJG\&#25955;&#28857;&#22270;.xlsx"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chartUserShapes" Target="../drawings/drawing1.xml"/><Relationship Id="rId1" Type="http://schemas.openxmlformats.org/officeDocument/2006/relationships/oleObject" Target="file:///C:\Users\Administrator\Desktop\SJG\&#25955;&#28857;&#22270;.xlsx"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chartUserShapes" Target="../drawings/drawing2.xml"/><Relationship Id="rId1" Type="http://schemas.openxmlformats.org/officeDocument/2006/relationships/oleObject" Target="file:///C:\Users\Administrator\Desktop\SJG\&#25955;&#28857;&#2227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chartUserShapes" Target="../drawings/drawing3.xml"/><Relationship Id="rId1" Type="http://schemas.openxmlformats.org/officeDocument/2006/relationships/oleObject" Target="file:///C:\Users\Administrator\Desktop\SJG\&#25955;&#28857;&#22270;.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chartUserShapes" Target="../drawings/drawing8.xml"/><Relationship Id="rId1" Type="http://schemas.openxmlformats.org/officeDocument/2006/relationships/oleObject" Target="file:///C:\Users\Administrator\Desktop\SJG\&#25955;&#28857;&#22270;.xlsx" TargetMode="External"/></Relationships>
</file>

<file path=word/charts/_rels/chart8.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chartUserShapes" Target="../drawings/drawing9.xml"/><Relationship Id="rId1" Type="http://schemas.openxmlformats.org/officeDocument/2006/relationships/oleObject" Target="file:///C:\Users\Administrator\Desktop\SJG\&#25955;&#28857;&#22270;.xlsx" TargetMode="External"/></Relationships>
</file>

<file path=word/charts/_rels/chart9.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chartUserShapes" Target="../drawings/drawing7.xml"/><Relationship Id="rId1" Type="http://schemas.openxmlformats.org/officeDocument/2006/relationships/oleObject" Target="file:///C:\Users\Administrator\Desktop\SJG\SJG-&#25955;&#2885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lang="en-US" altLang="zh-CN" b="1"/>
              <a:t>pH</a:t>
            </a:r>
            <a:r>
              <a:rPr altLang="en-US" b="1"/>
              <a:t>值</a:t>
            </a:r>
            <a:endParaRPr altLang="en-US" b="1"/>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[散点图.xlsx]Ph!$B$2:$Q$2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[散点图.xlsx]Ph!$B$3:$Q$3</c:f>
              <c:numCache>
                <c:formatCode>General</c:formatCode>
                <c:ptCount val="16"/>
                <c:pt idx="0">
                  <c:v>8.4</c:v>
                </c:pt>
                <c:pt idx="1">
                  <c:v>7.19</c:v>
                </c:pt>
                <c:pt idx="2">
                  <c:v>7.34</c:v>
                </c:pt>
                <c:pt idx="3">
                  <c:v>7.54</c:v>
                </c:pt>
                <c:pt idx="4">
                  <c:v>6.22</c:v>
                </c:pt>
                <c:pt idx="5">
                  <c:v>8.44</c:v>
                </c:pt>
                <c:pt idx="6">
                  <c:v>8.48</c:v>
                </c:pt>
                <c:pt idx="7">
                  <c:v>5.93</c:v>
                </c:pt>
                <c:pt idx="8">
                  <c:v>6.38</c:v>
                </c:pt>
                <c:pt idx="9">
                  <c:v>5.38</c:v>
                </c:pt>
                <c:pt idx="10">
                  <c:v>5.92</c:v>
                </c:pt>
                <c:pt idx="11">
                  <c:v>8.05</c:v>
                </c:pt>
                <c:pt idx="12">
                  <c:v>8.15</c:v>
                </c:pt>
                <c:pt idx="13">
                  <c:v>8.55</c:v>
                </c:pt>
                <c:pt idx="14">
                  <c:v>8.42</c:v>
                </c:pt>
                <c:pt idx="15">
                  <c:v>8.31</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f663dabd-7f57-4d21-a10d-c3f3ec3cdd78}"/>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[散点图.xlsx]铬!$A$3</c:f>
              <c:strCache>
                <c:ptCount val="1"/>
                <c:pt idx="0">
                  <c:v>铬</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[散点图.xlsx]铬!$B$2:$Q$2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[散点图.xlsx]铬!$B$3:$Q$3</c:f>
              <c:numCache>
                <c:formatCode>General</c:formatCode>
                <c:ptCount val="16"/>
                <c:pt idx="0">
                  <c:v>58</c:v>
                </c:pt>
                <c:pt idx="1">
                  <c:v>61</c:v>
                </c:pt>
                <c:pt idx="2">
                  <c:v>100</c:v>
                </c:pt>
                <c:pt idx="3">
                  <c:v>85</c:v>
                </c:pt>
                <c:pt idx="4">
                  <c:v>86</c:v>
                </c:pt>
                <c:pt idx="5">
                  <c:v>37</c:v>
                </c:pt>
                <c:pt idx="6">
                  <c:v>45</c:v>
                </c:pt>
                <c:pt idx="7">
                  <c:v>68</c:v>
                </c:pt>
                <c:pt idx="8">
                  <c:v>63</c:v>
                </c:pt>
                <c:pt idx="9">
                  <c:v>57</c:v>
                </c:pt>
                <c:pt idx="10">
                  <c:v>67</c:v>
                </c:pt>
                <c:pt idx="11">
                  <c:v>65</c:v>
                </c:pt>
                <c:pt idx="12">
                  <c:v>47</c:v>
                </c:pt>
                <c:pt idx="13">
                  <c:v>58</c:v>
                </c:pt>
                <c:pt idx="14">
                  <c:v>45</c:v>
                </c:pt>
                <c:pt idx="15">
                  <c:v>60</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18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254cfb6e-f3c2-4348-8e3d-c744d79caebf}"/>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t>钼</a:t>
            </a:r>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[散点图.xlsx]钼!$B$2:$Q$2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[散点图.xlsx]钼!$B$3:$Q$3</c:f>
              <c:numCache>
                <c:formatCode>General</c:formatCode>
                <c:ptCount val="16"/>
                <c:pt idx="0">
                  <c:v>0.3</c:v>
                </c:pt>
                <c:pt idx="1">
                  <c:v>0.4</c:v>
                </c:pt>
                <c:pt idx="2">
                  <c:v>0.3</c:v>
                </c:pt>
                <c:pt idx="3">
                  <c:v>0.4</c:v>
                </c:pt>
                <c:pt idx="4">
                  <c:v>0.4</c:v>
                </c:pt>
                <c:pt idx="5">
                  <c:v>0.9</c:v>
                </c:pt>
                <c:pt idx="6">
                  <c:v>0.4</c:v>
                </c:pt>
                <c:pt idx="7">
                  <c:v>0.5</c:v>
                </c:pt>
                <c:pt idx="8">
                  <c:v>0.5</c:v>
                </c:pt>
                <c:pt idx="9">
                  <c:v>0.4</c:v>
                </c:pt>
                <c:pt idx="10">
                  <c:v>0.3</c:v>
                </c:pt>
                <c:pt idx="11">
                  <c:v>0.6</c:v>
                </c:pt>
                <c:pt idx="12">
                  <c:v>0.4</c:v>
                </c:pt>
                <c:pt idx="13">
                  <c:v>0.5</c:v>
                </c:pt>
                <c:pt idx="14">
                  <c:v>0.6</c:v>
                </c:pt>
                <c:pt idx="15">
                  <c:v>0.8</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9"/>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ba087bbe-f3fb-425d-8295-32bd99a0af4e}"/>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t>锑</a:t>
            </a:r>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[散点图.xlsx]锑!$B$2:$Q$2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[散点图.xlsx]锑!$B$3:$Q$3</c:f>
              <c:numCache>
                <c:formatCode>General</c:formatCode>
                <c:ptCount val="16"/>
                <c:pt idx="0">
                  <c:v>0</c:v>
                </c:pt>
                <c:pt idx="1">
                  <c:v>0.3</c:v>
                </c:pt>
                <c:pt idx="2">
                  <c:v>0.6</c:v>
                </c:pt>
                <c:pt idx="3">
                  <c:v>0.4</c:v>
                </c:pt>
                <c:pt idx="4">
                  <c:v>0.4</c:v>
                </c:pt>
                <c:pt idx="5">
                  <c:v>0.4</c:v>
                </c:pt>
                <c:pt idx="6">
                  <c:v>0.5</c:v>
                </c:pt>
                <c:pt idx="7">
                  <c:v>0.5</c:v>
                </c:pt>
                <c:pt idx="8">
                  <c:v>0.6</c:v>
                </c:pt>
                <c:pt idx="9">
                  <c:v>0.4</c:v>
                </c:pt>
                <c:pt idx="10">
                  <c:v>0</c:v>
                </c:pt>
                <c:pt idx="11">
                  <c:v>0</c:v>
                </c:pt>
                <c:pt idx="12">
                  <c:v>0.3</c:v>
                </c:pt>
                <c:pt idx="13">
                  <c:v>0.3</c:v>
                </c:pt>
                <c:pt idx="14">
                  <c:v>0.4</c:v>
                </c:pt>
                <c:pt idx="15">
                  <c:v>0.7</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9677af73-e2b0-43e3-9fa3-9ca64bc54d2a}"/>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altLang="en-US" b="1"/>
              <a:t>总氟化物</a:t>
            </a:r>
            <a:endParaRPr altLang="en-US" b="1"/>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[散点图.xlsx]氟化物!$B$2:$Q$2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[散点图.xlsx]氟化物!$B$3:$Q$3</c:f>
              <c:numCache>
                <c:formatCode>General</c:formatCode>
                <c:ptCount val="16"/>
                <c:pt idx="0">
                  <c:v>485</c:v>
                </c:pt>
                <c:pt idx="1">
                  <c:v>448</c:v>
                </c:pt>
                <c:pt idx="2">
                  <c:v>599</c:v>
                </c:pt>
                <c:pt idx="3">
                  <c:v>524</c:v>
                </c:pt>
                <c:pt idx="4">
                  <c:v>605</c:v>
                </c:pt>
                <c:pt idx="5">
                  <c:v>544</c:v>
                </c:pt>
                <c:pt idx="6">
                  <c:v>582</c:v>
                </c:pt>
                <c:pt idx="7">
                  <c:v>570</c:v>
                </c:pt>
                <c:pt idx="8">
                  <c:v>532</c:v>
                </c:pt>
                <c:pt idx="9">
                  <c:v>574</c:v>
                </c:pt>
                <c:pt idx="10">
                  <c:v>527</c:v>
                </c:pt>
                <c:pt idx="11">
                  <c:v>508</c:v>
                </c:pt>
                <c:pt idx="12">
                  <c:v>596</c:v>
                </c:pt>
                <c:pt idx="13">
                  <c:v>617</c:v>
                </c:pt>
                <c:pt idx="14">
                  <c:v>511</c:v>
                </c:pt>
                <c:pt idx="15">
                  <c:v>779</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7892c38d-4b3a-4bb3-b12c-90b542401996}"/>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[散点图.xlsx]铅!$A$3</c:f>
              <c:strCache>
                <c:ptCount val="1"/>
                <c:pt idx="0">
                  <c:v>铅</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[散点图.xlsx]铅!$B$2:$Q$2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[散点图.xlsx]铅!$B$3:$Q$3</c:f>
              <c:numCache>
                <c:formatCode>General</c:formatCode>
                <c:ptCount val="16"/>
                <c:pt idx="0">
                  <c:v>24.7</c:v>
                </c:pt>
                <c:pt idx="1">
                  <c:v>19.4</c:v>
                </c:pt>
                <c:pt idx="2">
                  <c:v>18.8</c:v>
                </c:pt>
                <c:pt idx="3">
                  <c:v>19.4</c:v>
                </c:pt>
                <c:pt idx="4">
                  <c:v>22</c:v>
                </c:pt>
                <c:pt idx="5">
                  <c:v>26.3</c:v>
                </c:pt>
                <c:pt idx="6">
                  <c:v>20</c:v>
                </c:pt>
                <c:pt idx="7">
                  <c:v>17.5</c:v>
                </c:pt>
                <c:pt idx="8">
                  <c:v>25.8</c:v>
                </c:pt>
                <c:pt idx="9">
                  <c:v>17.1</c:v>
                </c:pt>
                <c:pt idx="10">
                  <c:v>17.3</c:v>
                </c:pt>
                <c:pt idx="11">
                  <c:v>17.6</c:v>
                </c:pt>
                <c:pt idx="12">
                  <c:v>16.9</c:v>
                </c:pt>
                <c:pt idx="13">
                  <c:v>22</c:v>
                </c:pt>
                <c:pt idx="14">
                  <c:v>27.1</c:v>
                </c:pt>
                <c:pt idx="15">
                  <c:v>38.2</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59baea94-84e7-49a5-990f-d09add39d420}"/>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[散点图.xlsx]汞!$A$3</c:f>
              <c:strCache>
                <c:ptCount val="1"/>
                <c:pt idx="0">
                  <c:v>汞</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[散点图.xlsx]汞!$B$2:$Q$2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[散点图.xlsx]汞!$B$3:$Q$3</c:f>
              <c:numCache>
                <c:formatCode>General</c:formatCode>
                <c:ptCount val="16"/>
                <c:pt idx="0">
                  <c:v>0.09</c:v>
                </c:pt>
                <c:pt idx="1">
                  <c:v>0.11</c:v>
                </c:pt>
                <c:pt idx="2">
                  <c:v>0.07</c:v>
                </c:pt>
                <c:pt idx="3">
                  <c:v>0.09</c:v>
                </c:pt>
                <c:pt idx="4">
                  <c:v>0.09</c:v>
                </c:pt>
                <c:pt idx="5">
                  <c:v>0.11</c:v>
                </c:pt>
                <c:pt idx="6">
                  <c:v>0.08</c:v>
                </c:pt>
                <c:pt idx="7">
                  <c:v>0.09</c:v>
                </c:pt>
                <c:pt idx="8">
                  <c:v>0.09</c:v>
                </c:pt>
                <c:pt idx="9">
                  <c:v>0.16</c:v>
                </c:pt>
                <c:pt idx="10">
                  <c:v>0.09</c:v>
                </c:pt>
                <c:pt idx="11">
                  <c:v>0.13</c:v>
                </c:pt>
                <c:pt idx="12">
                  <c:v>0.1</c:v>
                </c:pt>
                <c:pt idx="13">
                  <c:v>0.09</c:v>
                </c:pt>
                <c:pt idx="14">
                  <c:v>0.09</c:v>
                </c:pt>
                <c:pt idx="15">
                  <c:v>0.14</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0.3"/>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6a662f3d-6cda-4033-a153-16a1f6eadf72}"/>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t>钴</a:t>
            </a:r>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[散点图.xlsx]钴!$B$2:$Q$2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[散点图.xlsx]钴!$B$3:$Q$3</c:f>
              <c:numCache>
                <c:formatCode>General</c:formatCode>
                <c:ptCount val="16"/>
                <c:pt idx="0">
                  <c:v>11.4</c:v>
                </c:pt>
                <c:pt idx="1">
                  <c:v>12</c:v>
                </c:pt>
                <c:pt idx="2">
                  <c:v>7.82</c:v>
                </c:pt>
                <c:pt idx="3">
                  <c:v>8</c:v>
                </c:pt>
                <c:pt idx="4">
                  <c:v>7.9</c:v>
                </c:pt>
                <c:pt idx="5">
                  <c:v>12.1</c:v>
                </c:pt>
                <c:pt idx="6">
                  <c:v>10.7</c:v>
                </c:pt>
                <c:pt idx="7">
                  <c:v>12.2</c:v>
                </c:pt>
                <c:pt idx="8">
                  <c:v>10.1</c:v>
                </c:pt>
                <c:pt idx="9">
                  <c:v>8.86</c:v>
                </c:pt>
                <c:pt idx="10">
                  <c:v>9.67</c:v>
                </c:pt>
                <c:pt idx="11">
                  <c:v>9.11</c:v>
                </c:pt>
                <c:pt idx="12">
                  <c:v>9.06</c:v>
                </c:pt>
                <c:pt idx="13">
                  <c:v>9.89</c:v>
                </c:pt>
                <c:pt idx="14">
                  <c:v>8.93</c:v>
                </c:pt>
                <c:pt idx="15">
                  <c:v>12.3</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4aa5b577-e86e-4b77-beb6-0d17e79f0705}"/>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[散点图.xlsx]镉!$A$3</c:f>
              <c:strCache>
                <c:ptCount val="1"/>
                <c:pt idx="0">
                  <c:v>镉</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[散点图.xlsx]镉!$B$2:$Q$2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[散点图.xlsx]镉!$B$3:$Q$3</c:f>
              <c:numCache>
                <c:formatCode>General</c:formatCode>
                <c:ptCount val="16"/>
                <c:pt idx="0">
                  <c:v>0.04</c:v>
                </c:pt>
                <c:pt idx="1">
                  <c:v>0.04</c:v>
                </c:pt>
                <c:pt idx="2">
                  <c:v>0</c:v>
                </c:pt>
                <c:pt idx="3">
                  <c:v>0.04</c:v>
                </c:pt>
                <c:pt idx="4">
                  <c:v>0.08</c:v>
                </c:pt>
                <c:pt idx="5">
                  <c:v>0.19</c:v>
                </c:pt>
                <c:pt idx="6">
                  <c:v>0.13</c:v>
                </c:pt>
                <c:pt idx="7">
                  <c:v>0.06</c:v>
                </c:pt>
                <c:pt idx="8">
                  <c:v>0.13</c:v>
                </c:pt>
                <c:pt idx="9">
                  <c:v>0.04</c:v>
                </c:pt>
                <c:pt idx="10">
                  <c:v>0.05</c:v>
                </c:pt>
                <c:pt idx="11">
                  <c:v>0.08</c:v>
                </c:pt>
                <c:pt idx="12">
                  <c:v>0.06</c:v>
                </c:pt>
                <c:pt idx="13">
                  <c:v>0.04</c:v>
                </c:pt>
                <c:pt idx="14">
                  <c:v>0.07</c:v>
                </c:pt>
                <c:pt idx="15">
                  <c:v>0.09</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0.6"/>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47988d31-1cf3-4d7d-908f-99c54e0ceb9a}"/>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[散点图.xlsx]铜!$A$3</c:f>
              <c:strCache>
                <c:ptCount val="1"/>
                <c:pt idx="0">
                  <c:v>铜</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[散点图.xlsx]铜!$B$2:$Q$2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[散点图.xlsx]铜!$B$3:$Q$3</c:f>
              <c:numCache>
                <c:formatCode>General</c:formatCode>
                <c:ptCount val="16"/>
                <c:pt idx="0">
                  <c:v>21</c:v>
                </c:pt>
                <c:pt idx="1">
                  <c:v>22</c:v>
                </c:pt>
                <c:pt idx="2">
                  <c:v>23</c:v>
                </c:pt>
                <c:pt idx="3">
                  <c:v>22</c:v>
                </c:pt>
                <c:pt idx="4">
                  <c:v>28</c:v>
                </c:pt>
                <c:pt idx="5">
                  <c:v>41</c:v>
                </c:pt>
                <c:pt idx="6">
                  <c:v>24</c:v>
                </c:pt>
                <c:pt idx="7">
                  <c:v>26</c:v>
                </c:pt>
                <c:pt idx="8">
                  <c:v>26</c:v>
                </c:pt>
                <c:pt idx="9">
                  <c:v>22</c:v>
                </c:pt>
                <c:pt idx="10">
                  <c:v>23</c:v>
                </c:pt>
                <c:pt idx="11">
                  <c:v>27</c:v>
                </c:pt>
                <c:pt idx="12">
                  <c:v>28</c:v>
                </c:pt>
                <c:pt idx="13">
                  <c:v>27</c:v>
                </c:pt>
                <c:pt idx="14">
                  <c:v>31</c:v>
                </c:pt>
                <c:pt idx="15">
                  <c:v>35</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169ed702-1748-4fce-9803-2a40b744526f}"/>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[散点图.xlsx]镍!$A$3</c:f>
              <c:strCache>
                <c:ptCount val="1"/>
                <c:pt idx="0">
                  <c:v>镍</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[散点图.xlsx]镍!$B$2:$Q$2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[散点图.xlsx]镍!$B$3:$Q$3</c:f>
              <c:numCache>
                <c:formatCode>General</c:formatCode>
                <c:ptCount val="16"/>
                <c:pt idx="0">
                  <c:v>28</c:v>
                </c:pt>
                <c:pt idx="1">
                  <c:v>29</c:v>
                </c:pt>
                <c:pt idx="2">
                  <c:v>49</c:v>
                </c:pt>
                <c:pt idx="3">
                  <c:v>36</c:v>
                </c:pt>
                <c:pt idx="4">
                  <c:v>38</c:v>
                </c:pt>
                <c:pt idx="5">
                  <c:v>39</c:v>
                </c:pt>
                <c:pt idx="6">
                  <c:v>32</c:v>
                </c:pt>
                <c:pt idx="7">
                  <c:v>36</c:v>
                </c:pt>
                <c:pt idx="8">
                  <c:v>30</c:v>
                </c:pt>
                <c:pt idx="9">
                  <c:v>24</c:v>
                </c:pt>
                <c:pt idx="10">
                  <c:v>32</c:v>
                </c:pt>
                <c:pt idx="11">
                  <c:v>31</c:v>
                </c:pt>
                <c:pt idx="12">
                  <c:v>29</c:v>
                </c:pt>
                <c:pt idx="13">
                  <c:v>32</c:v>
                </c:pt>
                <c:pt idx="14">
                  <c:v>27</c:v>
                </c:pt>
                <c:pt idx="15">
                  <c:v>33</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901fc1c8-2853-4e34-980d-95eafecc9272}"/>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t>砷</a:t>
            </a:r>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'[SJG-散点图.xlsx]砷'!$B$2:$Q$2</c:f>
              <c:strCache>
                <c:ptCount val="16"/>
                <c:pt idx="0">
                  <c:v>SJG-1-75</c:v>
                </c:pt>
                <c:pt idx="1">
                  <c:v>SJG-1-200</c:v>
                </c:pt>
                <c:pt idx="2">
                  <c:v>SJG-2-75</c:v>
                </c:pt>
                <c:pt idx="3">
                  <c:v>SJG-2-200</c:v>
                </c:pt>
                <c:pt idx="4">
                  <c:v>SJG-2-400</c:v>
                </c:pt>
                <c:pt idx="5">
                  <c:v>SJG-3</c:v>
                </c:pt>
                <c:pt idx="6">
                  <c:v>SJG-4</c:v>
                </c:pt>
                <c:pt idx="7">
                  <c:v>SJG-JJ-1</c:v>
                </c:pt>
                <c:pt idx="8">
                  <c:v>SJG-JJ-2</c:v>
                </c:pt>
                <c:pt idx="9">
                  <c:v>SJG-JJ-3</c:v>
                </c:pt>
                <c:pt idx="10">
                  <c:v>SJG-JJ-4</c:v>
                </c:pt>
                <c:pt idx="11">
                  <c:v>SJG-JJ-5</c:v>
                </c:pt>
                <c:pt idx="12">
                  <c:v>SJG-JJ-6</c:v>
                </c:pt>
                <c:pt idx="13">
                  <c:v>SJG-JJ-7</c:v>
                </c:pt>
                <c:pt idx="14">
                  <c:v>SJG-JJ-8</c:v>
                </c:pt>
                <c:pt idx="15">
                  <c:v>SJG-JJ-9</c:v>
                </c:pt>
              </c:strCache>
            </c:strRef>
          </c:cat>
          <c:val>
            <c:numRef>
              <c:f>'[SJG-散点图.xlsx]砷'!$B$3:$Q$3</c:f>
              <c:numCache>
                <c:formatCode>General</c:formatCode>
                <c:ptCount val="16"/>
                <c:pt idx="0">
                  <c:v>7.3</c:v>
                </c:pt>
                <c:pt idx="1">
                  <c:v>9.9</c:v>
                </c:pt>
                <c:pt idx="2">
                  <c:v>9.4</c:v>
                </c:pt>
                <c:pt idx="3">
                  <c:v>9.8</c:v>
                </c:pt>
                <c:pt idx="4">
                  <c:v>11.5</c:v>
                </c:pt>
                <c:pt idx="5">
                  <c:v>9.7</c:v>
                </c:pt>
                <c:pt idx="6">
                  <c:v>8</c:v>
                </c:pt>
                <c:pt idx="7">
                  <c:v>11</c:v>
                </c:pt>
                <c:pt idx="8">
                  <c:v>9.6</c:v>
                </c:pt>
                <c:pt idx="9">
                  <c:v>8.2</c:v>
                </c:pt>
                <c:pt idx="10">
                  <c:v>8.8</c:v>
                </c:pt>
                <c:pt idx="11">
                  <c:v>6.8</c:v>
                </c:pt>
                <c:pt idx="12">
                  <c:v>6.6</c:v>
                </c:pt>
                <c:pt idx="13">
                  <c:v>9.8</c:v>
                </c:pt>
                <c:pt idx="14">
                  <c:v>10.2</c:v>
                </c:pt>
                <c:pt idx="15">
                  <c:v>10.7</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91749c90-28d9-4612-b948-d3eb4dd917e9}"/>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0.109694700325978</cdr:x>
      <cdr:y>0.597271633361899</cdr:y>
    </cdr:from>
    <cdr:to>
      <cdr:x>0.984929883769063</cdr:x>
      <cdr:y>0.598153623130818</cdr:y>
    </cdr:to>
    <cdr:sp>
      <cdr:nvSpPr>
        <cdr:cNvPr id="2" name="直接连接符 1"/>
        <cdr:cNvSpPr/>
      </cdr:nvSpPr>
      <cdr:spPr xmlns:a="http://schemas.openxmlformats.org/drawingml/2006/main">
        <a:xfrm xmlns:a="http://schemas.openxmlformats.org/drawingml/2006/main">
          <a:off x="590614" y="2107969"/>
          <a:ext cx="4712411" cy="3113"/>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0.112624779800352</cdr:x>
      <cdr:y>0.384847409510291</cdr:y>
    </cdr:from>
    <cdr:to>
      <cdr:x>0.992014092777452</cdr:x>
      <cdr:y>0.386976579134138</cdr:y>
    </cdr:to>
    <cdr:sp>
      <cdr:nvSpPr>
        <cdr:cNvPr id="6" name="直接连接符 5"/>
        <cdr:cNvSpPr/>
      </cdr:nvSpPr>
      <cdr:spPr xmlns:a="http://schemas.openxmlformats.org/drawingml/2006/main">
        <a:xfrm xmlns:a="http://schemas.openxmlformats.org/drawingml/2006/main" flipV="1">
          <a:off x="608965" y="1377315"/>
          <a:ext cx="4754880" cy="762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10.xml><?xml version="1.0" encoding="utf-8"?>
<c:userShapes xmlns:c="http://schemas.openxmlformats.org/drawingml/2006/chart">
  <cdr:relSizeAnchor xmlns:cdr="http://schemas.openxmlformats.org/drawingml/2006/chartDrawing">
    <cdr:from>
      <cdr:x>0.110070688780633</cdr:x>
      <cdr:y>0.577792089773557</cdr:y>
    </cdr:from>
    <cdr:to>
      <cdr:x>0.985305872223718</cdr:x>
      <cdr:y>0.578674079542477</cdr:y>
    </cdr:to>
    <cdr:sp>
      <cdr:nvSpPr>
        <cdr:cNvPr id="2" name="直接连接符 1"/>
        <cdr:cNvSpPr/>
      </cdr:nvSpPr>
      <cdr:spPr xmlns:a="http://schemas.openxmlformats.org/drawingml/2006/main">
        <a:xfrm xmlns:a="http://schemas.openxmlformats.org/drawingml/2006/main">
          <a:off x="595644" y="2009500"/>
          <a:ext cx="4736309" cy="3067"/>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0.101212192538543</cdr:x>
      <cdr:y>0.243064256309289</cdr:y>
    </cdr:from>
    <cdr:to>
      <cdr:x>0.97646228080499</cdr:x>
      <cdr:y>0.244854125648828</cdr:y>
    </cdr:to>
    <cdr:sp>
      <cdr:nvSpPr>
        <cdr:cNvPr id="6" name="直接连接符 5"/>
        <cdr:cNvSpPr/>
      </cdr:nvSpPr>
      <cdr:spPr xmlns:a="http://schemas.openxmlformats.org/drawingml/2006/main">
        <a:xfrm xmlns:a="http://schemas.openxmlformats.org/drawingml/2006/main" flipV="1">
          <a:off x="546100" y="862330"/>
          <a:ext cx="4722495" cy="635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11.xml><?xml version="1.0" encoding="utf-8"?>
<c:userShapes xmlns:c="http://schemas.openxmlformats.org/drawingml/2006/chart">
  <cdr:relSizeAnchor xmlns:cdr="http://schemas.openxmlformats.org/drawingml/2006/chartDrawing">
    <cdr:from>
      <cdr:x>0.098424270931326</cdr:x>
      <cdr:y>0.79132122067384</cdr:y>
    </cdr:from>
    <cdr:to>
      <cdr:x>0.979068673565381</cdr:x>
      <cdr:y>0.791497618627624</cdr:y>
    </cdr:to>
    <cdr:sp>
      <cdr:nvSpPr>
        <cdr:cNvPr id="2" name="直接连接符 1"/>
        <cdr:cNvSpPr/>
      </cdr:nvSpPr>
      <cdr:spPr xmlns:a="http://schemas.openxmlformats.org/drawingml/2006/main">
        <a:xfrm xmlns:a="http://schemas.openxmlformats.org/drawingml/2006/main">
          <a:off x="531495" y="2848610"/>
          <a:ext cx="475551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0.097356983218251</cdr:x>
      <cdr:y>0.13450903192172</cdr:y>
    </cdr:from>
    <cdr:to>
      <cdr:x>0.977685814692121</cdr:x>
      <cdr:y>0.135218755129669</cdr:y>
    </cdr:to>
    <cdr:sp>
      <cdr:nvSpPr>
        <cdr:cNvPr id="6" name="直接连接符 5"/>
        <cdr:cNvSpPr/>
      </cdr:nvSpPr>
      <cdr:spPr xmlns:a="http://schemas.openxmlformats.org/drawingml/2006/main">
        <a:xfrm xmlns:a="http://schemas.openxmlformats.org/drawingml/2006/main">
          <a:off x="526103" y="482670"/>
          <a:ext cx="4757165" cy="2547"/>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12.xml><?xml version="1.0" encoding="utf-8"?>
<c:userShapes xmlns:c="http://schemas.openxmlformats.org/drawingml/2006/chart">
  <cdr:relSizeAnchor xmlns:cdr="http://schemas.openxmlformats.org/drawingml/2006/chartDrawing">
    <cdr:from>
      <cdr:x>0.103269116334012</cdr:x>
      <cdr:y>0.713787055411231</cdr:y>
    </cdr:from>
    <cdr:to>
      <cdr:x>0.983913518968067</cdr:x>
      <cdr:y>0.713963453365015</cdr:y>
    </cdr:to>
    <cdr:sp>
      <cdr:nvSpPr>
        <cdr:cNvPr id="2" name="直接连接符 1"/>
        <cdr:cNvSpPr/>
      </cdr:nvSpPr>
      <cdr:spPr xmlns:a="http://schemas.openxmlformats.org/drawingml/2006/main">
        <a:xfrm xmlns:a="http://schemas.openxmlformats.org/drawingml/2006/main">
          <a:off x="556805" y="2498340"/>
          <a:ext cx="4748245" cy="617"/>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0.103952201684863</cdr:x>
      <cdr:y>0.219754239158593</cdr:y>
    </cdr:from>
    <cdr:to>
      <cdr:x>0.984281033158733</cdr:x>
      <cdr:y>0.220463962366542</cdr:y>
    </cdr:to>
    <cdr:sp>
      <cdr:nvSpPr>
        <cdr:cNvPr id="6" name="直接连接符 5"/>
        <cdr:cNvSpPr/>
      </cdr:nvSpPr>
      <cdr:spPr xmlns:a="http://schemas.openxmlformats.org/drawingml/2006/main">
        <a:xfrm xmlns:a="http://schemas.openxmlformats.org/drawingml/2006/main">
          <a:off x="560488" y="769166"/>
          <a:ext cx="4746544" cy="2484"/>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0.10359830667921</cdr:x>
      <cdr:y>0.65866995942847</cdr:y>
    </cdr:from>
    <cdr:to>
      <cdr:x>0.978833490122295</cdr:x>
      <cdr:y>0.659551949197389</cdr:y>
    </cdr:to>
    <cdr:sp>
      <cdr:nvSpPr>
        <cdr:cNvPr id="2" name="直接连接符 1"/>
        <cdr:cNvSpPr/>
      </cdr:nvSpPr>
      <cdr:spPr xmlns:a="http://schemas.openxmlformats.org/drawingml/2006/main">
        <a:xfrm xmlns:a="http://schemas.openxmlformats.org/drawingml/2006/main">
          <a:off x="559435" y="2371090"/>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0.101386278195489</cdr:x>
      <cdr:y>0.13515932688865</cdr:y>
    </cdr:from>
    <cdr:to>
      <cdr:x>0.981672932330827</cdr:x>
      <cdr:y>0.135517364840673</cdr:y>
    </cdr:to>
    <cdr:sp>
      <cdr:nvSpPr>
        <cdr:cNvPr id="6" name="直接连接符 5"/>
        <cdr:cNvSpPr/>
      </cdr:nvSpPr>
      <cdr:spPr xmlns:a="http://schemas.openxmlformats.org/drawingml/2006/main">
        <a:xfrm xmlns:a="http://schemas.openxmlformats.org/drawingml/2006/main" flipV="1">
          <a:off x="548005" y="479425"/>
          <a:ext cx="4758055" cy="127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3.xml><?xml version="1.0" encoding="utf-8"?>
<c:userShapes xmlns:c="http://schemas.openxmlformats.org/drawingml/2006/chart">
  <cdr:relSizeAnchor xmlns:cdr="http://schemas.openxmlformats.org/drawingml/2006/chartDrawing">
    <cdr:from>
      <cdr:x>0.108889934148636</cdr:x>
      <cdr:y>0.743340977244664</cdr:y>
    </cdr:from>
    <cdr:to>
      <cdr:x>0.984125117591721</cdr:x>
      <cdr:y>0.744222967013583</cdr:y>
    </cdr:to>
    <cdr:sp>
      <cdr:nvSpPr>
        <cdr:cNvPr id="2" name="直接连接符 1"/>
        <cdr:cNvSpPr/>
      </cdr:nvSpPr>
      <cdr:spPr xmlns:a="http://schemas.openxmlformats.org/drawingml/2006/main">
        <a:xfrm xmlns:a="http://schemas.openxmlformats.org/drawingml/2006/main">
          <a:off x="588010" y="2675890"/>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6" name="直接连接符 5"/>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0.108775792078629</cdr:x>
      <cdr:y>0.183788503072535</cdr:y>
    </cdr:from>
    <cdr:to>
      <cdr:x>0.974887033571236</cdr:x>
      <cdr:y>0.184153666483162</cdr:y>
    </cdr:to>
    <cdr:sp>
      <cdr:nvSpPr>
        <cdr:cNvPr id="7" name="直接连接符 6"/>
        <cdr:cNvSpPr/>
      </cdr:nvSpPr>
      <cdr:spPr xmlns:a="http://schemas.openxmlformats.org/drawingml/2006/main">
        <a:xfrm xmlns:a="http://schemas.openxmlformats.org/drawingml/2006/main">
          <a:off x="587394" y="661605"/>
          <a:ext cx="4677035" cy="1315"/>
        </a:xfrm>
        <a:prstGeom xmlns:a="http://schemas.openxmlformats.org/drawingml/2006/main" prst="line">
          <a:avLst/>
        </a:prstGeom>
        <a:ln w="9525">
          <a:solidFill>
            <a:schemeClr val="tx1"/>
          </a:solidFill>
          <a:prstDash val="lg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4.xml><?xml version="1.0" encoding="utf-8"?>
<c:userShapes xmlns:c="http://schemas.openxmlformats.org/drawingml/2006/chart">
  <cdr:relSizeAnchor xmlns:cdr="http://schemas.openxmlformats.org/drawingml/2006/chartDrawing">
    <cdr:from>
      <cdr:x>0.101834430856068</cdr:x>
      <cdr:y>0.487563944258247</cdr:y>
    </cdr:from>
    <cdr:to>
      <cdr:x>0.975423330197554</cdr:x>
      <cdr:y>0.489327923796084</cdr:y>
    </cdr:to>
    <cdr:sp>
      <cdr:nvSpPr>
        <cdr:cNvPr id="2" name="直接连接符 1"/>
        <cdr:cNvSpPr/>
      </cdr:nvSpPr>
      <cdr:spPr xmlns:a="http://schemas.openxmlformats.org/drawingml/2006/main">
        <a:xfrm xmlns:a="http://schemas.openxmlformats.org/drawingml/2006/main" flipV="1">
          <a:off x="549910" y="1755140"/>
          <a:ext cx="4717415" cy="6350"/>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0.0999530736743313</cdr:x>
      <cdr:y>0.177183149520882</cdr:y>
    </cdr:from>
    <cdr:to>
      <cdr:x>0.981464101360863</cdr:x>
      <cdr:y>0.180256734767673</cdr:y>
    </cdr:to>
    <cdr:sp>
      <cdr:nvSpPr>
        <cdr:cNvPr id="6" name="直接连接符 5"/>
        <cdr:cNvSpPr/>
      </cdr:nvSpPr>
      <cdr:spPr xmlns:a="http://schemas.openxmlformats.org/drawingml/2006/main">
        <a:xfrm xmlns:a="http://schemas.openxmlformats.org/drawingml/2006/main" flipV="1">
          <a:off x="541020" y="622300"/>
          <a:ext cx="4771390" cy="10795"/>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5.xml><?xml version="1.0" encoding="utf-8"?>
<c:userShapes xmlns:c="http://schemas.openxmlformats.org/drawingml/2006/chart">
  <cdr:relSizeAnchor xmlns:cdr="http://schemas.openxmlformats.org/drawingml/2006/chartDrawing">
    <cdr:from>
      <cdr:x>0.0677328316086546</cdr:x>
      <cdr:y>0.257364614570471</cdr:y>
    </cdr:from>
    <cdr:to>
      <cdr:x>0.974482596425212</cdr:x>
      <cdr:y>0.257541012524255</cdr:y>
    </cdr:to>
    <cdr:sp>
      <cdr:nvSpPr>
        <cdr:cNvPr id="2" name="直接连接符 1"/>
        <cdr:cNvSpPr/>
      </cdr:nvSpPr>
      <cdr:spPr xmlns:a="http://schemas.openxmlformats.org/drawingml/2006/main">
        <a:xfrm xmlns:a="http://schemas.openxmlformats.org/drawingml/2006/main">
          <a:off x="365760" y="926465"/>
          <a:ext cx="489648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0.495884289746002</cdr:x>
      <cdr:y>0.0768955009858398</cdr:y>
    </cdr:from>
    <cdr:to>
      <cdr:x>0.597365945437441</cdr:x>
      <cdr:y>0.150743860906973</cdr:y>
    </cdr:to>
    <cdr:sp>
      <cdr:nvSpPr>
        <cdr:cNvPr id="4" name="矩形 3"/>
        <cdr:cNvSpPr/>
      </cdr:nvSpPr>
      <cdr:spPr xmlns:a="http://schemas.openxmlformats.org/drawingml/2006/main">
        <a:xfrm xmlns:a="http://schemas.openxmlformats.org/drawingml/2006/main">
          <a:off x="2677795" y="272415"/>
          <a:ext cx="548005" cy="26162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a:t>
          </a:r>
          <a:endParaRPr lang="zh-CN" altLang="en-US" sz="1000"/>
        </a:p>
        <a:p>
          <a:endParaRPr lang="zh-CN" altLang="en-US" sz="1000"/>
        </a:p>
      </cdr:txBody>
    </cdr:sp>
  </cdr:relSizeAnchor>
  <cdr:relSizeAnchor xmlns:cdr="http://schemas.openxmlformats.org/drawingml/2006/chartDrawing">
    <cdr:from>
      <cdr:x>0.437441204139229</cdr:x>
      <cdr:y>0.108357004037423</cdr:y>
    </cdr:from>
    <cdr:to>
      <cdr:x>0.484948259642521</cdr:x>
      <cdr:y>0.108894734813548</cdr:y>
    </cdr:to>
    <cdr:sp>
      <cdr:nvSpPr>
        <cdr:cNvPr id="5" name="直接连接符 4"/>
        <cdr:cNvSpPr/>
      </cdr:nvSpPr>
      <cdr:spPr xmlns:a="http://schemas.openxmlformats.org/drawingml/2006/main">
        <a:xfrm xmlns:a="http://schemas.openxmlformats.org/drawingml/2006/main" flipV="1">
          <a:off x="2362200" y="390065"/>
          <a:ext cx="256540" cy="1936"/>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6.xml><?xml version="1.0" encoding="utf-8"?>
<c:userShapes xmlns:c="http://schemas.openxmlformats.org/drawingml/2006/chart">
  <cdr:relSizeAnchor xmlns:cdr="http://schemas.openxmlformats.org/drawingml/2006/chartDrawing">
    <cdr:from>
      <cdr:x>0.0642050799623705</cdr:x>
      <cdr:y>0.34468160169342</cdr:y>
    </cdr:from>
    <cdr:to>
      <cdr:x>0.970954844778928</cdr:x>
      <cdr:y>0.344857999647204</cdr:y>
    </cdr:to>
    <cdr:sp>
      <cdr:nvSpPr>
        <cdr:cNvPr id="2" name="直接连接符 1"/>
        <cdr:cNvSpPr/>
      </cdr:nvSpPr>
      <cdr:spPr xmlns:a="http://schemas.openxmlformats.org/drawingml/2006/main">
        <a:xfrm xmlns:a="http://schemas.openxmlformats.org/drawingml/2006/main">
          <a:off x="346710" y="1240790"/>
          <a:ext cx="489648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0.495884289746002</cdr:x>
      <cdr:y>0.0768955009858398</cdr:y>
    </cdr:from>
    <cdr:to>
      <cdr:x>0.597365945437441</cdr:x>
      <cdr:y>0.150743860906973</cdr:y>
    </cdr:to>
    <cdr:sp>
      <cdr:nvSpPr>
        <cdr:cNvPr id="4" name="矩形 3"/>
        <cdr:cNvSpPr/>
      </cdr:nvSpPr>
      <cdr:spPr xmlns:a="http://schemas.openxmlformats.org/drawingml/2006/main">
        <a:xfrm xmlns:a="http://schemas.openxmlformats.org/drawingml/2006/main">
          <a:off x="2677795" y="272415"/>
          <a:ext cx="548005" cy="26162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a:t>
          </a:r>
          <a:endParaRPr lang="zh-CN" altLang="en-US" sz="1000"/>
        </a:p>
        <a:p>
          <a:endParaRPr lang="zh-CN" altLang="en-US" sz="1000"/>
        </a:p>
      </cdr:txBody>
    </cdr:sp>
  </cdr:relSizeAnchor>
  <cdr:relSizeAnchor xmlns:cdr="http://schemas.openxmlformats.org/drawingml/2006/chartDrawing">
    <cdr:from>
      <cdr:x>0.437441204139229</cdr:x>
      <cdr:y>0.108357004037423</cdr:y>
    </cdr:from>
    <cdr:to>
      <cdr:x>0.484948259642521</cdr:x>
      <cdr:y>0.108894734813548</cdr:y>
    </cdr:to>
    <cdr:sp>
      <cdr:nvSpPr>
        <cdr:cNvPr id="5" name="直接连接符 4"/>
        <cdr:cNvSpPr/>
      </cdr:nvSpPr>
      <cdr:spPr xmlns:a="http://schemas.openxmlformats.org/drawingml/2006/main">
        <a:xfrm xmlns:a="http://schemas.openxmlformats.org/drawingml/2006/main" flipV="1">
          <a:off x="2362200" y="390065"/>
          <a:ext cx="256540" cy="1936"/>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7.xml><?xml version="1.0" encoding="utf-8"?>
<c:userShapes xmlns:c="http://schemas.openxmlformats.org/drawingml/2006/chart">
  <cdr:relSizeAnchor xmlns:cdr="http://schemas.openxmlformats.org/drawingml/2006/chartDrawing">
    <cdr:from>
      <cdr:x>0.100188146754468</cdr:x>
      <cdr:y>0.66431469394955</cdr:y>
    </cdr:from>
    <cdr:to>
      <cdr:x>0.980832549388523</cdr:x>
      <cdr:y>0.664491091903334</cdr:y>
    </cdr:to>
    <cdr:sp>
      <cdr:nvSpPr>
        <cdr:cNvPr id="2" name="直接连接符 1"/>
        <cdr:cNvSpPr/>
      </cdr:nvSpPr>
      <cdr:spPr xmlns:a="http://schemas.openxmlformats.org/drawingml/2006/main">
        <a:xfrm xmlns:a="http://schemas.openxmlformats.org/drawingml/2006/main">
          <a:off x="541020" y="2391410"/>
          <a:ext cx="475551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0.097356983218251</cdr:x>
      <cdr:y>0.13450903192172</cdr:y>
    </cdr:from>
    <cdr:to>
      <cdr:x>0.977685814692121</cdr:x>
      <cdr:y>0.135218755129669</cdr:y>
    </cdr:to>
    <cdr:sp>
      <cdr:nvSpPr>
        <cdr:cNvPr id="6" name="直接连接符 5"/>
        <cdr:cNvSpPr/>
      </cdr:nvSpPr>
      <cdr:spPr xmlns:a="http://schemas.openxmlformats.org/drawingml/2006/main">
        <a:xfrm xmlns:a="http://schemas.openxmlformats.org/drawingml/2006/main">
          <a:off x="526103" y="482670"/>
          <a:ext cx="4757165" cy="2547"/>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8.xml><?xml version="1.0" encoding="utf-8"?>
<c:userShapes xmlns:c="http://schemas.openxmlformats.org/drawingml/2006/chart">
  <cdr:relSizeAnchor xmlns:cdr="http://schemas.openxmlformats.org/drawingml/2006/chartDrawing">
    <cdr:from>
      <cdr:x>0.0983066792097837</cdr:x>
      <cdr:y>0.521079555477156</cdr:y>
    </cdr:from>
    <cdr:to>
      <cdr:x>0.973541862652869</cdr:x>
      <cdr:y>0.521961545246076</cdr:y>
    </cdr:to>
    <cdr:sp>
      <cdr:nvSpPr>
        <cdr:cNvPr id="2" name="直接连接符 1"/>
        <cdr:cNvSpPr/>
      </cdr:nvSpPr>
      <cdr:spPr xmlns:a="http://schemas.openxmlformats.org/drawingml/2006/main">
        <a:xfrm xmlns:a="http://schemas.openxmlformats.org/drawingml/2006/main">
          <a:off x="530860" y="1875790"/>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0.0863123236124177</cdr:x>
      <cdr:y>0.181394515146084</cdr:y>
    </cdr:from>
    <cdr:to>
      <cdr:x>0.990592662276576</cdr:x>
      <cdr:y>0.18211148951425</cdr:y>
    </cdr:to>
    <cdr:sp>
      <cdr:nvSpPr>
        <cdr:cNvPr id="6" name="直接连接符 5"/>
        <cdr:cNvSpPr/>
      </cdr:nvSpPr>
      <cdr:spPr xmlns:a="http://schemas.openxmlformats.org/drawingml/2006/main">
        <a:xfrm xmlns:a="http://schemas.openxmlformats.org/drawingml/2006/main">
          <a:off x="466090" y="642620"/>
          <a:ext cx="4883150" cy="254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9.xml><?xml version="1.0" encoding="utf-8"?>
<c:userShapes xmlns:c="http://schemas.openxmlformats.org/drawingml/2006/chart">
  <cdr:relSizeAnchor xmlns:cdr="http://schemas.openxmlformats.org/drawingml/2006/chartDrawing">
    <cdr:from>
      <cdr:x>0.0998269098607313</cdr:x>
      <cdr:y>0.544398078232155</cdr:y>
    </cdr:from>
    <cdr:to>
      <cdr:x>0.975062093303817</cdr:x>
      <cdr:y>0.545280068001075</cdr:y>
    </cdr:to>
    <cdr:sp>
      <cdr:nvSpPr>
        <cdr:cNvPr id="2" name="直接连接符 1"/>
        <cdr:cNvSpPr/>
      </cdr:nvSpPr>
      <cdr:spPr xmlns:a="http://schemas.openxmlformats.org/drawingml/2006/main">
        <a:xfrm xmlns:a="http://schemas.openxmlformats.org/drawingml/2006/main">
          <a:off x="539069" y="1959732"/>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0.104296645085344</cdr:x>
      <cdr:y>0.357612364540771</cdr:y>
    </cdr:from>
    <cdr:to>
      <cdr:x>0.983755150088287</cdr:x>
      <cdr:y>0.360632439154379</cdr:y>
    </cdr:to>
    <cdr:sp>
      <cdr:nvSpPr>
        <cdr:cNvPr id="6" name="直接连接符 5"/>
        <cdr:cNvSpPr/>
      </cdr:nvSpPr>
      <cdr:spPr xmlns:a="http://schemas.openxmlformats.org/drawingml/2006/main">
        <a:xfrm xmlns:a="http://schemas.openxmlformats.org/drawingml/2006/main" flipV="1">
          <a:off x="562610" y="1278255"/>
          <a:ext cx="4744085" cy="10795"/>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67</Pages>
  <Words>5704</Words>
  <Characters>6590</Characters>
  <Lines>518</Lines>
  <Paragraphs>146</Paragraphs>
  <TotalTime>5</TotalTime>
  <ScaleCrop>false</ScaleCrop>
  <LinksUpToDate>false</LinksUpToDate>
  <CharactersWithSpaces>6768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2019-11-14T05:54:00Z</dcterms:created>
  <dc:creator>严子麟</dc:creator>
  <cp:lastModifiedBy>WPS_1625883245</cp:lastModifiedBy>
  <cp:lastPrinted>2021-02-05T01:51:00Z</cp:lastPrinted>
  <dcterms:modified xsi:type="dcterms:W3CDTF">2026-08-06T10:32:00Z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eyJoZGlkIjoiZGRjZGI2OTVlZDZlODM2M2Y3ZTUyZWM0MDEwYTg3MTIiLCJ1c2VySWQiOiIxMjMxNTE4Nzc5In0=</vt:lpwstr>
  </property>
  <property fmtid="{D5CDD505-2E9C-101B-9397-08002B2CF9AE}" pid="4" name="ICV">
    <vt:lpwstr>165965D750224819A24416075A5B7C6D_12</vt:lpwstr>
  </property>
</Properties>
</file>