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drawings/drawing10.xml" ContentType="application/vnd.openxmlformats-officedocument.drawingml.chartshapes+xml"/>
  <Override PartName="/word/drawings/drawing1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drawings/drawing6.xml" ContentType="application/vnd.openxmlformats-officedocument.drawingml.chartshapes+xml"/>
  <Override PartName="/word/drawings/drawing7.xml" ContentType="application/vnd.openxmlformats-officedocument.drawingml.chartshapes+xml"/>
  <Override PartName="/word/drawings/drawing8.xml" ContentType="application/vnd.openxmlformats-officedocument.drawingml.chartshapes+xml"/>
  <Override PartName="/word/drawings/drawing9.xml" ContentType="application/vnd.openxmlformats-officedocument.drawingml.chartshape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74D23D">
      <w:pPr>
        <w:pStyle w:val="53"/>
        <w:wordWrap w:val="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目  录</w:t>
      </w:r>
    </w:p>
    <w:p w14:paraId="57CC0106">
      <w:pPr>
        <w:keepNext w:val="0"/>
        <w:keepLines w:val="0"/>
        <w:pageBreakBefore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default" w:ascii="Times New Roman" w:hAnsi="Times New Roman" w:eastAsia="宋体" w:cs="Times New Roman"/>
          <w:b/>
          <w:i/>
          <w:color w:val="000000" w:themeColor="text1"/>
          <w:kern w:val="2"/>
          <w:sz w:val="24"/>
          <w:szCs w:val="24"/>
          <w:highlight w:val="none"/>
          <w:lang w:val="en-US" w:eastAsia="zh-CN" w:bidi="ar-SA"/>
          <w14:textFill>
            <w14:solidFill>
              <w14:schemeClr w14:val="tx1"/>
            </w14:solidFill>
          </w14:textFill>
        </w:rPr>
      </w:pPr>
    </w:p>
    <w:p w14:paraId="7300A645">
      <w:pPr>
        <w:pStyle w:val="16"/>
        <w:tabs>
          <w:tab w:val="right" w:leader="dot" w:pos="9638"/>
        </w:tabs>
        <w:rPr>
          <w:rFonts w:hint="default" w:ascii="Times New Roman" w:hAnsi="Times New Roman" w:cs="Times New Roman"/>
          <w:b/>
          <w:bCs/>
          <w:highlight w:val="none"/>
        </w:rPr>
      </w:pPr>
      <w:r>
        <w:rPr>
          <w:rFonts w:hint="default" w:ascii="Times New Roman" w:hAnsi="Times New Roman" w:cs="Times New Roman"/>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color w:val="000000" w:themeColor="text1"/>
          <w:sz w:val="24"/>
          <w:szCs w:val="24"/>
          <w:highlight w:val="none"/>
          <w14:textFill>
            <w14:solidFill>
              <w14:schemeClr w14:val="tx1"/>
            </w14:solidFill>
          </w14:textFill>
        </w:rPr>
        <w:instrText xml:space="preserve">TOC \o "1-2" \h \u </w:instrText>
      </w:r>
      <w:r>
        <w:rPr>
          <w:rFonts w:hint="default" w:ascii="Times New Roman" w:hAnsi="Times New Roman" w:cs="Times New Roman"/>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b/>
          <w:bCs/>
          <w:color w:val="000000" w:themeColor="text1"/>
          <w:szCs w:val="24"/>
          <w:highlight w:val="none"/>
          <w14:textFill>
            <w14:solidFill>
              <w14:schemeClr w14:val="tx1"/>
            </w14:solidFill>
          </w14:textFill>
        </w:rPr>
        <w:fldChar w:fldCharType="begin"/>
      </w:r>
      <w:r>
        <w:rPr>
          <w:rFonts w:hint="default" w:ascii="Times New Roman" w:hAnsi="Times New Roman" w:cs="Times New Roman"/>
          <w:b/>
          <w:bCs/>
          <w:szCs w:val="24"/>
          <w:highlight w:val="none"/>
        </w:rPr>
        <w:instrText xml:space="preserve"> HYPERLINK \l _Toc28265 </w:instrText>
      </w:r>
      <w:r>
        <w:rPr>
          <w:rFonts w:hint="default" w:ascii="Times New Roman" w:hAnsi="Times New Roman" w:cs="Times New Roman"/>
          <w:b/>
          <w:bCs/>
          <w:szCs w:val="24"/>
          <w:highlight w:val="none"/>
        </w:rPr>
        <w:fldChar w:fldCharType="separate"/>
      </w:r>
      <w:r>
        <w:rPr>
          <w:rFonts w:hint="default" w:ascii="Times New Roman" w:hAnsi="Times New Roman" w:cs="Times New Roman"/>
          <w:b/>
          <w:bCs/>
          <w:highlight w:val="none"/>
        </w:rPr>
        <w:t xml:space="preserve">1. </w:t>
      </w:r>
      <w:r>
        <w:rPr>
          <w:rFonts w:hint="default" w:ascii="Times New Roman" w:hAnsi="Times New Roman" w:cs="Times New Roman"/>
          <w:b/>
          <w:bCs/>
          <w:highlight w:val="none"/>
          <w:lang w:eastAsia="zh-CN"/>
        </w:rPr>
        <w:t>概述</w:t>
      </w:r>
      <w:r>
        <w:rPr>
          <w:rFonts w:hint="default" w:ascii="Times New Roman" w:hAnsi="Times New Roman" w:cs="Times New Roman"/>
          <w:b/>
          <w:bCs/>
          <w:highlight w:val="none"/>
        </w:rPr>
        <w:tab/>
      </w:r>
      <w:r>
        <w:rPr>
          <w:rFonts w:hint="default" w:ascii="Times New Roman" w:hAnsi="Times New Roman" w:cs="Times New Roman"/>
          <w:b/>
          <w:bCs/>
          <w:highlight w:val="none"/>
        </w:rPr>
        <w:fldChar w:fldCharType="begin"/>
      </w:r>
      <w:r>
        <w:rPr>
          <w:rFonts w:hint="default" w:ascii="Times New Roman" w:hAnsi="Times New Roman" w:cs="Times New Roman"/>
          <w:b/>
          <w:bCs/>
          <w:highlight w:val="none"/>
        </w:rPr>
        <w:instrText xml:space="preserve"> PAGEREF _Toc28265 </w:instrText>
      </w:r>
      <w:r>
        <w:rPr>
          <w:rFonts w:hint="default" w:ascii="Times New Roman" w:hAnsi="Times New Roman" w:cs="Times New Roman"/>
          <w:b/>
          <w:bCs/>
          <w:highlight w:val="none"/>
        </w:rPr>
        <w:fldChar w:fldCharType="separate"/>
      </w:r>
      <w:r>
        <w:rPr>
          <w:rFonts w:hint="default" w:ascii="Times New Roman" w:hAnsi="Times New Roman" w:cs="Times New Roman"/>
          <w:b/>
          <w:bCs/>
          <w:highlight w:val="none"/>
        </w:rPr>
        <w:t>- 1 -</w:t>
      </w:r>
      <w:r>
        <w:rPr>
          <w:rFonts w:hint="default" w:ascii="Times New Roman" w:hAnsi="Times New Roman" w:cs="Times New Roman"/>
          <w:b/>
          <w:bCs/>
          <w:highlight w:val="none"/>
        </w:rPr>
        <w:fldChar w:fldCharType="end"/>
      </w:r>
      <w:r>
        <w:rPr>
          <w:rFonts w:hint="default" w:ascii="Times New Roman" w:hAnsi="Times New Roman" w:cs="Times New Roman"/>
          <w:b/>
          <w:bCs/>
          <w:color w:val="000000" w:themeColor="text1"/>
          <w:szCs w:val="24"/>
          <w:highlight w:val="none"/>
          <w14:textFill>
            <w14:solidFill>
              <w14:schemeClr w14:val="tx1"/>
            </w14:solidFill>
          </w14:textFill>
        </w:rPr>
        <w:fldChar w:fldCharType="end"/>
      </w:r>
    </w:p>
    <w:p w14:paraId="365899B1">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_Toc21653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rPr>
        <w:t xml:space="preserve">1.1. </w:t>
      </w:r>
      <w:r>
        <w:rPr>
          <w:rFonts w:hint="default" w:ascii="Times New Roman" w:hAnsi="Times New Roman" w:cs="Times New Roman"/>
          <w:highlight w:val="none"/>
        </w:rPr>
        <w:t>项目由来</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_Toc21653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- 1 -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38D52F2D">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_Toc20454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rPr>
        <w:t xml:space="preserve">1.2. </w:t>
      </w:r>
      <w:r>
        <w:rPr>
          <w:rFonts w:hint="default" w:ascii="Times New Roman" w:hAnsi="Times New Roman" w:cs="Times New Roman"/>
          <w:highlight w:val="none"/>
        </w:rPr>
        <w:t>调查目的和原则</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_Toc20454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- 1 -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092119A6">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_Toc18023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rPr>
        <w:t xml:space="preserve">1.3. </w:t>
      </w:r>
      <w:r>
        <w:rPr>
          <w:rFonts w:hint="default" w:ascii="Times New Roman" w:hAnsi="Times New Roman" w:cs="Times New Roman"/>
          <w:highlight w:val="none"/>
        </w:rPr>
        <w:t>调查</w:t>
      </w:r>
      <w:r>
        <w:rPr>
          <w:rFonts w:hint="default" w:ascii="Times New Roman" w:hAnsi="Times New Roman" w:cs="Times New Roman"/>
          <w:highlight w:val="none"/>
          <w:lang w:eastAsia="zh-CN"/>
        </w:rPr>
        <w:t>对象和</w:t>
      </w:r>
      <w:r>
        <w:rPr>
          <w:rFonts w:hint="default" w:ascii="Times New Roman" w:hAnsi="Times New Roman" w:cs="Times New Roman"/>
          <w:highlight w:val="none"/>
        </w:rPr>
        <w:t>范围</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_Toc18023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- 2 -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6992B7EA">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_Toc5045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rPr>
        <w:t xml:space="preserve">1.4. </w:t>
      </w:r>
      <w:r>
        <w:rPr>
          <w:rFonts w:hint="default" w:ascii="Times New Roman" w:hAnsi="Times New Roman" w:cs="Times New Roman"/>
          <w:highlight w:val="none"/>
          <w:lang w:eastAsia="zh-CN"/>
        </w:rPr>
        <w:t>调查依据</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_Toc5045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- 2 -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58183089">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_Toc6856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rPr>
        <w:t xml:space="preserve">1.5. </w:t>
      </w:r>
      <w:r>
        <w:rPr>
          <w:rFonts w:hint="default" w:ascii="Times New Roman" w:hAnsi="Times New Roman" w:cs="Times New Roman"/>
          <w:highlight w:val="none"/>
          <w:lang w:eastAsia="zh-CN"/>
        </w:rPr>
        <w:t>调查方法</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_Toc6856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- 4 -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61A65B04">
      <w:pPr>
        <w:pStyle w:val="16"/>
        <w:tabs>
          <w:tab w:val="right" w:leader="dot" w:pos="9638"/>
        </w:tabs>
        <w:rPr>
          <w:rFonts w:hint="default" w:ascii="Times New Roman" w:hAnsi="Times New Roman" w:cs="Times New Roman"/>
          <w:b/>
          <w:bCs/>
          <w:color w:val="000000" w:themeColor="text1"/>
          <w:szCs w:val="24"/>
          <w:highlight w:val="none"/>
          <w14:textFill>
            <w14:solidFill>
              <w14:schemeClr w14:val="tx1"/>
            </w14:solidFill>
          </w14:textFill>
        </w:rPr>
      </w:pPr>
      <w:r>
        <w:rPr>
          <w:rFonts w:hint="default" w:ascii="Times New Roman" w:hAnsi="Times New Roman" w:cs="Times New Roman"/>
          <w:b/>
          <w:bCs/>
          <w:color w:val="000000" w:themeColor="text1"/>
          <w:szCs w:val="24"/>
          <w:highlight w:val="none"/>
          <w14:textFill>
            <w14:solidFill>
              <w14:schemeClr w14:val="tx1"/>
            </w14:solidFill>
          </w14:textFill>
        </w:rPr>
        <w:fldChar w:fldCharType="begin"/>
      </w:r>
      <w:r>
        <w:rPr>
          <w:rFonts w:hint="default" w:ascii="Times New Roman" w:hAnsi="Times New Roman" w:cs="Times New Roman"/>
          <w:b/>
          <w:bCs/>
          <w:color w:val="000000" w:themeColor="text1"/>
          <w:szCs w:val="24"/>
          <w:highlight w:val="none"/>
          <w14:textFill>
            <w14:solidFill>
              <w14:schemeClr w14:val="tx1"/>
            </w14:solidFill>
          </w14:textFill>
        </w:rPr>
        <w:instrText xml:space="preserve"> HYPERLINK \l _Toc29773 </w:instrText>
      </w:r>
      <w:r>
        <w:rPr>
          <w:rFonts w:hint="default" w:ascii="Times New Roman" w:hAnsi="Times New Roman" w:cs="Times New Roman"/>
          <w:b/>
          <w:bCs/>
          <w:color w:val="000000" w:themeColor="text1"/>
          <w:szCs w:val="24"/>
          <w:highlight w:val="none"/>
          <w14:textFill>
            <w14:solidFill>
              <w14:schemeClr w14:val="tx1"/>
            </w14:solidFill>
          </w14:textFill>
        </w:rPr>
        <w:fldChar w:fldCharType="separate"/>
      </w:r>
      <w:r>
        <w:rPr>
          <w:rFonts w:hint="default" w:ascii="Times New Roman" w:hAnsi="Times New Roman" w:cs="Times New Roman"/>
          <w:b/>
          <w:bCs/>
          <w:color w:val="000000" w:themeColor="text1"/>
          <w:szCs w:val="24"/>
          <w:highlight w:val="none"/>
          <w14:textFill>
            <w14:solidFill>
              <w14:schemeClr w14:val="tx1"/>
            </w14:solidFill>
          </w14:textFill>
        </w:rPr>
        <w:t xml:space="preserve">2. </w:t>
      </w:r>
      <w:r>
        <w:rPr>
          <w:rFonts w:hint="default" w:ascii="Times New Roman" w:hAnsi="Times New Roman" w:cs="Times New Roman"/>
          <w:b/>
          <w:bCs/>
          <w:color w:val="000000" w:themeColor="text1"/>
          <w:szCs w:val="24"/>
          <w:highlight w:val="none"/>
          <w:lang w:eastAsia="zh-CN"/>
          <w14:textFill>
            <w14:solidFill>
              <w14:schemeClr w14:val="tx1"/>
            </w14:solidFill>
          </w14:textFill>
        </w:rPr>
        <w:t>调查区域概况</w:t>
      </w:r>
      <w:r>
        <w:rPr>
          <w:rFonts w:hint="default" w:ascii="Times New Roman" w:hAnsi="Times New Roman" w:cs="Times New Roman"/>
          <w:b/>
          <w:bCs/>
          <w:color w:val="000000" w:themeColor="text1"/>
          <w:szCs w:val="24"/>
          <w:highlight w:val="none"/>
          <w14:textFill>
            <w14:solidFill>
              <w14:schemeClr w14:val="tx1"/>
            </w14:solidFill>
          </w14:textFill>
        </w:rPr>
        <w:tab/>
      </w:r>
      <w:r>
        <w:rPr>
          <w:rFonts w:hint="default" w:ascii="Times New Roman" w:hAnsi="Times New Roman" w:cs="Times New Roman"/>
          <w:b/>
          <w:bCs/>
          <w:color w:val="000000" w:themeColor="text1"/>
          <w:szCs w:val="24"/>
          <w:highlight w:val="none"/>
          <w14:textFill>
            <w14:solidFill>
              <w14:schemeClr w14:val="tx1"/>
            </w14:solidFill>
          </w14:textFill>
        </w:rPr>
        <w:fldChar w:fldCharType="begin"/>
      </w:r>
      <w:r>
        <w:rPr>
          <w:rFonts w:hint="default" w:ascii="Times New Roman" w:hAnsi="Times New Roman" w:cs="Times New Roman"/>
          <w:b/>
          <w:bCs/>
          <w:color w:val="000000" w:themeColor="text1"/>
          <w:szCs w:val="24"/>
          <w:highlight w:val="none"/>
          <w14:textFill>
            <w14:solidFill>
              <w14:schemeClr w14:val="tx1"/>
            </w14:solidFill>
          </w14:textFill>
        </w:rPr>
        <w:instrText xml:space="preserve"> PAGEREF _Toc29773 </w:instrText>
      </w:r>
      <w:r>
        <w:rPr>
          <w:rFonts w:hint="default" w:ascii="Times New Roman" w:hAnsi="Times New Roman" w:cs="Times New Roman"/>
          <w:b/>
          <w:bCs/>
          <w:color w:val="000000" w:themeColor="text1"/>
          <w:szCs w:val="24"/>
          <w:highlight w:val="none"/>
          <w14:textFill>
            <w14:solidFill>
              <w14:schemeClr w14:val="tx1"/>
            </w14:solidFill>
          </w14:textFill>
        </w:rPr>
        <w:fldChar w:fldCharType="separate"/>
      </w:r>
      <w:r>
        <w:rPr>
          <w:rFonts w:hint="default" w:ascii="Times New Roman" w:hAnsi="Times New Roman" w:cs="Times New Roman"/>
          <w:b/>
          <w:bCs/>
          <w:color w:val="000000" w:themeColor="text1"/>
          <w:szCs w:val="24"/>
          <w:highlight w:val="none"/>
          <w14:textFill>
            <w14:solidFill>
              <w14:schemeClr w14:val="tx1"/>
            </w14:solidFill>
          </w14:textFill>
        </w:rPr>
        <w:t>- 6 -</w:t>
      </w:r>
      <w:r>
        <w:rPr>
          <w:rFonts w:hint="default" w:ascii="Times New Roman" w:hAnsi="Times New Roman" w:cs="Times New Roman"/>
          <w:b/>
          <w:bCs/>
          <w:color w:val="000000" w:themeColor="text1"/>
          <w:szCs w:val="24"/>
          <w:highlight w:val="none"/>
          <w14:textFill>
            <w14:solidFill>
              <w14:schemeClr w14:val="tx1"/>
            </w14:solidFill>
          </w14:textFill>
        </w:rPr>
        <w:fldChar w:fldCharType="end"/>
      </w:r>
      <w:r>
        <w:rPr>
          <w:rFonts w:hint="default" w:ascii="Times New Roman" w:hAnsi="Times New Roman" w:cs="Times New Roman"/>
          <w:b/>
          <w:bCs/>
          <w:color w:val="000000" w:themeColor="text1"/>
          <w:szCs w:val="24"/>
          <w:highlight w:val="none"/>
          <w14:textFill>
            <w14:solidFill>
              <w14:schemeClr w14:val="tx1"/>
            </w14:solidFill>
          </w14:textFill>
        </w:rPr>
        <w:fldChar w:fldCharType="end"/>
      </w:r>
    </w:p>
    <w:p w14:paraId="76C148A5">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_Toc10355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rPr>
        <w:t xml:space="preserve">2.1. </w:t>
      </w:r>
      <w:r>
        <w:rPr>
          <w:rFonts w:hint="default" w:ascii="Times New Roman" w:hAnsi="Times New Roman" w:cs="Times New Roman"/>
          <w:highlight w:val="none"/>
          <w:lang w:eastAsia="zh-CN"/>
        </w:rPr>
        <w:t>区域自然环境概况</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_Toc10355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- 6 -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7D7B0020">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_Toc25362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rPr>
        <w:t xml:space="preserve">2.2. </w:t>
      </w:r>
      <w:r>
        <w:rPr>
          <w:rFonts w:hint="default" w:ascii="Times New Roman" w:hAnsi="Times New Roman" w:cs="Times New Roman"/>
          <w:highlight w:val="none"/>
          <w:lang w:eastAsia="zh-CN"/>
        </w:rPr>
        <w:t>园区概况</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_Toc25362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- 8 -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21FD09F1">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_Toc8815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rPr>
        <w:t xml:space="preserve">2.3. </w:t>
      </w:r>
      <w:r>
        <w:rPr>
          <w:rFonts w:hint="default" w:ascii="Times New Roman" w:hAnsi="Times New Roman" w:cs="Times New Roman"/>
          <w:highlight w:val="none"/>
          <w:lang w:eastAsia="zh-CN"/>
        </w:rPr>
        <w:t>园区</w:t>
      </w:r>
      <w:r>
        <w:rPr>
          <w:rFonts w:hint="default" w:ascii="Times New Roman" w:hAnsi="Times New Roman" w:cs="Times New Roman"/>
          <w:highlight w:val="none"/>
        </w:rPr>
        <w:t>污染源分析</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_Toc8815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- 12 -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74B7018E">
      <w:pPr>
        <w:pStyle w:val="16"/>
        <w:tabs>
          <w:tab w:val="right" w:leader="dot" w:pos="9638"/>
        </w:tabs>
        <w:rPr>
          <w:rFonts w:hint="default" w:ascii="Times New Roman" w:hAnsi="Times New Roman" w:cs="Times New Roman"/>
          <w:b/>
          <w:bCs/>
          <w:color w:val="000000" w:themeColor="text1"/>
          <w:szCs w:val="24"/>
          <w:highlight w:val="none"/>
          <w14:textFill>
            <w14:solidFill>
              <w14:schemeClr w14:val="tx1"/>
            </w14:solidFill>
          </w14:textFill>
        </w:rPr>
      </w:pPr>
      <w:r>
        <w:rPr>
          <w:rFonts w:hint="default" w:ascii="Times New Roman" w:hAnsi="Times New Roman" w:cs="Times New Roman"/>
          <w:b/>
          <w:bCs/>
          <w:color w:val="000000" w:themeColor="text1"/>
          <w:szCs w:val="24"/>
          <w:highlight w:val="none"/>
          <w14:textFill>
            <w14:solidFill>
              <w14:schemeClr w14:val="tx1"/>
            </w14:solidFill>
          </w14:textFill>
        </w:rPr>
        <w:fldChar w:fldCharType="begin"/>
      </w:r>
      <w:r>
        <w:rPr>
          <w:rFonts w:hint="default" w:ascii="Times New Roman" w:hAnsi="Times New Roman" w:cs="Times New Roman"/>
          <w:b/>
          <w:bCs/>
          <w:color w:val="000000" w:themeColor="text1"/>
          <w:szCs w:val="24"/>
          <w:highlight w:val="none"/>
          <w14:textFill>
            <w14:solidFill>
              <w14:schemeClr w14:val="tx1"/>
            </w14:solidFill>
          </w14:textFill>
        </w:rPr>
        <w:instrText xml:space="preserve"> HYPERLINK \l _Toc31070 </w:instrText>
      </w:r>
      <w:r>
        <w:rPr>
          <w:rFonts w:hint="default" w:ascii="Times New Roman" w:hAnsi="Times New Roman" w:cs="Times New Roman"/>
          <w:b/>
          <w:bCs/>
          <w:color w:val="000000" w:themeColor="text1"/>
          <w:szCs w:val="24"/>
          <w:highlight w:val="none"/>
          <w14:textFill>
            <w14:solidFill>
              <w14:schemeClr w14:val="tx1"/>
            </w14:solidFill>
          </w14:textFill>
        </w:rPr>
        <w:fldChar w:fldCharType="separate"/>
      </w:r>
      <w:r>
        <w:rPr>
          <w:rFonts w:hint="default" w:ascii="Times New Roman" w:hAnsi="Times New Roman" w:cs="Times New Roman"/>
          <w:b/>
          <w:bCs/>
          <w:color w:val="000000" w:themeColor="text1"/>
          <w:szCs w:val="24"/>
          <w:highlight w:val="none"/>
          <w14:textFill>
            <w14:solidFill>
              <w14:schemeClr w14:val="tx1"/>
            </w14:solidFill>
          </w14:textFill>
        </w:rPr>
        <w:t xml:space="preserve">3. </w:t>
      </w:r>
      <w:r>
        <w:rPr>
          <w:rFonts w:hint="default" w:ascii="Times New Roman" w:hAnsi="Times New Roman" w:cs="Times New Roman"/>
          <w:b/>
          <w:bCs/>
          <w:color w:val="000000" w:themeColor="text1"/>
          <w:szCs w:val="24"/>
          <w:highlight w:val="none"/>
          <w:lang w:eastAsia="zh-CN"/>
          <w14:textFill>
            <w14:solidFill>
              <w14:schemeClr w14:val="tx1"/>
            </w14:solidFill>
          </w14:textFill>
        </w:rPr>
        <w:t>调查工作方案</w:t>
      </w:r>
      <w:r>
        <w:rPr>
          <w:rFonts w:hint="default" w:ascii="Times New Roman" w:hAnsi="Times New Roman" w:cs="Times New Roman"/>
          <w:b/>
          <w:bCs/>
          <w:color w:val="000000" w:themeColor="text1"/>
          <w:szCs w:val="24"/>
          <w:highlight w:val="none"/>
          <w14:textFill>
            <w14:solidFill>
              <w14:schemeClr w14:val="tx1"/>
            </w14:solidFill>
          </w14:textFill>
        </w:rPr>
        <w:tab/>
      </w:r>
      <w:r>
        <w:rPr>
          <w:rFonts w:hint="default" w:ascii="Times New Roman" w:hAnsi="Times New Roman" w:cs="Times New Roman"/>
          <w:b/>
          <w:bCs/>
          <w:color w:val="000000" w:themeColor="text1"/>
          <w:szCs w:val="24"/>
          <w:highlight w:val="none"/>
          <w14:textFill>
            <w14:solidFill>
              <w14:schemeClr w14:val="tx1"/>
            </w14:solidFill>
          </w14:textFill>
        </w:rPr>
        <w:fldChar w:fldCharType="begin"/>
      </w:r>
      <w:r>
        <w:rPr>
          <w:rFonts w:hint="default" w:ascii="Times New Roman" w:hAnsi="Times New Roman" w:cs="Times New Roman"/>
          <w:b/>
          <w:bCs/>
          <w:color w:val="000000" w:themeColor="text1"/>
          <w:szCs w:val="24"/>
          <w:highlight w:val="none"/>
          <w14:textFill>
            <w14:solidFill>
              <w14:schemeClr w14:val="tx1"/>
            </w14:solidFill>
          </w14:textFill>
        </w:rPr>
        <w:instrText xml:space="preserve"> PAGEREF _Toc31070 </w:instrText>
      </w:r>
      <w:r>
        <w:rPr>
          <w:rFonts w:hint="default" w:ascii="Times New Roman" w:hAnsi="Times New Roman" w:cs="Times New Roman"/>
          <w:b/>
          <w:bCs/>
          <w:color w:val="000000" w:themeColor="text1"/>
          <w:szCs w:val="24"/>
          <w:highlight w:val="none"/>
          <w14:textFill>
            <w14:solidFill>
              <w14:schemeClr w14:val="tx1"/>
            </w14:solidFill>
          </w14:textFill>
        </w:rPr>
        <w:fldChar w:fldCharType="separate"/>
      </w:r>
      <w:r>
        <w:rPr>
          <w:rFonts w:hint="default" w:ascii="Times New Roman" w:hAnsi="Times New Roman" w:cs="Times New Roman"/>
          <w:b/>
          <w:bCs/>
          <w:color w:val="000000" w:themeColor="text1"/>
          <w:szCs w:val="24"/>
          <w:highlight w:val="none"/>
          <w14:textFill>
            <w14:solidFill>
              <w14:schemeClr w14:val="tx1"/>
            </w14:solidFill>
          </w14:textFill>
        </w:rPr>
        <w:t>- 14 -</w:t>
      </w:r>
      <w:r>
        <w:rPr>
          <w:rFonts w:hint="default" w:ascii="Times New Roman" w:hAnsi="Times New Roman" w:cs="Times New Roman"/>
          <w:b/>
          <w:bCs/>
          <w:color w:val="000000" w:themeColor="text1"/>
          <w:szCs w:val="24"/>
          <w:highlight w:val="none"/>
          <w14:textFill>
            <w14:solidFill>
              <w14:schemeClr w14:val="tx1"/>
            </w14:solidFill>
          </w14:textFill>
        </w:rPr>
        <w:fldChar w:fldCharType="end"/>
      </w:r>
      <w:r>
        <w:rPr>
          <w:rFonts w:hint="default" w:ascii="Times New Roman" w:hAnsi="Times New Roman" w:cs="Times New Roman"/>
          <w:b/>
          <w:bCs/>
          <w:color w:val="000000" w:themeColor="text1"/>
          <w:szCs w:val="24"/>
          <w:highlight w:val="none"/>
          <w14:textFill>
            <w14:solidFill>
              <w14:schemeClr w14:val="tx1"/>
            </w14:solidFill>
          </w14:textFill>
        </w:rPr>
        <w:fldChar w:fldCharType="end"/>
      </w:r>
    </w:p>
    <w:p w14:paraId="6CBDCA86">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_Toc19824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rPr>
        <w:t xml:space="preserve">3.1. </w:t>
      </w:r>
      <w:r>
        <w:rPr>
          <w:rFonts w:hint="default" w:ascii="Times New Roman" w:hAnsi="Times New Roman" w:cs="Times New Roman"/>
          <w:highlight w:val="none"/>
          <w:lang w:eastAsia="zh-CN"/>
        </w:rPr>
        <w:t>土壤</w:t>
      </w:r>
      <w:r>
        <w:rPr>
          <w:rFonts w:hint="default" w:ascii="Times New Roman" w:hAnsi="Times New Roman" w:cs="Times New Roman"/>
          <w:highlight w:val="none"/>
        </w:rPr>
        <w:t>布点方案</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_Toc19824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- 14 -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720A3B54">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_Toc16072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rPr>
        <w:t xml:space="preserve">3.2. </w:t>
      </w:r>
      <w:r>
        <w:rPr>
          <w:rFonts w:hint="default" w:ascii="Times New Roman" w:hAnsi="Times New Roman" w:cs="Times New Roman"/>
          <w:highlight w:val="none"/>
          <w:lang w:eastAsia="zh-CN"/>
        </w:rPr>
        <w:t>地下水布点方案</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_Toc16072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- 17 -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603A0441">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_Toc31108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rPr>
        <w:t xml:space="preserve">3.3. </w:t>
      </w:r>
      <w:r>
        <w:rPr>
          <w:rFonts w:hint="default" w:ascii="Times New Roman" w:hAnsi="Times New Roman" w:cs="Times New Roman"/>
          <w:highlight w:val="none"/>
          <w:lang w:eastAsia="zh-CN"/>
        </w:rPr>
        <w:t>采样方案</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_Toc31108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- 17 -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5F0EE729">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_Toc22200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rPr>
        <w:t xml:space="preserve">3.4. </w:t>
      </w:r>
      <w:r>
        <w:rPr>
          <w:rFonts w:hint="default" w:ascii="Times New Roman" w:hAnsi="Times New Roman" w:cs="Times New Roman"/>
          <w:highlight w:val="none"/>
        </w:rPr>
        <w:t>质量保证与质量控制</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_Toc22200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- 18 -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2A38B97F">
      <w:pPr>
        <w:pStyle w:val="16"/>
        <w:tabs>
          <w:tab w:val="right" w:leader="dot" w:pos="9638"/>
        </w:tabs>
        <w:rPr>
          <w:rFonts w:hint="default" w:ascii="Times New Roman" w:hAnsi="Times New Roman" w:cs="Times New Roman"/>
          <w:b/>
          <w:bCs/>
          <w:color w:val="000000" w:themeColor="text1"/>
          <w:szCs w:val="24"/>
          <w:highlight w:val="none"/>
          <w14:textFill>
            <w14:solidFill>
              <w14:schemeClr w14:val="tx1"/>
            </w14:solidFill>
          </w14:textFill>
        </w:rPr>
      </w:pPr>
      <w:r>
        <w:rPr>
          <w:rFonts w:hint="default" w:ascii="Times New Roman" w:hAnsi="Times New Roman" w:cs="Times New Roman"/>
          <w:b/>
          <w:bCs/>
          <w:color w:val="000000" w:themeColor="text1"/>
          <w:szCs w:val="24"/>
          <w:highlight w:val="none"/>
          <w14:textFill>
            <w14:solidFill>
              <w14:schemeClr w14:val="tx1"/>
            </w14:solidFill>
          </w14:textFill>
        </w:rPr>
        <w:fldChar w:fldCharType="begin"/>
      </w:r>
      <w:r>
        <w:rPr>
          <w:rFonts w:hint="default" w:ascii="Times New Roman" w:hAnsi="Times New Roman" w:cs="Times New Roman"/>
          <w:b/>
          <w:bCs/>
          <w:color w:val="000000" w:themeColor="text1"/>
          <w:szCs w:val="24"/>
          <w:highlight w:val="none"/>
          <w14:textFill>
            <w14:solidFill>
              <w14:schemeClr w14:val="tx1"/>
            </w14:solidFill>
          </w14:textFill>
        </w:rPr>
        <w:instrText xml:space="preserve"> HYPERLINK \l _Toc10707 </w:instrText>
      </w:r>
      <w:r>
        <w:rPr>
          <w:rFonts w:hint="default" w:ascii="Times New Roman" w:hAnsi="Times New Roman" w:cs="Times New Roman"/>
          <w:b/>
          <w:bCs/>
          <w:color w:val="000000" w:themeColor="text1"/>
          <w:szCs w:val="24"/>
          <w:highlight w:val="none"/>
          <w14:textFill>
            <w14:solidFill>
              <w14:schemeClr w14:val="tx1"/>
            </w14:solidFill>
          </w14:textFill>
        </w:rPr>
        <w:fldChar w:fldCharType="separate"/>
      </w:r>
      <w:r>
        <w:rPr>
          <w:rFonts w:hint="default" w:ascii="Times New Roman" w:hAnsi="Times New Roman" w:cs="Times New Roman"/>
          <w:b/>
          <w:bCs/>
          <w:color w:val="000000" w:themeColor="text1"/>
          <w:szCs w:val="24"/>
          <w:highlight w:val="none"/>
          <w:lang w:eastAsia="zh-CN"/>
          <w14:textFill>
            <w14:solidFill>
              <w14:schemeClr w14:val="tx1"/>
            </w14:solidFill>
          </w14:textFill>
        </w:rPr>
        <w:t>4. 现场工作及实验室分析</w:t>
      </w:r>
      <w:r>
        <w:rPr>
          <w:rFonts w:hint="default" w:ascii="Times New Roman" w:hAnsi="Times New Roman" w:cs="Times New Roman"/>
          <w:b/>
          <w:bCs/>
          <w:color w:val="000000" w:themeColor="text1"/>
          <w:szCs w:val="24"/>
          <w:highlight w:val="none"/>
          <w14:textFill>
            <w14:solidFill>
              <w14:schemeClr w14:val="tx1"/>
            </w14:solidFill>
          </w14:textFill>
        </w:rPr>
        <w:tab/>
      </w:r>
      <w:r>
        <w:rPr>
          <w:rFonts w:hint="default" w:ascii="Times New Roman" w:hAnsi="Times New Roman" w:cs="Times New Roman"/>
          <w:b/>
          <w:bCs/>
          <w:color w:val="000000" w:themeColor="text1"/>
          <w:szCs w:val="24"/>
          <w:highlight w:val="none"/>
          <w14:textFill>
            <w14:solidFill>
              <w14:schemeClr w14:val="tx1"/>
            </w14:solidFill>
          </w14:textFill>
        </w:rPr>
        <w:fldChar w:fldCharType="begin"/>
      </w:r>
      <w:r>
        <w:rPr>
          <w:rFonts w:hint="default" w:ascii="Times New Roman" w:hAnsi="Times New Roman" w:cs="Times New Roman"/>
          <w:b/>
          <w:bCs/>
          <w:color w:val="000000" w:themeColor="text1"/>
          <w:szCs w:val="24"/>
          <w:highlight w:val="none"/>
          <w14:textFill>
            <w14:solidFill>
              <w14:schemeClr w14:val="tx1"/>
            </w14:solidFill>
          </w14:textFill>
        </w:rPr>
        <w:instrText xml:space="preserve"> PAGEREF _Toc10707 </w:instrText>
      </w:r>
      <w:r>
        <w:rPr>
          <w:rFonts w:hint="default" w:ascii="Times New Roman" w:hAnsi="Times New Roman" w:cs="Times New Roman"/>
          <w:b/>
          <w:bCs/>
          <w:color w:val="000000" w:themeColor="text1"/>
          <w:szCs w:val="24"/>
          <w:highlight w:val="none"/>
          <w14:textFill>
            <w14:solidFill>
              <w14:schemeClr w14:val="tx1"/>
            </w14:solidFill>
          </w14:textFill>
        </w:rPr>
        <w:fldChar w:fldCharType="separate"/>
      </w:r>
      <w:r>
        <w:rPr>
          <w:rFonts w:hint="default" w:ascii="Times New Roman" w:hAnsi="Times New Roman" w:cs="Times New Roman"/>
          <w:b/>
          <w:bCs/>
          <w:color w:val="000000" w:themeColor="text1"/>
          <w:szCs w:val="24"/>
          <w:highlight w:val="none"/>
          <w14:textFill>
            <w14:solidFill>
              <w14:schemeClr w14:val="tx1"/>
            </w14:solidFill>
          </w14:textFill>
        </w:rPr>
        <w:t>- 21 -</w:t>
      </w:r>
      <w:r>
        <w:rPr>
          <w:rFonts w:hint="default" w:ascii="Times New Roman" w:hAnsi="Times New Roman" w:cs="Times New Roman"/>
          <w:b/>
          <w:bCs/>
          <w:color w:val="000000" w:themeColor="text1"/>
          <w:szCs w:val="24"/>
          <w:highlight w:val="none"/>
          <w14:textFill>
            <w14:solidFill>
              <w14:schemeClr w14:val="tx1"/>
            </w14:solidFill>
          </w14:textFill>
        </w:rPr>
        <w:fldChar w:fldCharType="end"/>
      </w:r>
      <w:r>
        <w:rPr>
          <w:rFonts w:hint="default" w:ascii="Times New Roman" w:hAnsi="Times New Roman" w:cs="Times New Roman"/>
          <w:b/>
          <w:bCs/>
          <w:color w:val="000000" w:themeColor="text1"/>
          <w:szCs w:val="24"/>
          <w:highlight w:val="none"/>
          <w14:textFill>
            <w14:solidFill>
              <w14:schemeClr w14:val="tx1"/>
            </w14:solidFill>
          </w14:textFill>
        </w:rPr>
        <w:fldChar w:fldCharType="end"/>
      </w:r>
    </w:p>
    <w:p w14:paraId="73A27838">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_Toc30602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rPr>
        <w:t xml:space="preserve">4.1. </w:t>
      </w:r>
      <w:r>
        <w:rPr>
          <w:rFonts w:hint="default" w:ascii="Times New Roman" w:hAnsi="Times New Roman" w:cs="Times New Roman"/>
          <w:highlight w:val="none"/>
          <w:lang w:eastAsia="zh-CN"/>
        </w:rPr>
        <w:t>现场定点测绘</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_Toc30602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- 21 -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2D2C103A">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_Toc25534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rPr>
        <w:t xml:space="preserve">4.2. </w:t>
      </w:r>
      <w:r>
        <w:rPr>
          <w:rFonts w:hint="default" w:ascii="Times New Roman" w:hAnsi="Times New Roman" w:cs="Times New Roman"/>
          <w:highlight w:val="none"/>
          <w:lang w:eastAsia="zh-CN"/>
        </w:rPr>
        <w:t>样品采集</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_Toc25534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- 21 -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08E81734">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_Toc24520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rPr>
        <w:t xml:space="preserve">4.3. </w:t>
      </w:r>
      <w:r>
        <w:rPr>
          <w:rFonts w:hint="default" w:ascii="Times New Roman" w:hAnsi="Times New Roman" w:cs="Times New Roman"/>
          <w:highlight w:val="none"/>
        </w:rPr>
        <w:t>现场记录</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_Toc24520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- 25 -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3D1A5165">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_Toc10149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rPr>
        <w:t xml:space="preserve">4.4. </w:t>
      </w:r>
      <w:r>
        <w:rPr>
          <w:rFonts w:hint="default" w:ascii="Times New Roman" w:hAnsi="Times New Roman" w:cs="Times New Roman"/>
          <w:highlight w:val="none"/>
        </w:rPr>
        <w:t>实验室分析</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_Toc10149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- 28 -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561E8A38">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_Toc25163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rPr>
        <w:t xml:space="preserve">4.5. </w:t>
      </w:r>
      <w:r>
        <w:rPr>
          <w:rFonts w:hint="default" w:ascii="Times New Roman" w:hAnsi="Times New Roman" w:cs="Times New Roman"/>
          <w:highlight w:val="none"/>
          <w:lang w:eastAsia="zh-CN"/>
        </w:rPr>
        <w:t>现场</w:t>
      </w:r>
      <w:r>
        <w:rPr>
          <w:rFonts w:hint="default" w:ascii="Times New Roman" w:hAnsi="Times New Roman" w:cs="Times New Roman"/>
          <w:highlight w:val="none"/>
        </w:rPr>
        <w:t>质量控制</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_Toc25163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- 32 -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2E3BED08">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_Toc26899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rPr>
        <w:t xml:space="preserve">4.6. </w:t>
      </w:r>
      <w:r>
        <w:rPr>
          <w:rFonts w:hint="default" w:ascii="Times New Roman" w:hAnsi="Times New Roman" w:cs="Times New Roman"/>
          <w:highlight w:val="none"/>
        </w:rPr>
        <w:t>实验室质量控制</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_Toc26899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- 34 -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32624C6E">
      <w:pPr>
        <w:pStyle w:val="16"/>
        <w:tabs>
          <w:tab w:val="right" w:leader="dot" w:pos="9638"/>
        </w:tabs>
        <w:rPr>
          <w:rFonts w:hint="default" w:ascii="Times New Roman" w:hAnsi="Times New Roman" w:cs="Times New Roman"/>
          <w:b/>
          <w:bCs/>
          <w:color w:val="000000" w:themeColor="text1"/>
          <w:szCs w:val="24"/>
          <w:highlight w:val="none"/>
          <w14:textFill>
            <w14:solidFill>
              <w14:schemeClr w14:val="tx1"/>
            </w14:solidFill>
          </w14:textFill>
        </w:rPr>
      </w:pPr>
      <w:r>
        <w:rPr>
          <w:rFonts w:hint="default" w:ascii="Times New Roman" w:hAnsi="Times New Roman" w:cs="Times New Roman"/>
          <w:b/>
          <w:bCs/>
          <w:color w:val="000000" w:themeColor="text1"/>
          <w:szCs w:val="24"/>
          <w:highlight w:val="none"/>
          <w14:textFill>
            <w14:solidFill>
              <w14:schemeClr w14:val="tx1"/>
            </w14:solidFill>
          </w14:textFill>
        </w:rPr>
        <w:fldChar w:fldCharType="begin"/>
      </w:r>
      <w:r>
        <w:rPr>
          <w:rFonts w:hint="default" w:ascii="Times New Roman" w:hAnsi="Times New Roman" w:cs="Times New Roman"/>
          <w:b/>
          <w:bCs/>
          <w:color w:val="000000" w:themeColor="text1"/>
          <w:szCs w:val="24"/>
          <w:highlight w:val="none"/>
          <w14:textFill>
            <w14:solidFill>
              <w14:schemeClr w14:val="tx1"/>
            </w14:solidFill>
          </w14:textFill>
        </w:rPr>
        <w:instrText xml:space="preserve"> HYPERLINK \l _Toc10302 </w:instrText>
      </w:r>
      <w:r>
        <w:rPr>
          <w:rFonts w:hint="default" w:ascii="Times New Roman" w:hAnsi="Times New Roman" w:cs="Times New Roman"/>
          <w:b/>
          <w:bCs/>
          <w:color w:val="000000" w:themeColor="text1"/>
          <w:szCs w:val="24"/>
          <w:highlight w:val="none"/>
          <w14:textFill>
            <w14:solidFill>
              <w14:schemeClr w14:val="tx1"/>
            </w14:solidFill>
          </w14:textFill>
        </w:rPr>
        <w:fldChar w:fldCharType="separate"/>
      </w:r>
      <w:r>
        <w:rPr>
          <w:rFonts w:hint="default" w:ascii="Times New Roman" w:hAnsi="Times New Roman" w:cs="Times New Roman"/>
          <w:b/>
          <w:bCs/>
          <w:color w:val="000000" w:themeColor="text1"/>
          <w:szCs w:val="24"/>
          <w:highlight w:val="none"/>
          <w:lang w:eastAsia="zh-CN"/>
          <w14:textFill>
            <w14:solidFill>
              <w14:schemeClr w14:val="tx1"/>
            </w14:solidFill>
          </w14:textFill>
        </w:rPr>
        <w:t>5. 结果与评价</w:t>
      </w:r>
      <w:r>
        <w:rPr>
          <w:rFonts w:hint="default" w:ascii="Times New Roman" w:hAnsi="Times New Roman" w:cs="Times New Roman"/>
          <w:b/>
          <w:bCs/>
          <w:color w:val="000000" w:themeColor="text1"/>
          <w:szCs w:val="24"/>
          <w:highlight w:val="none"/>
          <w14:textFill>
            <w14:solidFill>
              <w14:schemeClr w14:val="tx1"/>
            </w14:solidFill>
          </w14:textFill>
        </w:rPr>
        <w:tab/>
      </w:r>
      <w:r>
        <w:rPr>
          <w:rFonts w:hint="default" w:ascii="Times New Roman" w:hAnsi="Times New Roman" w:cs="Times New Roman"/>
          <w:b/>
          <w:bCs/>
          <w:color w:val="000000" w:themeColor="text1"/>
          <w:szCs w:val="24"/>
          <w:highlight w:val="none"/>
          <w14:textFill>
            <w14:solidFill>
              <w14:schemeClr w14:val="tx1"/>
            </w14:solidFill>
          </w14:textFill>
        </w:rPr>
        <w:fldChar w:fldCharType="begin"/>
      </w:r>
      <w:r>
        <w:rPr>
          <w:rFonts w:hint="default" w:ascii="Times New Roman" w:hAnsi="Times New Roman" w:cs="Times New Roman"/>
          <w:b/>
          <w:bCs/>
          <w:color w:val="000000" w:themeColor="text1"/>
          <w:szCs w:val="24"/>
          <w:highlight w:val="none"/>
          <w14:textFill>
            <w14:solidFill>
              <w14:schemeClr w14:val="tx1"/>
            </w14:solidFill>
          </w14:textFill>
        </w:rPr>
        <w:instrText xml:space="preserve"> PAGEREF _Toc10302 </w:instrText>
      </w:r>
      <w:r>
        <w:rPr>
          <w:rFonts w:hint="default" w:ascii="Times New Roman" w:hAnsi="Times New Roman" w:cs="Times New Roman"/>
          <w:b/>
          <w:bCs/>
          <w:color w:val="000000" w:themeColor="text1"/>
          <w:szCs w:val="24"/>
          <w:highlight w:val="none"/>
          <w14:textFill>
            <w14:solidFill>
              <w14:schemeClr w14:val="tx1"/>
            </w14:solidFill>
          </w14:textFill>
        </w:rPr>
        <w:fldChar w:fldCharType="separate"/>
      </w:r>
      <w:r>
        <w:rPr>
          <w:rFonts w:hint="default" w:ascii="Times New Roman" w:hAnsi="Times New Roman" w:cs="Times New Roman"/>
          <w:b/>
          <w:bCs/>
          <w:color w:val="000000" w:themeColor="text1"/>
          <w:szCs w:val="24"/>
          <w:highlight w:val="none"/>
          <w14:textFill>
            <w14:solidFill>
              <w14:schemeClr w14:val="tx1"/>
            </w14:solidFill>
          </w14:textFill>
        </w:rPr>
        <w:t>- 37 -</w:t>
      </w:r>
      <w:r>
        <w:rPr>
          <w:rFonts w:hint="default" w:ascii="Times New Roman" w:hAnsi="Times New Roman" w:cs="Times New Roman"/>
          <w:b/>
          <w:bCs/>
          <w:color w:val="000000" w:themeColor="text1"/>
          <w:szCs w:val="24"/>
          <w:highlight w:val="none"/>
          <w14:textFill>
            <w14:solidFill>
              <w14:schemeClr w14:val="tx1"/>
            </w14:solidFill>
          </w14:textFill>
        </w:rPr>
        <w:fldChar w:fldCharType="end"/>
      </w:r>
      <w:r>
        <w:rPr>
          <w:rFonts w:hint="default" w:ascii="Times New Roman" w:hAnsi="Times New Roman" w:cs="Times New Roman"/>
          <w:b/>
          <w:bCs/>
          <w:color w:val="000000" w:themeColor="text1"/>
          <w:szCs w:val="24"/>
          <w:highlight w:val="none"/>
          <w14:textFill>
            <w14:solidFill>
              <w14:schemeClr w14:val="tx1"/>
            </w14:solidFill>
          </w14:textFill>
        </w:rPr>
        <w:fldChar w:fldCharType="end"/>
      </w:r>
    </w:p>
    <w:p w14:paraId="2F6F53C9">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_Toc18729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rPr>
        <w:t xml:space="preserve">5.1. </w:t>
      </w:r>
      <w:r>
        <w:rPr>
          <w:rFonts w:hint="default" w:ascii="Times New Roman" w:hAnsi="Times New Roman" w:cs="Times New Roman"/>
          <w:highlight w:val="none"/>
          <w:lang w:eastAsia="zh-CN"/>
        </w:rPr>
        <w:t>场地环境质量参考标准</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_Toc18729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- 37 -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2DE29F95">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_Toc84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lang w:val="en-US" w:eastAsia="zh-CN"/>
        </w:rPr>
        <w:t xml:space="preserve">5.2. </w:t>
      </w:r>
      <w:r>
        <w:rPr>
          <w:rFonts w:hint="default" w:ascii="Times New Roman" w:hAnsi="Times New Roman" w:cs="Times New Roman"/>
          <w:highlight w:val="none"/>
          <w:lang w:val="en-US" w:eastAsia="zh-CN"/>
        </w:rPr>
        <w:t>结果分析方法</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_Toc84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- 42 -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5F8F2B43">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_Toc11644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rPr>
        <w:t xml:space="preserve">5.3. </w:t>
      </w:r>
      <w:r>
        <w:rPr>
          <w:rFonts w:hint="default" w:ascii="Times New Roman" w:hAnsi="Times New Roman" w:cs="Times New Roman"/>
          <w:highlight w:val="none"/>
          <w:lang w:eastAsia="zh-CN"/>
        </w:rPr>
        <w:t>监测结果对标分析</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_Toc11644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- 43 -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7E6340D0">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_Toc3261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lang w:val="en-US" w:eastAsia="zh-CN"/>
        </w:rPr>
        <w:t xml:space="preserve">5.4. </w:t>
      </w:r>
      <w:r>
        <w:rPr>
          <w:rFonts w:hint="default" w:ascii="Times New Roman" w:hAnsi="Times New Roman" w:cs="Times New Roman"/>
          <w:highlight w:val="none"/>
          <w:lang w:val="en-US" w:eastAsia="zh-CN"/>
        </w:rPr>
        <w:t>土壤环境质量评价</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_Toc3261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- 57 -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48ACFB00">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_Toc24255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rPr>
        <w:t xml:space="preserve">5.5. </w:t>
      </w:r>
      <w:r>
        <w:rPr>
          <w:rFonts w:hint="default" w:ascii="Times New Roman" w:hAnsi="Times New Roman" w:cs="Times New Roman"/>
          <w:highlight w:val="none"/>
        </w:rPr>
        <w:t>检测结果小结</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_Toc24255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- 61 -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5D31D89E">
      <w:pPr>
        <w:pStyle w:val="16"/>
        <w:tabs>
          <w:tab w:val="right" w:leader="dot" w:pos="9638"/>
        </w:tabs>
        <w:rPr>
          <w:rFonts w:hint="default" w:ascii="Times New Roman" w:hAnsi="Times New Roman" w:cs="Times New Roman"/>
          <w:b/>
          <w:bCs/>
          <w:color w:val="000000" w:themeColor="text1"/>
          <w:szCs w:val="24"/>
          <w:highlight w:val="none"/>
          <w14:textFill>
            <w14:solidFill>
              <w14:schemeClr w14:val="tx1"/>
            </w14:solidFill>
          </w14:textFill>
        </w:rPr>
      </w:pPr>
      <w:r>
        <w:rPr>
          <w:rFonts w:hint="default" w:ascii="Times New Roman" w:hAnsi="Times New Roman" w:cs="Times New Roman"/>
          <w:b/>
          <w:bCs/>
          <w:color w:val="000000" w:themeColor="text1"/>
          <w:szCs w:val="24"/>
          <w:highlight w:val="none"/>
          <w14:textFill>
            <w14:solidFill>
              <w14:schemeClr w14:val="tx1"/>
            </w14:solidFill>
          </w14:textFill>
        </w:rPr>
        <w:fldChar w:fldCharType="begin"/>
      </w:r>
      <w:r>
        <w:rPr>
          <w:rFonts w:hint="default" w:ascii="Times New Roman" w:hAnsi="Times New Roman" w:cs="Times New Roman"/>
          <w:b/>
          <w:bCs/>
          <w:color w:val="000000" w:themeColor="text1"/>
          <w:szCs w:val="24"/>
          <w:highlight w:val="none"/>
          <w14:textFill>
            <w14:solidFill>
              <w14:schemeClr w14:val="tx1"/>
            </w14:solidFill>
          </w14:textFill>
        </w:rPr>
        <w:instrText xml:space="preserve"> HYPERLINK \l _Toc28052 </w:instrText>
      </w:r>
      <w:r>
        <w:rPr>
          <w:rFonts w:hint="default" w:ascii="Times New Roman" w:hAnsi="Times New Roman" w:cs="Times New Roman"/>
          <w:b/>
          <w:bCs/>
          <w:color w:val="000000" w:themeColor="text1"/>
          <w:szCs w:val="24"/>
          <w:highlight w:val="none"/>
          <w14:textFill>
            <w14:solidFill>
              <w14:schemeClr w14:val="tx1"/>
            </w14:solidFill>
          </w14:textFill>
        </w:rPr>
        <w:fldChar w:fldCharType="separate"/>
      </w:r>
      <w:r>
        <w:rPr>
          <w:rFonts w:hint="default" w:ascii="Times New Roman" w:hAnsi="Times New Roman" w:cs="Times New Roman"/>
          <w:b/>
          <w:bCs/>
          <w:color w:val="000000" w:themeColor="text1"/>
          <w:szCs w:val="24"/>
          <w:highlight w:val="none"/>
          <w14:textFill>
            <w14:solidFill>
              <w14:schemeClr w14:val="tx1"/>
            </w14:solidFill>
          </w14:textFill>
        </w:rPr>
        <w:t>6. 结论与建议</w:t>
      </w:r>
      <w:r>
        <w:rPr>
          <w:rFonts w:hint="default" w:ascii="Times New Roman" w:hAnsi="Times New Roman" w:cs="Times New Roman"/>
          <w:b/>
          <w:bCs/>
          <w:color w:val="000000" w:themeColor="text1"/>
          <w:szCs w:val="24"/>
          <w:highlight w:val="none"/>
          <w14:textFill>
            <w14:solidFill>
              <w14:schemeClr w14:val="tx1"/>
            </w14:solidFill>
          </w14:textFill>
        </w:rPr>
        <w:tab/>
      </w:r>
      <w:r>
        <w:rPr>
          <w:rFonts w:hint="default" w:ascii="Times New Roman" w:hAnsi="Times New Roman" w:cs="Times New Roman"/>
          <w:b/>
          <w:bCs/>
          <w:color w:val="000000" w:themeColor="text1"/>
          <w:szCs w:val="24"/>
          <w:highlight w:val="none"/>
          <w14:textFill>
            <w14:solidFill>
              <w14:schemeClr w14:val="tx1"/>
            </w14:solidFill>
          </w14:textFill>
        </w:rPr>
        <w:fldChar w:fldCharType="begin"/>
      </w:r>
      <w:r>
        <w:rPr>
          <w:rFonts w:hint="default" w:ascii="Times New Roman" w:hAnsi="Times New Roman" w:cs="Times New Roman"/>
          <w:b/>
          <w:bCs/>
          <w:color w:val="000000" w:themeColor="text1"/>
          <w:szCs w:val="24"/>
          <w:highlight w:val="none"/>
          <w14:textFill>
            <w14:solidFill>
              <w14:schemeClr w14:val="tx1"/>
            </w14:solidFill>
          </w14:textFill>
        </w:rPr>
        <w:instrText xml:space="preserve"> PAGEREF _Toc28052 </w:instrText>
      </w:r>
      <w:r>
        <w:rPr>
          <w:rFonts w:hint="default" w:ascii="Times New Roman" w:hAnsi="Times New Roman" w:cs="Times New Roman"/>
          <w:b/>
          <w:bCs/>
          <w:color w:val="000000" w:themeColor="text1"/>
          <w:szCs w:val="24"/>
          <w:highlight w:val="none"/>
          <w14:textFill>
            <w14:solidFill>
              <w14:schemeClr w14:val="tx1"/>
            </w14:solidFill>
          </w14:textFill>
        </w:rPr>
        <w:fldChar w:fldCharType="separate"/>
      </w:r>
      <w:r>
        <w:rPr>
          <w:rFonts w:hint="default" w:ascii="Times New Roman" w:hAnsi="Times New Roman" w:cs="Times New Roman"/>
          <w:b/>
          <w:bCs/>
          <w:color w:val="000000" w:themeColor="text1"/>
          <w:szCs w:val="24"/>
          <w:highlight w:val="none"/>
          <w14:textFill>
            <w14:solidFill>
              <w14:schemeClr w14:val="tx1"/>
            </w14:solidFill>
          </w14:textFill>
        </w:rPr>
        <w:t>- 63 -</w:t>
      </w:r>
      <w:r>
        <w:rPr>
          <w:rFonts w:hint="default" w:ascii="Times New Roman" w:hAnsi="Times New Roman" w:cs="Times New Roman"/>
          <w:b/>
          <w:bCs/>
          <w:color w:val="000000" w:themeColor="text1"/>
          <w:szCs w:val="24"/>
          <w:highlight w:val="none"/>
          <w14:textFill>
            <w14:solidFill>
              <w14:schemeClr w14:val="tx1"/>
            </w14:solidFill>
          </w14:textFill>
        </w:rPr>
        <w:fldChar w:fldCharType="end"/>
      </w:r>
      <w:r>
        <w:rPr>
          <w:rFonts w:hint="default" w:ascii="Times New Roman" w:hAnsi="Times New Roman" w:cs="Times New Roman"/>
          <w:b/>
          <w:bCs/>
          <w:color w:val="000000" w:themeColor="text1"/>
          <w:szCs w:val="24"/>
          <w:highlight w:val="none"/>
          <w14:textFill>
            <w14:solidFill>
              <w14:schemeClr w14:val="tx1"/>
            </w14:solidFill>
          </w14:textFill>
        </w:rPr>
        <w:fldChar w:fldCharType="end"/>
      </w:r>
    </w:p>
    <w:p w14:paraId="115E56DC">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_Toc30200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rPr>
        <w:t xml:space="preserve">6.1. </w:t>
      </w:r>
      <w:r>
        <w:rPr>
          <w:rFonts w:hint="default" w:ascii="Times New Roman" w:hAnsi="Times New Roman" w:cs="Times New Roman"/>
          <w:highlight w:val="none"/>
        </w:rPr>
        <w:t>调查结论</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_Toc30200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- 63 -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616967C4">
      <w:pPr>
        <w:pStyle w:val="18"/>
        <w:tabs>
          <w:tab w:val="right" w:leader="dot" w:pos="9638"/>
        </w:tabs>
        <w:rPr>
          <w:rFonts w:hint="default" w:ascii="Times New Roman" w:hAnsi="Times New Roman" w:cs="Times New Roman"/>
          <w:highlight w:val="none"/>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szCs w:val="24"/>
          <w:highlight w:val="none"/>
        </w:rPr>
        <w:instrText xml:space="preserve"> HYPERLINK \l _Toc13271 </w:instrText>
      </w:r>
      <w:r>
        <w:rPr>
          <w:rFonts w:hint="default" w:ascii="Times New Roman" w:hAnsi="Times New Roman" w:cs="Times New Roman"/>
          <w:szCs w:val="24"/>
          <w:highlight w:val="none"/>
        </w:rPr>
        <w:fldChar w:fldCharType="separate"/>
      </w:r>
      <w:r>
        <w:rPr>
          <w:rFonts w:hint="default" w:ascii="Times New Roman" w:hAnsi="Times New Roman" w:cs="Times New Roman"/>
          <w:szCs w:val="24"/>
          <w:highlight w:val="none"/>
        </w:rPr>
        <w:t xml:space="preserve">6.2. </w:t>
      </w:r>
      <w:r>
        <w:rPr>
          <w:rFonts w:hint="default" w:ascii="Times New Roman" w:hAnsi="Times New Roman" w:cs="Times New Roman"/>
          <w:highlight w:val="none"/>
        </w:rPr>
        <w:t>建议</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_Toc13271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- 63 -</w:t>
      </w:r>
      <w:r>
        <w:rPr>
          <w:rFonts w:hint="default" w:ascii="Times New Roman" w:hAnsi="Times New Roman" w:cs="Times New Roman"/>
          <w:highlight w:val="none"/>
        </w:rPr>
        <w:fldChar w:fldCharType="end"/>
      </w: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33DF0C8D">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color w:val="000000" w:themeColor="text1"/>
          <w:sz w:val="24"/>
          <w:szCs w:val="24"/>
          <w:highlight w:val="none"/>
          <w14:textFill>
            <w14:solidFill>
              <w14:schemeClr w14:val="tx1"/>
            </w14:solidFill>
          </w14:textFill>
        </w:rPr>
        <w:sectPr>
          <w:headerReference r:id="rId5" w:type="default"/>
          <w:pgSz w:w="11906" w:h="16838"/>
          <w:pgMar w:top="1134" w:right="1134" w:bottom="1134" w:left="1134"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r>
        <w:rPr>
          <w:rFonts w:hint="default" w:ascii="Times New Roman" w:hAnsi="Times New Roman" w:cs="Times New Roman"/>
          <w:color w:val="000000" w:themeColor="text1"/>
          <w:szCs w:val="24"/>
          <w:highlight w:val="none"/>
          <w14:textFill>
            <w14:solidFill>
              <w14:schemeClr w14:val="tx1"/>
            </w14:solidFill>
          </w14:textFill>
        </w:rPr>
        <w:fldChar w:fldCharType="end"/>
      </w:r>
    </w:p>
    <w:p w14:paraId="44577C3C">
      <w:pPr>
        <w:pStyle w:val="31"/>
        <w:adjustRightInd w:val="0"/>
        <w:snapToGrid w:val="0"/>
        <w:spacing w:after="0"/>
        <w:ind w:left="0" w:leftChars="0" w:firstLine="0" w:firstLineChars="0"/>
        <w:rPr>
          <w:rFonts w:hint="default" w:ascii="Times New Roman" w:hAnsi="Times New Roman" w:cs="Times New Roman"/>
          <w:b/>
          <w:bCs/>
          <w:caps/>
          <w:color w:val="000000" w:themeColor="text1"/>
          <w:szCs w:val="24"/>
          <w:highlight w:val="none"/>
          <w14:textFill>
            <w14:solidFill>
              <w14:schemeClr w14:val="tx1"/>
            </w14:solidFill>
          </w14:textFill>
        </w:rPr>
      </w:pPr>
    </w:p>
    <w:p w14:paraId="5E455717">
      <w:pPr>
        <w:pStyle w:val="31"/>
        <w:adjustRightInd w:val="0"/>
        <w:snapToGrid w:val="0"/>
        <w:spacing w:after="0"/>
        <w:ind w:left="0" w:leftChars="0" w:firstLine="0" w:firstLineChars="0"/>
        <w:rPr>
          <w:rFonts w:hint="default" w:ascii="Times New Roman" w:hAnsi="Times New Roman" w:cs="Times New Roman"/>
          <w:b/>
          <w:bCs/>
          <w:caps/>
          <w:color w:val="000000" w:themeColor="text1"/>
          <w:szCs w:val="24"/>
          <w:highlight w:val="none"/>
          <w14:textFill>
            <w14:solidFill>
              <w14:schemeClr w14:val="tx1"/>
            </w14:solidFill>
          </w14:textFill>
        </w:rPr>
      </w:pPr>
    </w:p>
    <w:p w14:paraId="34E94302">
      <w:pPr>
        <w:pStyle w:val="31"/>
        <w:adjustRightInd w:val="0"/>
        <w:snapToGrid w:val="0"/>
        <w:spacing w:after="0"/>
        <w:ind w:left="0" w:leftChars="0" w:firstLine="0" w:firstLineChars="0"/>
        <w:rPr>
          <w:rFonts w:hint="default" w:ascii="Times New Roman" w:hAnsi="Times New Roman" w:cs="Times New Roman"/>
          <w:b/>
          <w:bCs/>
          <w:caps/>
          <w:color w:val="000000" w:themeColor="text1"/>
          <w:szCs w:val="24"/>
          <w:highlight w:val="none"/>
          <w14:textFill>
            <w14:solidFill>
              <w14:schemeClr w14:val="tx1"/>
            </w14:solidFill>
          </w14:textFill>
        </w:rPr>
      </w:pPr>
    </w:p>
    <w:p w14:paraId="5591231D">
      <w:pPr>
        <w:pStyle w:val="31"/>
        <w:adjustRightInd w:val="0"/>
        <w:snapToGrid w:val="0"/>
        <w:spacing w:after="0"/>
        <w:ind w:left="0" w:leftChars="0" w:firstLine="0" w:firstLineChars="0"/>
        <w:rPr>
          <w:rFonts w:hint="default" w:ascii="Times New Roman" w:hAnsi="Times New Roman" w:cs="Times New Roman"/>
          <w:b/>
          <w:bCs/>
          <w:caps/>
          <w:color w:val="000000" w:themeColor="text1"/>
          <w:szCs w:val="24"/>
          <w:highlight w:val="none"/>
          <w14:textFill>
            <w14:solidFill>
              <w14:schemeClr w14:val="tx1"/>
            </w14:solidFill>
          </w14:textFill>
        </w:rPr>
      </w:pPr>
      <w:r>
        <w:rPr>
          <w:rFonts w:hint="default" w:ascii="Times New Roman" w:hAnsi="Times New Roman" w:cs="Times New Roman"/>
          <w:b/>
          <w:bCs/>
          <w:caps/>
          <w:color w:val="000000" w:themeColor="text1"/>
          <w:szCs w:val="24"/>
          <w:highlight w:val="none"/>
          <w14:textFill>
            <w14:solidFill>
              <w14:schemeClr w14:val="tx1"/>
            </w14:solidFill>
          </w14:textFill>
        </w:rPr>
        <w:t>附件：</w:t>
      </w:r>
    </w:p>
    <w:p w14:paraId="1E50EA36">
      <w:pPr>
        <w:pStyle w:val="31"/>
        <w:adjustRightInd w:val="0"/>
        <w:snapToGrid w:val="0"/>
        <w:spacing w:after="0"/>
        <w:ind w:firstLine="480"/>
        <w:rPr>
          <w:bCs/>
          <w:caps/>
          <w:color w:val="000000" w:themeColor="text1"/>
          <w:szCs w:val="24"/>
          <w:highlight w:val="none"/>
          <w14:textFill>
            <w14:solidFill>
              <w14:schemeClr w14:val="tx1"/>
            </w14:solidFill>
          </w14:textFill>
        </w:rPr>
      </w:pPr>
      <w:r>
        <w:rPr>
          <w:bCs/>
          <w:caps/>
          <w:color w:val="000000" w:themeColor="text1"/>
          <w:szCs w:val="24"/>
          <w:highlight w:val="none"/>
          <w14:textFill>
            <w14:solidFill>
              <w14:schemeClr w14:val="tx1"/>
            </w14:solidFill>
          </w14:textFill>
        </w:rPr>
        <w:t>附件1 现场记录</w:t>
      </w:r>
    </w:p>
    <w:p w14:paraId="42BAE306">
      <w:pPr>
        <w:pStyle w:val="31"/>
        <w:adjustRightInd w:val="0"/>
        <w:snapToGrid w:val="0"/>
        <w:spacing w:after="0"/>
        <w:ind w:firstLine="480"/>
        <w:rPr>
          <w:bCs/>
          <w:caps/>
          <w:color w:val="000000" w:themeColor="text1"/>
          <w:szCs w:val="24"/>
          <w:highlight w:val="none"/>
          <w14:textFill>
            <w14:solidFill>
              <w14:schemeClr w14:val="tx1"/>
            </w14:solidFill>
          </w14:textFill>
        </w:rPr>
      </w:pPr>
      <w:r>
        <w:rPr>
          <w:bCs/>
          <w:caps/>
          <w:color w:val="000000" w:themeColor="text1"/>
          <w:szCs w:val="24"/>
          <w:highlight w:val="none"/>
          <w14:textFill>
            <w14:solidFill>
              <w14:schemeClr w14:val="tx1"/>
            </w14:solidFill>
          </w14:textFill>
        </w:rPr>
        <w:t>附件2 检测单位资质证书</w:t>
      </w:r>
    </w:p>
    <w:p w14:paraId="30F819D0">
      <w:pPr>
        <w:pStyle w:val="31"/>
        <w:adjustRightInd w:val="0"/>
        <w:snapToGrid w:val="0"/>
        <w:spacing w:after="0"/>
        <w:ind w:firstLine="480"/>
        <w:rPr>
          <w:bCs/>
          <w:caps/>
          <w:color w:val="000000" w:themeColor="text1"/>
          <w:szCs w:val="24"/>
          <w:highlight w:val="none"/>
          <w14:textFill>
            <w14:solidFill>
              <w14:schemeClr w14:val="tx1"/>
            </w14:solidFill>
          </w14:textFill>
        </w:rPr>
      </w:pPr>
      <w:r>
        <w:rPr>
          <w:bCs/>
          <w:caps/>
          <w:color w:val="000000" w:themeColor="text1"/>
          <w:szCs w:val="24"/>
          <w:highlight w:val="none"/>
          <w14:textFill>
            <w14:solidFill>
              <w14:schemeClr w14:val="tx1"/>
            </w14:solidFill>
          </w14:textFill>
        </w:rPr>
        <w:t>附件3 监测报告</w:t>
      </w:r>
    </w:p>
    <w:p w14:paraId="00AE5A72">
      <w:pPr>
        <w:pStyle w:val="31"/>
        <w:adjustRightInd w:val="0"/>
        <w:snapToGrid w:val="0"/>
        <w:spacing w:after="0"/>
        <w:ind w:firstLine="480"/>
        <w:rPr>
          <w:bCs/>
          <w:caps/>
          <w:color w:val="000000" w:themeColor="text1"/>
          <w:szCs w:val="24"/>
          <w:highlight w:val="none"/>
          <w14:textFill>
            <w14:solidFill>
              <w14:schemeClr w14:val="tx1"/>
            </w14:solidFill>
          </w14:textFill>
        </w:rPr>
      </w:pPr>
      <w:r>
        <w:rPr>
          <w:bCs/>
          <w:caps/>
          <w:color w:val="000000" w:themeColor="text1"/>
          <w:szCs w:val="24"/>
          <w:highlight w:val="none"/>
          <w14:textFill>
            <w14:solidFill>
              <w14:schemeClr w14:val="tx1"/>
            </w14:solidFill>
          </w14:textFill>
        </w:rPr>
        <w:t>附件4 质控报告</w:t>
      </w:r>
    </w:p>
    <w:p w14:paraId="777DA125">
      <w:pPr>
        <w:pStyle w:val="31"/>
        <w:adjustRightInd w:val="0"/>
        <w:snapToGrid w:val="0"/>
        <w:spacing w:after="0"/>
        <w:ind w:firstLine="480"/>
        <w:rPr>
          <w:rFonts w:hint="eastAsia"/>
          <w:bCs/>
          <w:caps/>
          <w:szCs w:val="24"/>
          <w:highlight w:val="none"/>
        </w:rPr>
      </w:pPr>
      <w:r>
        <w:rPr>
          <w:rFonts w:hint="eastAsia"/>
          <w:bCs/>
          <w:caps/>
          <w:color w:val="000000" w:themeColor="text1"/>
          <w:szCs w:val="24"/>
          <w:highlight w:val="none"/>
          <w14:textFill>
            <w14:solidFill>
              <w14:schemeClr w14:val="tx1"/>
            </w14:solidFill>
          </w14:textFill>
        </w:rPr>
        <w:t>附件5 现场采样情况说</w:t>
      </w:r>
      <w:r>
        <w:rPr>
          <w:rFonts w:hint="eastAsia"/>
          <w:bCs/>
          <w:caps/>
          <w:szCs w:val="24"/>
          <w:highlight w:val="none"/>
        </w:rPr>
        <w:t>明</w:t>
      </w:r>
    </w:p>
    <w:p w14:paraId="007396B0">
      <w:pPr>
        <w:pStyle w:val="31"/>
        <w:adjustRightInd w:val="0"/>
        <w:snapToGrid w:val="0"/>
        <w:spacing w:after="0"/>
        <w:ind w:firstLine="480"/>
        <w:rPr>
          <w:highlight w:val="none"/>
        </w:rPr>
      </w:pPr>
      <w:r>
        <w:rPr>
          <w:rFonts w:hint="eastAsia" w:cs="Times New Roman"/>
          <w:bCs/>
          <w:caps/>
          <w:color w:val="auto"/>
          <w:szCs w:val="24"/>
          <w:highlight w:val="none"/>
          <w:lang w:val="en-US" w:eastAsia="zh-CN"/>
        </w:rPr>
        <w:t>附件6 地下水监测井洗井记录单</w:t>
      </w:r>
    </w:p>
    <w:p w14:paraId="4D2A142E">
      <w:pPr>
        <w:pStyle w:val="31"/>
        <w:adjustRightInd w:val="0"/>
        <w:snapToGrid w:val="0"/>
        <w:spacing w:after="0"/>
        <w:ind w:firstLine="480"/>
        <w:rPr>
          <w:rFonts w:hint="eastAsia"/>
          <w:bCs/>
          <w:caps/>
          <w:szCs w:val="24"/>
          <w:highlight w:val="none"/>
        </w:rPr>
      </w:pPr>
      <w:r>
        <w:rPr>
          <w:rFonts w:hint="default"/>
          <w:highlight w:val="none"/>
        </w:rPr>
        <w:t>附件7</w:t>
      </w:r>
      <w:r>
        <w:rPr>
          <w:rFonts w:hint="eastAsia"/>
          <w:highlight w:val="none"/>
          <w:lang w:val="en-US" w:eastAsia="zh-CN"/>
        </w:rPr>
        <w:t xml:space="preserve"> 专家意见及签到表</w:t>
      </w:r>
    </w:p>
    <w:p w14:paraId="14935663">
      <w:pPr>
        <w:pStyle w:val="31"/>
        <w:adjustRightInd w:val="0"/>
        <w:snapToGrid w:val="0"/>
        <w:spacing w:after="0"/>
        <w:ind w:left="0" w:leftChars="0" w:firstLine="0" w:firstLineChars="0"/>
        <w:rPr>
          <w:rFonts w:hint="default" w:ascii="Times New Roman" w:hAnsi="Times New Roman" w:cs="Times New Roman"/>
          <w:b/>
          <w:bCs/>
          <w:caps/>
          <w:color w:val="000000" w:themeColor="text1"/>
          <w:szCs w:val="24"/>
          <w:highlight w:val="none"/>
          <w14:textFill>
            <w14:solidFill>
              <w14:schemeClr w14:val="tx1"/>
            </w14:solidFill>
          </w14:textFill>
        </w:rPr>
      </w:pPr>
      <w:r>
        <w:rPr>
          <w:rFonts w:hint="default" w:ascii="Times New Roman" w:hAnsi="Times New Roman" w:cs="Times New Roman"/>
          <w:b/>
          <w:bCs/>
          <w:caps/>
          <w:color w:val="000000" w:themeColor="text1"/>
          <w:szCs w:val="24"/>
          <w:highlight w:val="none"/>
          <w14:textFill>
            <w14:solidFill>
              <w14:schemeClr w14:val="tx1"/>
            </w14:solidFill>
          </w14:textFill>
        </w:rPr>
        <w:t>附</w:t>
      </w:r>
      <w:r>
        <w:rPr>
          <w:rFonts w:hint="default" w:ascii="Times New Roman" w:hAnsi="Times New Roman" w:cs="Times New Roman"/>
          <w:b/>
          <w:bCs/>
          <w:caps/>
          <w:color w:val="000000" w:themeColor="text1"/>
          <w:szCs w:val="24"/>
          <w:highlight w:val="none"/>
          <w:lang w:eastAsia="zh-CN"/>
          <w14:textFill>
            <w14:solidFill>
              <w14:schemeClr w14:val="tx1"/>
            </w14:solidFill>
          </w14:textFill>
        </w:rPr>
        <w:t>图</w:t>
      </w:r>
      <w:r>
        <w:rPr>
          <w:rFonts w:hint="default" w:ascii="Times New Roman" w:hAnsi="Times New Roman" w:cs="Times New Roman"/>
          <w:b/>
          <w:bCs/>
          <w:caps/>
          <w:color w:val="000000" w:themeColor="text1"/>
          <w:szCs w:val="24"/>
          <w:highlight w:val="none"/>
          <w14:textFill>
            <w14:solidFill>
              <w14:schemeClr w14:val="tx1"/>
            </w14:solidFill>
          </w14:textFill>
        </w:rPr>
        <w:t>：</w:t>
      </w:r>
    </w:p>
    <w:p w14:paraId="25A19B82">
      <w:pPr>
        <w:pStyle w:val="31"/>
        <w:adjustRightInd w:val="0"/>
        <w:snapToGrid w:val="0"/>
        <w:spacing w:after="0"/>
        <w:ind w:firstLine="480"/>
        <w:rPr>
          <w:rFonts w:hint="default" w:ascii="Times New Roman" w:hAnsi="Times New Roman" w:cs="Times New Roman"/>
          <w:bCs/>
          <w:caps/>
          <w:color w:val="000000" w:themeColor="text1"/>
          <w:szCs w:val="24"/>
          <w:highlight w:val="none"/>
          <w14:textFill>
            <w14:solidFill>
              <w14:schemeClr w14:val="tx1"/>
            </w14:solidFill>
          </w14:textFill>
        </w:rPr>
      </w:pPr>
      <w:r>
        <w:rPr>
          <w:rFonts w:hint="default" w:ascii="Times New Roman" w:hAnsi="Times New Roman" w:cs="Times New Roman"/>
          <w:bCs/>
          <w:caps/>
          <w:color w:val="000000" w:themeColor="text1"/>
          <w:szCs w:val="24"/>
          <w:highlight w:val="none"/>
          <w14:textFill>
            <w14:solidFill>
              <w14:schemeClr w14:val="tx1"/>
            </w14:solidFill>
          </w14:textFill>
        </w:rPr>
        <w:t>附</w:t>
      </w:r>
      <w:r>
        <w:rPr>
          <w:rFonts w:hint="default" w:ascii="Times New Roman" w:hAnsi="Times New Roman" w:cs="Times New Roman"/>
          <w:bCs/>
          <w:caps/>
          <w:color w:val="000000" w:themeColor="text1"/>
          <w:szCs w:val="24"/>
          <w:highlight w:val="none"/>
          <w:lang w:eastAsia="zh-CN"/>
          <w14:textFill>
            <w14:solidFill>
              <w14:schemeClr w14:val="tx1"/>
            </w14:solidFill>
          </w14:textFill>
        </w:rPr>
        <w:t>图</w:t>
      </w:r>
      <w:r>
        <w:rPr>
          <w:rFonts w:hint="default" w:ascii="Times New Roman" w:hAnsi="Times New Roman" w:cs="Times New Roman"/>
          <w:bCs/>
          <w:caps/>
          <w:color w:val="000000" w:themeColor="text1"/>
          <w:szCs w:val="24"/>
          <w:highlight w:val="none"/>
          <w14:textFill>
            <w14:solidFill>
              <w14:schemeClr w14:val="tx1"/>
            </w14:solidFill>
          </w14:textFill>
        </w:rPr>
        <w:t>1 华容创业园地理位置图</w:t>
      </w:r>
    </w:p>
    <w:p w14:paraId="3B3EE938">
      <w:pPr>
        <w:pStyle w:val="31"/>
        <w:adjustRightInd w:val="0"/>
        <w:snapToGrid w:val="0"/>
        <w:spacing w:after="0"/>
        <w:ind w:firstLine="480"/>
        <w:rPr>
          <w:rFonts w:hint="default" w:ascii="Times New Roman" w:hAnsi="Times New Roman" w:cs="Times New Roman"/>
          <w:bCs/>
          <w:caps/>
          <w:color w:val="000000" w:themeColor="text1"/>
          <w:szCs w:val="24"/>
          <w:highlight w:val="none"/>
          <w14:textFill>
            <w14:solidFill>
              <w14:schemeClr w14:val="tx1"/>
            </w14:solidFill>
          </w14:textFill>
        </w:rPr>
      </w:pPr>
      <w:r>
        <w:rPr>
          <w:rFonts w:hint="default" w:ascii="Times New Roman" w:hAnsi="Times New Roman" w:cs="Times New Roman"/>
          <w:bCs/>
          <w:caps/>
          <w:color w:val="000000" w:themeColor="text1"/>
          <w:szCs w:val="24"/>
          <w:highlight w:val="none"/>
          <w14:textFill>
            <w14:solidFill>
              <w14:schemeClr w14:val="tx1"/>
            </w14:solidFill>
          </w14:textFill>
        </w:rPr>
        <w:t>附</w:t>
      </w:r>
      <w:r>
        <w:rPr>
          <w:rFonts w:hint="default" w:ascii="Times New Roman" w:hAnsi="Times New Roman" w:cs="Times New Roman"/>
          <w:bCs/>
          <w:caps/>
          <w:color w:val="000000" w:themeColor="text1"/>
          <w:szCs w:val="24"/>
          <w:highlight w:val="none"/>
          <w:lang w:eastAsia="zh-CN"/>
          <w14:textFill>
            <w14:solidFill>
              <w14:schemeClr w14:val="tx1"/>
            </w14:solidFill>
          </w14:textFill>
        </w:rPr>
        <w:t>图</w:t>
      </w:r>
      <w:r>
        <w:rPr>
          <w:rFonts w:hint="default" w:ascii="Times New Roman" w:hAnsi="Times New Roman" w:cs="Times New Roman"/>
          <w:bCs/>
          <w:caps/>
          <w:color w:val="000000" w:themeColor="text1"/>
          <w:szCs w:val="24"/>
          <w:highlight w:val="none"/>
          <w:lang w:val="en-US" w:eastAsia="zh-CN"/>
          <w14:textFill>
            <w14:solidFill>
              <w14:schemeClr w14:val="tx1"/>
            </w14:solidFill>
          </w14:textFill>
        </w:rPr>
        <w:t>2</w:t>
      </w:r>
      <w:r>
        <w:rPr>
          <w:rFonts w:hint="default" w:ascii="Times New Roman" w:hAnsi="Times New Roman" w:cs="Times New Roman"/>
          <w:bCs/>
          <w:caps/>
          <w:color w:val="000000" w:themeColor="text1"/>
          <w:szCs w:val="24"/>
          <w:highlight w:val="none"/>
          <w14:textFill>
            <w14:solidFill>
              <w14:schemeClr w14:val="tx1"/>
            </w14:solidFill>
          </w14:textFill>
        </w:rPr>
        <w:t xml:space="preserve"> 华容创业园调查范围及周边情况图</w:t>
      </w:r>
    </w:p>
    <w:p w14:paraId="76225814">
      <w:pPr>
        <w:pStyle w:val="31"/>
        <w:adjustRightInd w:val="0"/>
        <w:snapToGrid w:val="0"/>
        <w:spacing w:after="0"/>
        <w:ind w:firstLine="480"/>
        <w:rPr>
          <w:rFonts w:hint="default" w:ascii="Times New Roman" w:hAnsi="Times New Roman" w:cs="Times New Roman"/>
          <w:bCs/>
          <w:caps/>
          <w:color w:val="000000" w:themeColor="text1"/>
          <w:szCs w:val="24"/>
          <w:highlight w:val="none"/>
          <w:lang w:val="en-US" w:eastAsia="zh-CN"/>
          <w14:textFill>
            <w14:solidFill>
              <w14:schemeClr w14:val="tx1"/>
            </w14:solidFill>
          </w14:textFill>
        </w:rPr>
      </w:pPr>
      <w:r>
        <w:rPr>
          <w:rFonts w:hint="default" w:ascii="Times New Roman" w:hAnsi="Times New Roman" w:cs="Times New Roman"/>
          <w:bCs/>
          <w:caps/>
          <w:color w:val="000000" w:themeColor="text1"/>
          <w:szCs w:val="24"/>
          <w:highlight w:val="none"/>
          <w:lang w:eastAsia="zh-CN"/>
          <w14:textFill>
            <w14:solidFill>
              <w14:schemeClr w14:val="tx1"/>
            </w14:solidFill>
          </w14:textFill>
        </w:rPr>
        <w:t>附图</w:t>
      </w:r>
      <w:r>
        <w:rPr>
          <w:rFonts w:hint="default" w:ascii="Times New Roman" w:hAnsi="Times New Roman" w:cs="Times New Roman"/>
          <w:bCs/>
          <w:caps/>
          <w:color w:val="000000" w:themeColor="text1"/>
          <w:szCs w:val="24"/>
          <w:highlight w:val="none"/>
          <w:lang w:val="en-US" w:eastAsia="zh-CN"/>
          <w14:textFill>
            <w14:solidFill>
              <w14:schemeClr w14:val="tx1"/>
            </w14:solidFill>
          </w14:textFill>
        </w:rPr>
        <w:t>3 鄂州市远景城乡产业结构图</w:t>
      </w:r>
    </w:p>
    <w:p w14:paraId="1B2EA8ED">
      <w:pPr>
        <w:pStyle w:val="31"/>
        <w:adjustRightInd w:val="0"/>
        <w:snapToGrid w:val="0"/>
        <w:spacing w:after="0"/>
        <w:ind w:firstLine="480"/>
        <w:rPr>
          <w:rFonts w:hint="default" w:ascii="Times New Roman" w:hAnsi="Times New Roman" w:cs="Times New Roman"/>
          <w:bCs/>
          <w:caps/>
          <w:color w:val="000000" w:themeColor="text1"/>
          <w:szCs w:val="24"/>
          <w:highlight w:val="none"/>
          <w:lang w:val="en-US" w:eastAsia="zh-CN"/>
          <w14:textFill>
            <w14:solidFill>
              <w14:schemeClr w14:val="tx1"/>
            </w14:solidFill>
          </w14:textFill>
        </w:rPr>
      </w:pPr>
      <w:r>
        <w:rPr>
          <w:rFonts w:hint="default" w:ascii="Times New Roman" w:hAnsi="Times New Roman" w:cs="Times New Roman"/>
          <w:bCs/>
          <w:caps/>
          <w:color w:val="000000" w:themeColor="text1"/>
          <w:szCs w:val="24"/>
          <w:highlight w:val="none"/>
          <w:lang w:val="en-US" w:eastAsia="zh-CN"/>
          <w14:textFill>
            <w14:solidFill>
              <w14:schemeClr w14:val="tx1"/>
            </w14:solidFill>
          </w14:textFill>
        </w:rPr>
        <w:t xml:space="preserve">附图4 </w:t>
      </w:r>
      <w:r>
        <w:rPr>
          <w:rFonts w:hint="eastAsia" w:cs="Times New Roman"/>
          <w:bCs/>
          <w:caps/>
          <w:color w:val="000000" w:themeColor="text1"/>
          <w:szCs w:val="24"/>
          <w:highlight w:val="none"/>
          <w:lang w:val="en-US" w:eastAsia="zh-CN"/>
          <w14:textFill>
            <w14:solidFill>
              <w14:schemeClr w14:val="tx1"/>
            </w14:solidFill>
          </w14:textFill>
        </w:rPr>
        <w:t>鄂州市华容城区控制性详细规划——土地利用规划图</w:t>
      </w:r>
    </w:p>
    <w:p w14:paraId="6415BAB9">
      <w:pPr>
        <w:pStyle w:val="31"/>
        <w:adjustRightInd w:val="0"/>
        <w:snapToGrid w:val="0"/>
        <w:spacing w:after="0"/>
        <w:ind w:firstLine="480"/>
        <w:rPr>
          <w:rFonts w:hint="default" w:ascii="Times New Roman" w:hAnsi="Times New Roman" w:cs="Times New Roman"/>
          <w:bCs/>
          <w:caps/>
          <w:color w:val="000000" w:themeColor="text1"/>
          <w:szCs w:val="24"/>
          <w:highlight w:val="none"/>
          <w:lang w:val="en-US" w:eastAsia="zh-CN"/>
          <w14:textFill>
            <w14:solidFill>
              <w14:schemeClr w14:val="tx1"/>
            </w14:solidFill>
          </w14:textFill>
        </w:rPr>
      </w:pPr>
      <w:r>
        <w:rPr>
          <w:rFonts w:hint="default" w:ascii="Times New Roman" w:hAnsi="Times New Roman" w:cs="Times New Roman"/>
          <w:bCs/>
          <w:caps/>
          <w:color w:val="000000" w:themeColor="text1"/>
          <w:szCs w:val="24"/>
          <w:highlight w:val="none"/>
          <w:lang w:val="en-US" w:eastAsia="zh-CN"/>
          <w14:textFill>
            <w14:solidFill>
              <w14:schemeClr w14:val="tx1"/>
            </w14:solidFill>
          </w14:textFill>
        </w:rPr>
        <w:t>附图5 华容创业园</w:t>
      </w:r>
      <w:r>
        <w:rPr>
          <w:rFonts w:hint="default" w:ascii="Times New Roman" w:hAnsi="Times New Roman" w:cs="Times New Roman"/>
          <w:bCs/>
          <w:caps/>
          <w:color w:val="auto"/>
          <w:szCs w:val="24"/>
          <w:highlight w:val="none"/>
          <w:lang w:val="en-US" w:eastAsia="zh-CN"/>
        </w:rPr>
        <w:t>已建成企业</w:t>
      </w:r>
      <w:r>
        <w:rPr>
          <w:rFonts w:hint="eastAsia" w:cs="Times New Roman"/>
          <w:bCs/>
          <w:caps/>
          <w:color w:val="auto"/>
          <w:szCs w:val="24"/>
          <w:highlight w:val="none"/>
          <w:lang w:val="en-US" w:eastAsia="zh-CN"/>
        </w:rPr>
        <w:t>聚集区及典型企业</w:t>
      </w:r>
      <w:r>
        <w:rPr>
          <w:rFonts w:hint="default" w:ascii="Times New Roman" w:hAnsi="Times New Roman" w:cs="Times New Roman"/>
          <w:bCs/>
          <w:caps/>
          <w:color w:val="auto"/>
          <w:szCs w:val="24"/>
          <w:highlight w:val="none"/>
          <w:lang w:val="en-US" w:eastAsia="zh-CN"/>
        </w:rPr>
        <w:t>分布图</w:t>
      </w:r>
    </w:p>
    <w:p w14:paraId="302F1B93">
      <w:pPr>
        <w:pStyle w:val="31"/>
        <w:adjustRightInd w:val="0"/>
        <w:snapToGrid w:val="0"/>
        <w:spacing w:after="0"/>
        <w:ind w:firstLine="480"/>
        <w:rPr>
          <w:rFonts w:hint="default" w:ascii="Times New Roman" w:hAnsi="Times New Roman" w:cs="Times New Roman"/>
          <w:bCs/>
          <w:caps/>
          <w:color w:val="000000" w:themeColor="text1"/>
          <w:szCs w:val="24"/>
          <w:highlight w:val="none"/>
          <w:lang w:val="en-US" w:eastAsia="zh-CN"/>
          <w14:textFill>
            <w14:solidFill>
              <w14:schemeClr w14:val="tx1"/>
            </w14:solidFill>
          </w14:textFill>
        </w:rPr>
      </w:pPr>
      <w:r>
        <w:rPr>
          <w:rFonts w:hint="default" w:ascii="Times New Roman" w:hAnsi="Times New Roman" w:cs="Times New Roman"/>
          <w:bCs/>
          <w:caps/>
          <w:color w:val="000000" w:themeColor="text1"/>
          <w:szCs w:val="24"/>
          <w:highlight w:val="none"/>
          <w:lang w:val="en-US" w:eastAsia="zh-CN"/>
          <w14:textFill>
            <w14:solidFill>
              <w14:schemeClr w14:val="tx1"/>
            </w14:solidFill>
          </w14:textFill>
        </w:rPr>
        <w:t>附图</w:t>
      </w:r>
      <w:r>
        <w:rPr>
          <w:rFonts w:hint="eastAsia" w:cs="Times New Roman"/>
          <w:bCs/>
          <w:caps/>
          <w:color w:val="000000" w:themeColor="text1"/>
          <w:szCs w:val="24"/>
          <w:highlight w:val="none"/>
          <w:lang w:val="en-US" w:eastAsia="zh-CN"/>
          <w14:textFill>
            <w14:solidFill>
              <w14:schemeClr w14:val="tx1"/>
            </w14:solidFill>
          </w14:textFill>
        </w:rPr>
        <w:t>6</w:t>
      </w:r>
      <w:r>
        <w:rPr>
          <w:rFonts w:hint="default" w:ascii="Times New Roman" w:hAnsi="Times New Roman" w:cs="Times New Roman"/>
          <w:bCs/>
          <w:caps/>
          <w:color w:val="000000" w:themeColor="text1"/>
          <w:szCs w:val="24"/>
          <w:highlight w:val="none"/>
          <w:lang w:val="en-US" w:eastAsia="zh-CN"/>
          <w14:textFill>
            <w14:solidFill>
              <w14:schemeClr w14:val="tx1"/>
            </w14:solidFill>
          </w14:textFill>
        </w:rPr>
        <w:t xml:space="preserve"> 土壤和地下水实际采样点位分布图</w:t>
      </w:r>
    </w:p>
    <w:p w14:paraId="59D22E17">
      <w:pPr>
        <w:pStyle w:val="31"/>
        <w:adjustRightInd w:val="0"/>
        <w:snapToGrid w:val="0"/>
        <w:spacing w:after="0"/>
        <w:ind w:firstLine="480"/>
        <w:rPr>
          <w:rFonts w:hint="default" w:ascii="Times New Roman" w:hAnsi="Times New Roman" w:cs="Times New Roman"/>
          <w:bCs/>
          <w:caps/>
          <w:color w:val="FF0000"/>
          <w:szCs w:val="24"/>
          <w:highlight w:val="none"/>
          <w:lang w:eastAsia="zh-CN"/>
        </w:rPr>
        <w:sectPr>
          <w:footerReference r:id="rId6" w:type="default"/>
          <w:pgSz w:w="11906" w:h="16838"/>
          <w:pgMar w:top="1134" w:right="1134" w:bottom="1134" w:left="1134"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1A4DB9C4">
      <w:pPr>
        <w:pStyle w:val="31"/>
        <w:adjustRightInd w:val="0"/>
        <w:snapToGrid w:val="0"/>
        <w:spacing w:after="0"/>
        <w:ind w:firstLine="480"/>
        <w:rPr>
          <w:rFonts w:hint="default" w:ascii="Times New Roman" w:hAnsi="Times New Roman" w:cs="Times New Roman"/>
          <w:bCs/>
          <w:caps/>
          <w:color w:val="FF0000"/>
          <w:szCs w:val="24"/>
          <w:highlight w:val="none"/>
          <w:lang w:eastAsia="zh-CN"/>
        </w:rPr>
        <w:sectPr>
          <w:headerReference r:id="rId7" w:type="default"/>
          <w:pgSz w:w="11906" w:h="16838"/>
          <w:pgMar w:top="1134" w:right="1134" w:bottom="1134" w:left="1134"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1C067B6E">
      <w:pPr>
        <w:pStyle w:val="31"/>
        <w:adjustRightInd w:val="0"/>
        <w:snapToGrid w:val="0"/>
        <w:spacing w:after="0"/>
        <w:ind w:firstLine="480"/>
        <w:rPr>
          <w:rFonts w:hint="default" w:ascii="Times New Roman" w:hAnsi="Times New Roman" w:cs="Times New Roman"/>
          <w:bCs/>
          <w:caps/>
          <w:color w:val="000000" w:themeColor="text1"/>
          <w:szCs w:val="24"/>
          <w:highlight w:val="none"/>
          <w:lang w:eastAsia="zh-CN"/>
          <w14:textFill>
            <w14:solidFill>
              <w14:schemeClr w14:val="tx1"/>
            </w14:solidFill>
          </w14:textFill>
        </w:rPr>
      </w:pPr>
    </w:p>
    <w:p w14:paraId="48335744">
      <w:pPr>
        <w:pStyle w:val="3"/>
        <w:pageBreakBefore w:val="0"/>
        <w:numPr>
          <w:ilvl w:val="0"/>
          <w:numId w:val="1"/>
        </w:numPr>
        <w:tabs>
          <w:tab w:val="clear" w:pos="425"/>
        </w:tabs>
        <w:rPr>
          <w:rFonts w:hint="default" w:ascii="Times New Roman" w:hAnsi="Times New Roman" w:cs="Times New Roman"/>
          <w:color w:val="000000" w:themeColor="text1"/>
          <w:highlight w:val="none"/>
          <w14:textFill>
            <w14:solidFill>
              <w14:schemeClr w14:val="tx1"/>
            </w14:solidFill>
          </w14:textFill>
        </w:rPr>
      </w:pPr>
      <w:bookmarkStart w:id="0" w:name="_Toc28265"/>
      <w:r>
        <w:rPr>
          <w:rFonts w:hint="default" w:ascii="Times New Roman" w:hAnsi="Times New Roman" w:cs="Times New Roman"/>
          <w:color w:val="000000" w:themeColor="text1"/>
          <w:highlight w:val="none"/>
          <w:lang w:eastAsia="zh-CN"/>
          <w14:textFill>
            <w14:solidFill>
              <w14:schemeClr w14:val="tx1"/>
            </w14:solidFill>
          </w14:textFill>
        </w:rPr>
        <w:t>概述</w:t>
      </w:r>
      <w:bookmarkEnd w:id="0"/>
    </w:p>
    <w:p w14:paraId="7E1F5592">
      <w:pPr>
        <w:pStyle w:val="4"/>
        <w:tabs>
          <w:tab w:val="left" w:leader="dot" w:pos="0"/>
          <w:tab w:val="clear" w:pos="567"/>
        </w:tabs>
        <w:rPr>
          <w:rFonts w:hint="default" w:ascii="Times New Roman" w:hAnsi="Times New Roman" w:cs="Times New Roman"/>
          <w:color w:val="000000" w:themeColor="text1"/>
          <w:highlight w:val="none"/>
          <w14:textFill>
            <w14:solidFill>
              <w14:schemeClr w14:val="tx1"/>
            </w14:solidFill>
          </w14:textFill>
        </w:rPr>
      </w:pPr>
      <w:bookmarkStart w:id="1" w:name="_Toc21653"/>
      <w:bookmarkStart w:id="2" w:name="_Toc10642668"/>
      <w:r>
        <w:rPr>
          <w:rFonts w:hint="default" w:ascii="Times New Roman" w:hAnsi="Times New Roman" w:cs="Times New Roman"/>
          <w:color w:val="000000" w:themeColor="text1"/>
          <w:highlight w:val="none"/>
          <w14:textFill>
            <w14:solidFill>
              <w14:schemeClr w14:val="tx1"/>
            </w14:solidFill>
          </w14:textFill>
        </w:rPr>
        <w:t>项目由来</w:t>
      </w:r>
      <w:bookmarkEnd w:id="1"/>
      <w:bookmarkEnd w:id="2"/>
    </w:p>
    <w:p w14:paraId="5512781F">
      <w:pPr>
        <w:ind w:left="1" w:firstLine="480" w:firstLineChars="200"/>
        <w:rPr>
          <w:rFonts w:eastAsiaTheme="minorEastAsia"/>
          <w:highlight w:val="none"/>
        </w:rPr>
      </w:pPr>
      <w:r>
        <w:rPr>
          <w:rFonts w:ascii="宋体" w:hAnsi="宋体" w:cs="宋体"/>
          <w:highlight w:val="none"/>
        </w:rPr>
        <w:t>为贯彻落</w:t>
      </w:r>
      <w:r>
        <w:rPr>
          <w:highlight w:val="none"/>
        </w:rPr>
        <w:t>实《中华人民共和国土壤污染防治法》、《国务院关于印发土壤污染防治行动计划的通知》（国发〔2016〕31号）、《省人民政府关于印发湖北省土壤污染防治行动计划工作方案的通知》（鄂政发〔2016〕85号）、《市人民政府关于印发鄂州市土壤污染防治工作方案的通知》、《鄂州市土壤污染治理与修复规划（2018-2020）》中“有关环境保护部门要定期对重点监管企业和工业园区周边开展监测”的要求，切实推进鄂州市土壤污染防治工作，摸清重点监管单位及工业园区土壤污染状况，将调查结果作为风险预警的重要依据，2020年9月，鄂州市生态环境局委托湖北君邦环境技术有限责任公司开展鄂州市华容创业园、三江港经济区、城东产业园（鄂城新区）、鄂州经济开发区、花湖开发区共五个工业园周边土壤环境质量调查工作。接受委托后，湖北君邦环境技术有限责任公司（以下简称“我公司”）于2020年10月至12月开展了现场调查和样品采集工作，结合园区现场情况及前期收集的相关资料，基于现场采集送检样品的检测数据开展数</w:t>
      </w:r>
      <w:r>
        <w:rPr>
          <w:rFonts w:ascii="宋体" w:hAnsi="宋体" w:cs="宋体"/>
          <w:highlight w:val="none"/>
        </w:rPr>
        <w:t>据分析及报告编制工作。</w:t>
      </w:r>
    </w:p>
    <w:p w14:paraId="27E1B8A4">
      <w:pPr>
        <w:spacing w:line="360" w:lineRule="auto"/>
        <w:ind w:left="1" w:firstLine="480" w:firstLineChars="200"/>
        <w:rPr>
          <w:rFonts w:hint="default" w:ascii="Times New Roman" w:hAnsi="Times New Roman" w:cs="Times New Roman" w:eastAsiaTheme="minorEastAsia"/>
          <w:b/>
          <w:bCs/>
          <w:color w:val="auto"/>
          <w:sz w:val="24"/>
          <w:szCs w:val="24"/>
          <w:highlight w:val="none"/>
          <w:shd w:val="clear" w:color="auto" w:fill="auto"/>
          <w:lang w:val="en-US" w:eastAsia="zh-CN"/>
        </w:rPr>
      </w:pPr>
      <w:r>
        <w:rPr>
          <w:rFonts w:hint="eastAsia" w:cs="Times New Roman" w:eastAsiaTheme="minorEastAsia"/>
          <w:color w:val="auto"/>
          <w:sz w:val="24"/>
          <w:szCs w:val="24"/>
          <w:highlight w:val="none"/>
          <w:shd w:val="clear" w:color="auto" w:fill="auto"/>
          <w:lang w:val="en-US" w:eastAsia="zh-CN"/>
        </w:rPr>
        <w:t>其中，华容创业园位于鄂州市华容区，与鄂州市葛店开发区毗邻，调查面积为15.6km</w:t>
      </w:r>
      <w:r>
        <w:rPr>
          <w:rFonts w:hint="eastAsia" w:cs="Times New Roman" w:eastAsiaTheme="minorEastAsia"/>
          <w:color w:val="auto"/>
          <w:sz w:val="24"/>
          <w:szCs w:val="24"/>
          <w:highlight w:val="none"/>
          <w:shd w:val="clear" w:color="auto" w:fill="auto"/>
          <w:vertAlign w:val="superscript"/>
          <w:lang w:val="en-US" w:eastAsia="zh-CN"/>
        </w:rPr>
        <w:t>2</w:t>
      </w:r>
      <w:r>
        <w:rPr>
          <w:rFonts w:hint="eastAsia" w:cs="Times New Roman" w:eastAsiaTheme="minorEastAsia"/>
          <w:color w:val="auto"/>
          <w:sz w:val="24"/>
          <w:szCs w:val="24"/>
          <w:highlight w:val="none"/>
          <w:shd w:val="clear" w:color="auto" w:fill="auto"/>
          <w:vertAlign w:val="baseline"/>
          <w:lang w:val="en-US" w:eastAsia="zh-CN"/>
        </w:rPr>
        <w:t>。我公司</w:t>
      </w:r>
      <w:r>
        <w:rPr>
          <w:rFonts w:hint="default" w:ascii="Times New Roman" w:hAnsi="Times New Roman" w:cs="Times New Roman" w:eastAsiaTheme="minorEastAsia"/>
          <w:color w:val="auto"/>
          <w:sz w:val="24"/>
          <w:szCs w:val="24"/>
          <w:highlight w:val="none"/>
          <w:shd w:val="clear" w:color="auto" w:fill="auto"/>
          <w:lang w:val="en-US" w:eastAsia="zh-CN"/>
        </w:rPr>
        <w:t>于202</w:t>
      </w:r>
      <w:r>
        <w:rPr>
          <w:rFonts w:hint="eastAsia" w:cs="Times New Roman" w:eastAsiaTheme="minorEastAsia"/>
          <w:color w:val="auto"/>
          <w:sz w:val="24"/>
          <w:szCs w:val="24"/>
          <w:highlight w:val="none"/>
          <w:shd w:val="clear" w:color="auto" w:fill="auto"/>
          <w:lang w:val="en-US" w:eastAsia="zh-CN"/>
        </w:rPr>
        <w:t>1</w:t>
      </w:r>
      <w:r>
        <w:rPr>
          <w:rFonts w:hint="default" w:ascii="Times New Roman" w:hAnsi="Times New Roman" w:cs="Times New Roman" w:eastAsiaTheme="minorEastAsia"/>
          <w:color w:val="auto"/>
          <w:sz w:val="24"/>
          <w:szCs w:val="24"/>
          <w:highlight w:val="none"/>
          <w:shd w:val="clear" w:color="auto" w:fill="auto"/>
          <w:lang w:val="en-US" w:eastAsia="zh-CN"/>
        </w:rPr>
        <w:t>年</w:t>
      </w:r>
      <w:r>
        <w:rPr>
          <w:rFonts w:hint="eastAsia" w:cs="Times New Roman" w:eastAsiaTheme="minorEastAsia"/>
          <w:color w:val="auto"/>
          <w:sz w:val="24"/>
          <w:szCs w:val="24"/>
          <w:highlight w:val="none"/>
          <w:shd w:val="clear" w:color="auto" w:fill="auto"/>
          <w:lang w:val="en-US" w:eastAsia="zh-CN"/>
        </w:rPr>
        <w:t>2</w:t>
      </w:r>
      <w:r>
        <w:rPr>
          <w:rFonts w:hint="default" w:ascii="Times New Roman" w:hAnsi="Times New Roman" w:cs="Times New Roman" w:eastAsiaTheme="minorEastAsia"/>
          <w:color w:val="auto"/>
          <w:sz w:val="24"/>
          <w:szCs w:val="24"/>
          <w:highlight w:val="none"/>
          <w:shd w:val="clear" w:color="auto" w:fill="auto"/>
          <w:lang w:val="en-US" w:eastAsia="zh-CN"/>
        </w:rPr>
        <w:t>月编制完成了《鄂州市工业园区周边土壤质量调查评估报告（2020年）——华容创业园（送审稿）》</w:t>
      </w:r>
      <w:r>
        <w:rPr>
          <w:rFonts w:hint="eastAsia" w:ascii="Times New Roman" w:hAnsi="Times New Roman" w:cs="Times New Roman" w:eastAsiaTheme="minorEastAsia"/>
          <w:color w:val="auto"/>
          <w:sz w:val="24"/>
          <w:szCs w:val="24"/>
          <w:highlight w:val="none"/>
          <w:shd w:val="clear" w:color="auto" w:fill="auto"/>
          <w:lang w:val="en-US" w:eastAsia="zh-CN"/>
        </w:rPr>
        <w:t>并于2021年2月7日通过了专家评审会（专家意见见附件7），现将</w:t>
      </w:r>
      <w:r>
        <w:rPr>
          <w:rFonts w:hint="default" w:ascii="Times New Roman" w:hAnsi="Times New Roman" w:cs="Times New Roman" w:eastAsiaTheme="minorEastAsia"/>
          <w:color w:val="auto"/>
          <w:sz w:val="24"/>
          <w:szCs w:val="24"/>
          <w:highlight w:val="none"/>
          <w:shd w:val="clear" w:color="auto" w:fill="auto"/>
          <w:lang w:val="en-US" w:eastAsia="zh-CN"/>
        </w:rPr>
        <w:t>《鄂州市工业园区周边土壤质量调查评估报告（2020年）——华容创业园</w:t>
      </w:r>
      <w:r>
        <w:rPr>
          <w:rFonts w:hint="eastAsia" w:ascii="Times New Roman" w:hAnsi="Times New Roman" w:cs="Times New Roman" w:eastAsiaTheme="minorEastAsia"/>
          <w:color w:val="auto"/>
          <w:sz w:val="24"/>
          <w:szCs w:val="24"/>
          <w:highlight w:val="none"/>
          <w:shd w:val="clear" w:color="auto" w:fill="auto"/>
          <w:lang w:val="en-US" w:eastAsia="zh-CN"/>
        </w:rPr>
        <w:t xml:space="preserve"> </w:t>
      </w:r>
      <w:r>
        <w:rPr>
          <w:rFonts w:hint="default" w:ascii="Times New Roman" w:hAnsi="Times New Roman" w:cs="Times New Roman" w:eastAsiaTheme="minorEastAsia"/>
          <w:color w:val="auto"/>
          <w:sz w:val="24"/>
          <w:szCs w:val="24"/>
          <w:highlight w:val="none"/>
          <w:shd w:val="clear" w:color="auto" w:fill="auto"/>
          <w:lang w:val="en-US" w:eastAsia="zh-CN"/>
        </w:rPr>
        <w:t>（</w:t>
      </w:r>
      <w:r>
        <w:rPr>
          <w:rFonts w:hint="eastAsia" w:ascii="Times New Roman" w:hAnsi="Times New Roman" w:cs="Times New Roman" w:eastAsiaTheme="minorEastAsia"/>
          <w:color w:val="auto"/>
          <w:sz w:val="24"/>
          <w:szCs w:val="24"/>
          <w:highlight w:val="none"/>
          <w:shd w:val="clear" w:color="auto" w:fill="auto"/>
          <w:lang w:val="en-US" w:eastAsia="zh-CN"/>
        </w:rPr>
        <w:t>备案稿</w:t>
      </w:r>
      <w:r>
        <w:rPr>
          <w:rFonts w:hint="default" w:ascii="Times New Roman" w:hAnsi="Times New Roman" w:cs="Times New Roman" w:eastAsiaTheme="minorEastAsia"/>
          <w:color w:val="auto"/>
          <w:sz w:val="24"/>
          <w:szCs w:val="24"/>
          <w:highlight w:val="none"/>
          <w:shd w:val="clear" w:color="auto" w:fill="auto"/>
          <w:lang w:val="en-US" w:eastAsia="zh-CN"/>
        </w:rPr>
        <w:t>）》</w:t>
      </w:r>
      <w:r>
        <w:rPr>
          <w:rFonts w:hint="eastAsia" w:ascii="Times New Roman" w:hAnsi="Times New Roman" w:cs="Times New Roman" w:eastAsiaTheme="minorEastAsia"/>
          <w:color w:val="auto"/>
          <w:sz w:val="24"/>
          <w:szCs w:val="24"/>
          <w:highlight w:val="none"/>
          <w:shd w:val="clear" w:color="auto" w:fill="auto"/>
          <w:lang w:val="en-US" w:eastAsia="zh-CN"/>
        </w:rPr>
        <w:t>交由鄂州市生态环境局备案</w:t>
      </w:r>
      <w:r>
        <w:rPr>
          <w:rFonts w:hint="default" w:ascii="Times New Roman" w:hAnsi="Times New Roman" w:cs="Times New Roman" w:eastAsiaTheme="minorEastAsia"/>
          <w:color w:val="auto"/>
          <w:sz w:val="24"/>
          <w:szCs w:val="24"/>
          <w:highlight w:val="none"/>
          <w:shd w:val="clear" w:color="auto" w:fill="auto"/>
          <w:lang w:val="en-US" w:eastAsia="zh-CN"/>
        </w:rPr>
        <w:t>。</w:t>
      </w:r>
    </w:p>
    <w:p w14:paraId="31E48EAB">
      <w:pPr>
        <w:pStyle w:val="4"/>
        <w:tabs>
          <w:tab w:val="left" w:leader="dot" w:pos="0"/>
          <w:tab w:val="clear" w:pos="567"/>
        </w:tabs>
        <w:rPr>
          <w:rFonts w:hint="default" w:ascii="Times New Roman" w:hAnsi="Times New Roman" w:cs="Times New Roman"/>
          <w:color w:val="000000" w:themeColor="text1"/>
          <w:highlight w:val="none"/>
          <w14:textFill>
            <w14:solidFill>
              <w14:schemeClr w14:val="tx1"/>
            </w14:solidFill>
          </w14:textFill>
        </w:rPr>
      </w:pPr>
      <w:bookmarkStart w:id="3" w:name="_Toc20454"/>
      <w:bookmarkStart w:id="4" w:name="_Toc15371849"/>
      <w:r>
        <w:rPr>
          <w:rFonts w:hint="default" w:ascii="Times New Roman" w:hAnsi="Times New Roman" w:cs="Times New Roman"/>
          <w:color w:val="000000" w:themeColor="text1"/>
          <w:highlight w:val="none"/>
          <w14:textFill>
            <w14:solidFill>
              <w14:schemeClr w14:val="tx1"/>
            </w14:solidFill>
          </w14:textFill>
        </w:rPr>
        <w:t>调查目的和原则</w:t>
      </w:r>
      <w:bookmarkEnd w:id="3"/>
      <w:bookmarkEnd w:id="4"/>
    </w:p>
    <w:p w14:paraId="583929F1">
      <w:pPr>
        <w:pStyle w:val="5"/>
        <w:tabs>
          <w:tab w:val="clear" w:pos="851"/>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调查目的</w:t>
      </w:r>
    </w:p>
    <w:p w14:paraId="1DC77140">
      <w:pPr>
        <w:spacing w:line="360" w:lineRule="auto"/>
        <w:ind w:firstLine="480" w:firstLineChars="200"/>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lang w:eastAsia="zh-CN"/>
          <w14:textFill>
            <w14:solidFill>
              <w14:schemeClr w14:val="tx1"/>
            </w14:solidFill>
          </w14:textFill>
        </w:rPr>
        <w:t>本次调查的</w:t>
      </w:r>
      <w:r>
        <w:rPr>
          <w:rFonts w:hint="default" w:ascii="Times New Roman" w:hAnsi="Times New Roman" w:cs="Times New Roman"/>
          <w:color w:val="000000" w:themeColor="text1"/>
          <w:kern w:val="0"/>
          <w:sz w:val="24"/>
          <w:highlight w:val="none"/>
          <w14:textFill>
            <w14:solidFill>
              <w14:schemeClr w14:val="tx1"/>
            </w14:solidFill>
          </w14:textFill>
        </w:rPr>
        <w:t>目的为：</w:t>
      </w:r>
    </w:p>
    <w:p w14:paraId="283938B7">
      <w:pPr>
        <w:numPr>
          <w:ilvl w:val="0"/>
          <w:numId w:val="4"/>
        </w:numPr>
        <w:ind w:firstLine="480" w:firstLineChars="200"/>
        <w:rPr>
          <w:color w:val="000000" w:themeColor="text1"/>
          <w:kern w:val="0"/>
          <w:highlight w:val="none"/>
          <w14:textFill>
            <w14:solidFill>
              <w14:schemeClr w14:val="tx1"/>
            </w14:solidFill>
          </w14:textFill>
        </w:rPr>
      </w:pPr>
      <w:r>
        <w:rPr>
          <w:rFonts w:hint="eastAsia"/>
          <w:color w:val="000000" w:themeColor="text1"/>
          <w:kern w:val="0"/>
          <w:highlight w:val="none"/>
          <w14:textFill>
            <w14:solidFill>
              <w14:schemeClr w14:val="tx1"/>
            </w14:solidFill>
          </w14:textFill>
        </w:rPr>
        <w:t>初步了解</w:t>
      </w:r>
      <w:r>
        <w:rPr>
          <w:color w:val="000000" w:themeColor="text1"/>
          <w:kern w:val="0"/>
          <w:highlight w:val="none"/>
          <w14:textFill>
            <w14:solidFill>
              <w14:schemeClr w14:val="tx1"/>
            </w14:solidFill>
          </w14:textFill>
        </w:rPr>
        <w:t>工业园区周边是否存在土壤和地下水污染；</w:t>
      </w:r>
    </w:p>
    <w:p w14:paraId="608BF46F">
      <w:pPr>
        <w:numPr>
          <w:ilvl w:val="0"/>
          <w:numId w:val="4"/>
        </w:numPr>
        <w:ind w:firstLine="480" w:firstLineChars="200"/>
        <w:rPr>
          <w:color w:val="000000" w:themeColor="text1"/>
          <w:kern w:val="0"/>
          <w:highlight w:val="none"/>
          <w14:textFill>
            <w14:solidFill>
              <w14:schemeClr w14:val="tx1"/>
            </w14:solidFill>
          </w14:textFill>
        </w:rPr>
      </w:pPr>
      <w:r>
        <w:rPr>
          <w:color w:val="000000" w:themeColor="text1"/>
          <w:kern w:val="0"/>
          <w:highlight w:val="none"/>
          <w14:textFill>
            <w14:solidFill>
              <w14:schemeClr w14:val="tx1"/>
            </w14:solidFill>
          </w14:textFill>
        </w:rPr>
        <w:t>了解工业园区内已建成企业分布情况，</w:t>
      </w:r>
      <w:r>
        <w:rPr>
          <w:rFonts w:hint="eastAsia"/>
          <w:color w:val="000000" w:themeColor="text1"/>
          <w:kern w:val="0"/>
          <w:highlight w:val="none"/>
          <w14:textFill>
            <w14:solidFill>
              <w14:schemeClr w14:val="tx1"/>
            </w14:solidFill>
          </w14:textFill>
        </w:rPr>
        <w:t>调查</w:t>
      </w:r>
      <w:r>
        <w:rPr>
          <w:color w:val="000000" w:themeColor="text1"/>
          <w:kern w:val="0"/>
          <w:highlight w:val="none"/>
          <w14:textFill>
            <w14:solidFill>
              <w14:schemeClr w14:val="tx1"/>
            </w14:solidFill>
          </w14:textFill>
        </w:rPr>
        <w:t>工业园内已建成企业聚集区周边是否存在土壤和地下水污染；</w:t>
      </w:r>
    </w:p>
    <w:p w14:paraId="61BB5677">
      <w:pPr>
        <w:ind w:firstLine="480" w:firstLineChars="200"/>
        <w:rPr>
          <w:color w:val="000000" w:themeColor="text1"/>
          <w:kern w:val="0"/>
          <w:highlight w:val="none"/>
          <w14:textFill>
            <w14:solidFill>
              <w14:schemeClr w14:val="tx1"/>
            </w14:solidFill>
          </w14:textFill>
        </w:rPr>
      </w:pPr>
      <w:r>
        <w:rPr>
          <w:color w:val="000000" w:themeColor="text1"/>
          <w:kern w:val="0"/>
          <w:highlight w:val="none"/>
          <w14:textFill>
            <w14:solidFill>
              <w14:schemeClr w14:val="tx1"/>
            </w14:solidFill>
          </w14:textFill>
        </w:rPr>
        <w:t>（3）若存在污染，明确调查范围内土壤和地下水中污染物类别，初步分析污染成因；</w:t>
      </w:r>
    </w:p>
    <w:p w14:paraId="0CA48F36">
      <w:pPr>
        <w:ind w:left="1" w:firstLine="480" w:firstLineChars="200"/>
        <w:rPr>
          <w:color w:val="000000" w:themeColor="text1"/>
          <w:kern w:val="0"/>
          <w:highlight w:val="none"/>
          <w14:textFill>
            <w14:solidFill>
              <w14:schemeClr w14:val="tx1"/>
            </w14:solidFill>
          </w14:textFill>
        </w:rPr>
      </w:pPr>
      <w:r>
        <w:rPr>
          <w:color w:val="000000" w:themeColor="text1"/>
          <w:kern w:val="0"/>
          <w:highlight w:val="none"/>
          <w14:textFill>
            <w14:solidFill>
              <w14:schemeClr w14:val="tx1"/>
            </w14:solidFill>
          </w14:textFill>
        </w:rPr>
        <w:t>（4）对土壤及地下水环境质量现状进行评价，为环境风险预警提供重要依据。</w:t>
      </w:r>
    </w:p>
    <w:p w14:paraId="48742B38">
      <w:pPr>
        <w:pStyle w:val="5"/>
        <w:tabs>
          <w:tab w:val="clear" w:pos="851"/>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调查原则</w:t>
      </w:r>
    </w:p>
    <w:p w14:paraId="4FC82107">
      <w:pPr>
        <w:spacing w:line="360" w:lineRule="auto"/>
        <w:ind w:firstLine="480" w:firstLineChars="200"/>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（1）针对性原则</w:t>
      </w:r>
    </w:p>
    <w:p w14:paraId="03B2C0DA">
      <w:pPr>
        <w:spacing w:line="360" w:lineRule="auto"/>
        <w:ind w:firstLine="480" w:firstLineChars="200"/>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根据</w:t>
      </w:r>
      <w:r>
        <w:rPr>
          <w:rFonts w:hint="default" w:ascii="Times New Roman" w:hAnsi="Times New Roman" w:cs="Times New Roman"/>
          <w:color w:val="000000" w:themeColor="text1"/>
          <w:kern w:val="0"/>
          <w:sz w:val="24"/>
          <w:highlight w:val="none"/>
          <w:lang w:eastAsia="zh-CN"/>
          <w14:textFill>
            <w14:solidFill>
              <w14:schemeClr w14:val="tx1"/>
            </w14:solidFill>
          </w14:textFill>
        </w:rPr>
        <w:t>鄂州市</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华容创业园</w:t>
      </w:r>
      <w:r>
        <w:rPr>
          <w:rFonts w:hint="default" w:ascii="Times New Roman" w:hAnsi="Times New Roman" w:cs="Times New Roman"/>
          <w:color w:val="000000" w:themeColor="text1"/>
          <w:kern w:val="0"/>
          <w:sz w:val="24"/>
          <w:highlight w:val="none"/>
          <w:lang w:eastAsia="zh-CN"/>
          <w14:textFill>
            <w14:solidFill>
              <w14:schemeClr w14:val="tx1"/>
            </w14:solidFill>
          </w14:textFill>
        </w:rPr>
        <w:t>工业园区的土地利用现状、已建成企业分布情况</w:t>
      </w:r>
      <w:r>
        <w:rPr>
          <w:rFonts w:hint="default" w:ascii="Times New Roman" w:hAnsi="Times New Roman" w:cs="Times New Roman"/>
          <w:color w:val="000000" w:themeColor="text1"/>
          <w:kern w:val="0"/>
          <w:sz w:val="24"/>
          <w:highlight w:val="none"/>
          <w14:textFill>
            <w14:solidFill>
              <w14:schemeClr w14:val="tx1"/>
            </w14:solidFill>
          </w14:textFill>
        </w:rPr>
        <w:t>，将</w:t>
      </w:r>
      <w:r>
        <w:rPr>
          <w:rFonts w:hint="default" w:ascii="Times New Roman" w:hAnsi="Times New Roman" w:cs="Times New Roman"/>
          <w:color w:val="000000" w:themeColor="text1"/>
          <w:kern w:val="0"/>
          <w:sz w:val="24"/>
          <w:highlight w:val="none"/>
          <w:lang w:eastAsia="zh-CN"/>
          <w14:textFill>
            <w14:solidFill>
              <w14:schemeClr w14:val="tx1"/>
            </w14:solidFill>
          </w14:textFill>
        </w:rPr>
        <w:t>整个工业园园区</w:t>
      </w:r>
      <w:r>
        <w:rPr>
          <w:rFonts w:hint="eastAsia" w:cs="Times New Roman"/>
          <w:color w:val="000000" w:themeColor="text1"/>
          <w:kern w:val="0"/>
          <w:sz w:val="24"/>
          <w:highlight w:val="none"/>
          <w:lang w:val="en-US" w:eastAsia="zh-CN"/>
          <w14:textFill>
            <w14:solidFill>
              <w14:schemeClr w14:val="tx1"/>
            </w14:solidFill>
          </w14:textFill>
        </w:rPr>
        <w:t>及园区内</w:t>
      </w:r>
      <w:r>
        <w:rPr>
          <w:rFonts w:hint="default" w:ascii="Times New Roman" w:hAnsi="Times New Roman" w:cs="Times New Roman"/>
          <w:color w:val="000000" w:themeColor="text1"/>
          <w:kern w:val="0"/>
          <w:sz w:val="24"/>
          <w:highlight w:val="none"/>
          <w:lang w:eastAsia="zh-CN"/>
          <w14:textFill>
            <w14:solidFill>
              <w14:schemeClr w14:val="tx1"/>
            </w14:solidFill>
          </w14:textFill>
        </w:rPr>
        <w:t>已建成企业聚集区域</w:t>
      </w:r>
      <w:r>
        <w:rPr>
          <w:rFonts w:hint="default" w:ascii="Times New Roman" w:hAnsi="Times New Roman" w:cs="Times New Roman"/>
          <w:color w:val="000000" w:themeColor="text1"/>
          <w:kern w:val="0"/>
          <w:sz w:val="24"/>
          <w:highlight w:val="none"/>
          <w14:textFill>
            <w14:solidFill>
              <w14:schemeClr w14:val="tx1"/>
            </w14:solidFill>
          </w14:textFill>
        </w:rPr>
        <w:t>作为调查重点；根据</w:t>
      </w:r>
      <w:r>
        <w:rPr>
          <w:rFonts w:hint="default" w:ascii="Times New Roman" w:hAnsi="Times New Roman" w:cs="Times New Roman"/>
          <w:color w:val="000000" w:themeColor="text1"/>
          <w:kern w:val="0"/>
          <w:sz w:val="24"/>
          <w:highlight w:val="none"/>
          <w:lang w:eastAsia="zh-CN"/>
          <w14:textFill>
            <w14:solidFill>
              <w14:schemeClr w14:val="tx1"/>
            </w14:solidFill>
          </w14:textFill>
        </w:rPr>
        <w:t>园区产业功能定位、</w:t>
      </w:r>
      <w:r>
        <w:rPr>
          <w:rFonts w:hint="eastAsia" w:cs="Times New Roman"/>
          <w:color w:val="000000" w:themeColor="text1"/>
          <w:kern w:val="0"/>
          <w:sz w:val="24"/>
          <w:highlight w:val="none"/>
          <w:lang w:val="en-US" w:eastAsia="zh-CN"/>
          <w14:textFill>
            <w14:solidFill>
              <w14:schemeClr w14:val="tx1"/>
            </w14:solidFill>
          </w14:textFill>
        </w:rPr>
        <w:t>典型企业</w:t>
      </w:r>
      <w:r>
        <w:rPr>
          <w:rFonts w:hint="default" w:ascii="Times New Roman" w:hAnsi="Times New Roman" w:cs="Times New Roman"/>
          <w:color w:val="000000" w:themeColor="text1"/>
          <w:kern w:val="0"/>
          <w:sz w:val="24"/>
          <w:highlight w:val="none"/>
          <w:lang w:eastAsia="zh-CN"/>
          <w14:textFill>
            <w14:solidFill>
              <w14:schemeClr w14:val="tx1"/>
            </w14:solidFill>
          </w14:textFill>
        </w:rPr>
        <w:t>的产排污环节</w:t>
      </w:r>
      <w:r>
        <w:rPr>
          <w:rFonts w:hint="default" w:ascii="Times New Roman" w:hAnsi="Times New Roman" w:cs="Times New Roman"/>
          <w:color w:val="000000" w:themeColor="text1"/>
          <w:kern w:val="0"/>
          <w:sz w:val="24"/>
          <w:highlight w:val="none"/>
          <w14:textFill>
            <w14:solidFill>
              <w14:schemeClr w14:val="tx1"/>
            </w14:solidFill>
          </w14:textFill>
        </w:rPr>
        <w:t>，有针对性地设定调查项目。</w:t>
      </w:r>
    </w:p>
    <w:p w14:paraId="19B68D8F">
      <w:pPr>
        <w:spacing w:line="360" w:lineRule="auto"/>
        <w:ind w:firstLine="480" w:firstLineChars="200"/>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（2）规范性原则</w:t>
      </w:r>
    </w:p>
    <w:p w14:paraId="4AE01EBC">
      <w:pPr>
        <w:spacing w:line="360" w:lineRule="auto"/>
        <w:ind w:firstLine="480" w:firstLineChars="200"/>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lang w:eastAsia="zh-CN"/>
          <w14:textFill>
            <w14:solidFill>
              <w14:schemeClr w14:val="tx1"/>
            </w14:solidFill>
          </w14:textFill>
        </w:rPr>
        <w:t>参考</w:t>
      </w:r>
      <w:r>
        <w:rPr>
          <w:rFonts w:hint="default" w:ascii="Times New Roman" w:hAnsi="Times New Roman" w:cs="Times New Roman"/>
          <w:color w:val="000000" w:themeColor="text1"/>
          <w:kern w:val="0"/>
          <w:sz w:val="24"/>
          <w:highlight w:val="none"/>
          <w14:textFill>
            <w14:solidFill>
              <w14:schemeClr w14:val="tx1"/>
            </w14:solidFill>
          </w14:textFill>
        </w:rPr>
        <w:t>目前国内及国际上</w:t>
      </w:r>
      <w:r>
        <w:rPr>
          <w:rFonts w:hint="default" w:ascii="Times New Roman" w:hAnsi="Times New Roman" w:cs="Times New Roman"/>
          <w:color w:val="000000" w:themeColor="text1"/>
          <w:kern w:val="0"/>
          <w:sz w:val="24"/>
          <w:highlight w:val="none"/>
          <w:lang w:eastAsia="zh-CN"/>
          <w14:textFill>
            <w14:solidFill>
              <w14:schemeClr w14:val="tx1"/>
            </w14:solidFill>
          </w14:textFill>
        </w:rPr>
        <w:t>场地土壤及地下水</w:t>
      </w:r>
      <w:r>
        <w:rPr>
          <w:rFonts w:hint="default" w:ascii="Times New Roman" w:hAnsi="Times New Roman" w:cs="Times New Roman"/>
          <w:color w:val="000000" w:themeColor="text1"/>
          <w:kern w:val="0"/>
          <w:sz w:val="24"/>
          <w:highlight w:val="none"/>
          <w14:textFill>
            <w14:solidFill>
              <w14:schemeClr w14:val="tx1"/>
            </w14:solidFill>
          </w14:textFill>
        </w:rPr>
        <w:t>调查的相关技术规范，对场地现场调查采样、样品保存运输、样品分析等一系列过程进行严格的质量控制，保证调查和评估结果的科学性、准确性和客观性。</w:t>
      </w:r>
    </w:p>
    <w:p w14:paraId="3B8FFDB0">
      <w:pPr>
        <w:spacing w:line="360" w:lineRule="auto"/>
        <w:ind w:firstLine="480" w:firstLineChars="200"/>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（3）可操作性原则</w:t>
      </w:r>
    </w:p>
    <w:p w14:paraId="5C5E8784">
      <w:pPr>
        <w:spacing w:line="360" w:lineRule="auto"/>
        <w:ind w:firstLine="480" w:firstLineChars="200"/>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综合考虑</w:t>
      </w:r>
      <w:r>
        <w:rPr>
          <w:rFonts w:hint="default" w:ascii="Times New Roman" w:hAnsi="Times New Roman" w:cs="Times New Roman"/>
          <w:color w:val="000000" w:themeColor="text1"/>
          <w:kern w:val="0"/>
          <w:sz w:val="24"/>
          <w:highlight w:val="none"/>
          <w:lang w:eastAsia="zh-CN"/>
          <w14:textFill>
            <w14:solidFill>
              <w14:schemeClr w14:val="tx1"/>
            </w14:solidFill>
          </w14:textFill>
        </w:rPr>
        <w:t>调查园区</w:t>
      </w:r>
      <w:r>
        <w:rPr>
          <w:rFonts w:hint="default" w:ascii="Times New Roman" w:hAnsi="Times New Roman" w:cs="Times New Roman"/>
          <w:color w:val="000000" w:themeColor="text1"/>
          <w:kern w:val="0"/>
          <w:sz w:val="24"/>
          <w:highlight w:val="none"/>
          <w14:textFill>
            <w14:solidFill>
              <w14:schemeClr w14:val="tx1"/>
            </w14:solidFill>
          </w14:textFill>
        </w:rPr>
        <w:t>复杂性、污染特点和环境条件等因素，制定可操作的调查方案和采样计划，确保调查评估工作顺利完成。</w:t>
      </w:r>
    </w:p>
    <w:p w14:paraId="59A2CFB0">
      <w:pPr>
        <w:pStyle w:val="4"/>
        <w:tabs>
          <w:tab w:val="left" w:leader="dot" w:pos="0"/>
          <w:tab w:val="clear" w:pos="567"/>
        </w:tabs>
        <w:rPr>
          <w:rFonts w:hint="default" w:ascii="Times New Roman" w:hAnsi="Times New Roman" w:cs="Times New Roman"/>
          <w:color w:val="000000" w:themeColor="text1"/>
          <w:highlight w:val="none"/>
          <w14:textFill>
            <w14:solidFill>
              <w14:schemeClr w14:val="tx1"/>
            </w14:solidFill>
          </w14:textFill>
        </w:rPr>
      </w:pPr>
      <w:bookmarkStart w:id="5" w:name="_Toc18023"/>
      <w:bookmarkStart w:id="6" w:name="_Toc15371850"/>
      <w:r>
        <w:rPr>
          <w:rFonts w:hint="default" w:ascii="Times New Roman" w:hAnsi="Times New Roman" w:cs="Times New Roman"/>
          <w:color w:val="000000" w:themeColor="text1"/>
          <w:highlight w:val="none"/>
          <w14:textFill>
            <w14:solidFill>
              <w14:schemeClr w14:val="tx1"/>
            </w14:solidFill>
          </w14:textFill>
        </w:rPr>
        <w:t>调查</w:t>
      </w:r>
      <w:r>
        <w:rPr>
          <w:rFonts w:hint="default" w:ascii="Times New Roman" w:hAnsi="Times New Roman" w:cs="Times New Roman"/>
          <w:color w:val="000000" w:themeColor="text1"/>
          <w:highlight w:val="none"/>
          <w:lang w:eastAsia="zh-CN"/>
          <w14:textFill>
            <w14:solidFill>
              <w14:schemeClr w14:val="tx1"/>
            </w14:solidFill>
          </w14:textFill>
        </w:rPr>
        <w:t>对象和</w:t>
      </w:r>
      <w:r>
        <w:rPr>
          <w:rFonts w:hint="default" w:ascii="Times New Roman" w:hAnsi="Times New Roman" w:cs="Times New Roman"/>
          <w:color w:val="000000" w:themeColor="text1"/>
          <w:highlight w:val="none"/>
          <w14:textFill>
            <w14:solidFill>
              <w14:schemeClr w14:val="tx1"/>
            </w14:solidFill>
          </w14:textFill>
        </w:rPr>
        <w:t>范围</w:t>
      </w:r>
      <w:bookmarkEnd w:id="5"/>
      <w:bookmarkEnd w:id="6"/>
      <w:r>
        <w:rPr>
          <w:rFonts w:hint="eastAsia" w:cs="Times New Roman"/>
          <w:color w:val="000000" w:themeColor="text1"/>
          <w:highlight w:val="none"/>
          <w:lang w:val="en-US" w:eastAsia="zh-CN"/>
          <w14:textFill>
            <w14:solidFill>
              <w14:schemeClr w14:val="tx1"/>
            </w14:solidFill>
          </w14:textFill>
        </w:rPr>
        <w:t xml:space="preserve"> </w:t>
      </w:r>
    </w:p>
    <w:p w14:paraId="6CA5CAD9">
      <w:pPr>
        <w:ind w:firstLine="480" w:firstLineChars="200"/>
        <w:rPr>
          <w:rFonts w:eastAsiaTheme="minorEastAsia"/>
          <w:highlight w:val="none"/>
        </w:rPr>
      </w:pPr>
      <w:r>
        <w:rPr>
          <w:rFonts w:hint="default" w:ascii="Times New Roman" w:hAnsi="Times New Roman" w:cs="Times New Roman"/>
          <w:color w:val="000000" w:themeColor="text1"/>
          <w:kern w:val="0"/>
          <w:sz w:val="24"/>
          <w:highlight w:val="none"/>
          <w14:textFill>
            <w14:solidFill>
              <w14:schemeClr w14:val="tx1"/>
            </w14:solidFill>
          </w14:textFill>
        </w:rPr>
        <w:t>本次调查对象为</w:t>
      </w:r>
      <w:r>
        <w:rPr>
          <w:rFonts w:hint="default" w:ascii="Times New Roman" w:hAnsi="Times New Roman" w:cs="Times New Roman"/>
          <w:color w:val="000000" w:themeColor="text1"/>
          <w:kern w:val="0"/>
          <w:sz w:val="24"/>
          <w:highlight w:val="none"/>
          <w:lang w:eastAsia="zh-CN"/>
          <w14:textFill>
            <w14:solidFill>
              <w14:schemeClr w14:val="tx1"/>
            </w14:solidFill>
          </w14:textFill>
        </w:rPr>
        <w:t>鄂州市</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华容创业园，</w:t>
      </w:r>
      <w:r>
        <w:rPr>
          <w:rFonts w:hint="eastAsia"/>
          <w:color w:val="000000" w:themeColor="text1"/>
          <w:kern w:val="0"/>
          <w:highlight w:val="none"/>
          <w14:textFill>
            <w14:solidFill>
              <w14:schemeClr w14:val="tx1"/>
            </w14:solidFill>
          </w14:textFill>
        </w:rPr>
        <w:t>主要针对工业园区周边、已建成企业聚集区周边土壤和地下水质量进行调查评估</w:t>
      </w:r>
      <w:r>
        <w:rPr>
          <w:rFonts w:eastAsiaTheme="minorEastAsia"/>
          <w:highlight w:val="none"/>
        </w:rPr>
        <w:t>。</w:t>
      </w:r>
    </w:p>
    <w:p w14:paraId="2AEB2C52">
      <w:pPr>
        <w:spacing w:line="360" w:lineRule="auto"/>
        <w:ind w:firstLine="480" w:firstLineChars="200"/>
        <w:rPr>
          <w:rFonts w:hint="default" w:ascii="Times New Roman" w:hAnsi="Times New Roman"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eastAsiaTheme="minorEastAsia"/>
          <w:color w:val="auto"/>
          <w:sz w:val="24"/>
          <w:highlight w:val="none"/>
          <w:shd w:val="clear" w:color="auto" w:fill="auto"/>
          <w:lang w:val="en-US" w:eastAsia="zh-CN"/>
        </w:rPr>
        <w:t>华容创业园位于鄂州市华容区，与鄂州市葛店开发区毗邻，根据</w:t>
      </w:r>
      <w:r>
        <w:rPr>
          <w:rFonts w:hint="eastAsia" w:cs="Times New Roman" w:eastAsiaTheme="minorEastAsia"/>
          <w:color w:val="auto"/>
          <w:sz w:val="24"/>
          <w:highlight w:val="none"/>
          <w:shd w:val="clear" w:color="auto" w:fill="auto"/>
          <w:lang w:val="en-US" w:eastAsia="zh-CN"/>
        </w:rPr>
        <w:t>《华容创业园3号路（一期）工程环境影响报告书》中华容城区控制线详规图</w:t>
      </w:r>
      <w:r>
        <w:rPr>
          <w:rFonts w:hint="default" w:ascii="Times New Roman" w:hAnsi="Times New Roman" w:cs="Times New Roman" w:eastAsiaTheme="minorEastAsia"/>
          <w:color w:val="auto"/>
          <w:sz w:val="24"/>
          <w:highlight w:val="none"/>
          <w:shd w:val="clear" w:color="auto" w:fill="auto"/>
          <w:lang w:val="en-US" w:eastAsia="zh-CN"/>
        </w:rPr>
        <w:t>，华容创业园调查面积为15.6km</w:t>
      </w:r>
      <w:r>
        <w:rPr>
          <w:rFonts w:hint="default" w:ascii="Times New Roman" w:hAnsi="Times New Roman" w:cs="Times New Roman" w:eastAsiaTheme="minorEastAsia"/>
          <w:color w:val="auto"/>
          <w:sz w:val="24"/>
          <w:highlight w:val="none"/>
          <w:shd w:val="clear" w:color="auto" w:fill="auto"/>
          <w:vertAlign w:val="superscript"/>
          <w:lang w:val="en-US" w:eastAsia="zh-CN"/>
        </w:rPr>
        <w:t>2</w:t>
      </w:r>
      <w:r>
        <w:rPr>
          <w:rFonts w:hint="default" w:ascii="Times New Roman" w:hAnsi="Times New Roman" w:cs="Times New Roman" w:eastAsiaTheme="minorEastAsia"/>
          <w:color w:val="auto"/>
          <w:sz w:val="24"/>
          <w:highlight w:val="none"/>
          <w:shd w:val="clear" w:color="auto" w:fill="auto"/>
          <w:lang w:val="en-US" w:eastAsia="zh-CN"/>
        </w:rPr>
        <w:t>，</w:t>
      </w:r>
      <w:r>
        <w:rPr>
          <w:rFonts w:hint="default" w:ascii="Times New Roman" w:hAnsi="Times New Roman" w:cs="Times New Roman"/>
          <w:bCs/>
          <w:caps/>
          <w:color w:val="000000" w:themeColor="text1"/>
          <w:szCs w:val="24"/>
          <w:highlight w:val="none"/>
          <w14:textFill>
            <w14:solidFill>
              <w14:schemeClr w14:val="tx1"/>
            </w14:solidFill>
          </w14:textFill>
        </w:rPr>
        <w:t>华容创业园地理位置图</w:t>
      </w:r>
      <w:r>
        <w:rPr>
          <w:rFonts w:hint="default" w:ascii="Times New Roman" w:hAnsi="Times New Roman" w:cs="Times New Roman" w:eastAsiaTheme="minorEastAsia"/>
          <w:color w:val="auto"/>
          <w:sz w:val="24"/>
          <w:highlight w:val="none"/>
          <w:shd w:val="clear" w:color="auto" w:fill="auto"/>
          <w:lang w:val="en-US" w:eastAsia="zh-CN"/>
        </w:rPr>
        <w:t>见附图1，调查范</w:t>
      </w:r>
      <w:r>
        <w:rPr>
          <w:rFonts w:hint="default" w:ascii="Times New Roman" w:hAnsi="Times New Roman" w:cs="Times New Roman"/>
          <w:color w:val="000000" w:themeColor="text1"/>
          <w:kern w:val="0"/>
          <w:sz w:val="24"/>
          <w:highlight w:val="none"/>
          <w:lang w:eastAsia="zh-CN"/>
          <w14:textFill>
            <w14:solidFill>
              <w14:schemeClr w14:val="tx1"/>
            </w14:solidFill>
          </w14:textFill>
        </w:rPr>
        <w:t>围及周边情况图见附图</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2。</w:t>
      </w:r>
    </w:p>
    <w:p w14:paraId="2D7308BA">
      <w:pPr>
        <w:pStyle w:val="4"/>
        <w:tabs>
          <w:tab w:val="left" w:leader="dot" w:pos="0"/>
          <w:tab w:val="clear" w:pos="567"/>
        </w:tabs>
        <w:spacing w:before="240"/>
        <w:rPr>
          <w:rFonts w:hint="default" w:ascii="Times New Roman" w:hAnsi="Times New Roman" w:cs="Times New Roman"/>
          <w:color w:val="000000" w:themeColor="text1"/>
          <w:highlight w:val="none"/>
          <w14:textFill>
            <w14:solidFill>
              <w14:schemeClr w14:val="tx1"/>
            </w14:solidFill>
          </w14:textFill>
        </w:rPr>
      </w:pPr>
      <w:bookmarkStart w:id="7" w:name="_Toc5045"/>
      <w:r>
        <w:rPr>
          <w:rFonts w:hint="default" w:ascii="Times New Roman" w:hAnsi="Times New Roman" w:cs="Times New Roman"/>
          <w:color w:val="000000" w:themeColor="text1"/>
          <w:highlight w:val="none"/>
          <w:lang w:eastAsia="zh-CN"/>
          <w14:textFill>
            <w14:solidFill>
              <w14:schemeClr w14:val="tx1"/>
            </w14:solidFill>
          </w14:textFill>
        </w:rPr>
        <w:t>调查依据</w:t>
      </w:r>
      <w:bookmarkEnd w:id="7"/>
    </w:p>
    <w:p w14:paraId="121F99AF">
      <w:pPr>
        <w:pStyle w:val="5"/>
        <w:tabs>
          <w:tab w:val="clear" w:pos="851"/>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法律法规</w:t>
      </w:r>
    </w:p>
    <w:p w14:paraId="607A541E">
      <w:pPr>
        <w:spacing w:line="360" w:lineRule="auto"/>
        <w:ind w:left="240"/>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（1）《中华人民共和国环境保护法》（2014年4月24日修订，2015年1月1日施行）</w:t>
      </w:r>
      <w:r>
        <w:rPr>
          <w:rFonts w:hint="default" w:ascii="Times New Roman" w:hAnsi="Times New Roman" w:cs="Times New Roman"/>
          <w:color w:val="000000" w:themeColor="text1"/>
          <w:sz w:val="24"/>
          <w:highlight w:val="none"/>
          <w:lang w:eastAsia="zh-CN"/>
          <w14:textFill>
            <w14:solidFill>
              <w14:schemeClr w14:val="tx1"/>
            </w14:solidFill>
          </w14:textFill>
        </w:rPr>
        <w:t>；</w:t>
      </w:r>
    </w:p>
    <w:p w14:paraId="3C578198">
      <w:pPr>
        <w:spacing w:line="360" w:lineRule="auto"/>
        <w:ind w:firstLine="240" w:firstLineChars="100"/>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（2）《中华人民共和国土壤污染防治法》（2019年1月1日施行）</w:t>
      </w:r>
      <w:r>
        <w:rPr>
          <w:rFonts w:hint="default" w:ascii="Times New Roman" w:hAnsi="Times New Roman" w:cs="Times New Roman"/>
          <w:color w:val="000000" w:themeColor="text1"/>
          <w:sz w:val="24"/>
          <w:highlight w:val="none"/>
          <w:lang w:eastAsia="zh-CN"/>
          <w14:textFill>
            <w14:solidFill>
              <w14:schemeClr w14:val="tx1"/>
            </w14:solidFill>
          </w14:textFill>
        </w:rPr>
        <w:t>；</w:t>
      </w:r>
    </w:p>
    <w:p w14:paraId="5DE124F1">
      <w:pPr>
        <w:spacing w:line="360" w:lineRule="auto"/>
        <w:ind w:firstLine="240" w:firstLineChars="100"/>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（3）</w:t>
      </w:r>
      <w:r>
        <w:rPr>
          <w:rFonts w:hint="default" w:ascii="Times New Roman" w:hAnsi="Times New Roman" w:cs="Times New Roman"/>
          <w:color w:val="000000" w:themeColor="text1"/>
          <w:kern w:val="0"/>
          <w:sz w:val="24"/>
          <w:highlight w:val="none"/>
          <w14:textFill>
            <w14:solidFill>
              <w14:schemeClr w14:val="tx1"/>
            </w14:solidFill>
          </w14:textFill>
        </w:rPr>
        <w:t>《国务院关于印发土壤污染防治行动计划的通知》（国发[2016]31号）</w:t>
      </w:r>
      <w:r>
        <w:rPr>
          <w:rFonts w:hint="default" w:ascii="Times New Roman" w:hAnsi="Times New Roman" w:cs="Times New Roman"/>
          <w:color w:val="000000" w:themeColor="text1"/>
          <w:kern w:val="0"/>
          <w:sz w:val="24"/>
          <w:highlight w:val="none"/>
          <w:lang w:eastAsia="zh-CN"/>
          <w14:textFill>
            <w14:solidFill>
              <w14:schemeClr w14:val="tx1"/>
            </w14:solidFill>
          </w14:textFill>
        </w:rPr>
        <w:t>；</w:t>
      </w:r>
    </w:p>
    <w:p w14:paraId="16DBF3B6">
      <w:pPr>
        <w:spacing w:line="360" w:lineRule="auto"/>
        <w:ind w:firstLine="240" w:firstLineChars="100"/>
        <w:rPr>
          <w:rFonts w:hint="default" w:ascii="Times New Roman" w:hAnsi="Times New Roman" w:cs="Times New Roman"/>
          <w:color w:val="000000" w:themeColor="text1"/>
          <w:kern w:val="0"/>
          <w:sz w:val="24"/>
          <w:highlight w:val="none"/>
          <w:lang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（4）</w:t>
      </w:r>
      <w:r>
        <w:rPr>
          <w:rFonts w:hint="default" w:ascii="Times New Roman" w:hAnsi="Times New Roman" w:cs="Times New Roman"/>
          <w:color w:val="000000" w:themeColor="text1"/>
          <w:kern w:val="0"/>
          <w:sz w:val="24"/>
          <w:highlight w:val="none"/>
          <w14:textFill>
            <w14:solidFill>
              <w14:schemeClr w14:val="tx1"/>
            </w14:solidFill>
          </w14:textFill>
        </w:rPr>
        <w:t>《湖北省土壤污染防治行动计划工作方案》（鄂政发[2016]85号）</w:t>
      </w:r>
      <w:r>
        <w:rPr>
          <w:rFonts w:hint="default" w:ascii="Times New Roman" w:hAnsi="Times New Roman" w:cs="Times New Roman"/>
          <w:color w:val="000000" w:themeColor="text1"/>
          <w:kern w:val="0"/>
          <w:sz w:val="24"/>
          <w:highlight w:val="none"/>
          <w:lang w:eastAsia="zh-CN"/>
          <w14:textFill>
            <w14:solidFill>
              <w14:schemeClr w14:val="tx1"/>
            </w14:solidFill>
          </w14:textFill>
        </w:rPr>
        <w:t>；</w:t>
      </w:r>
    </w:p>
    <w:p w14:paraId="4656D4F1">
      <w:pPr>
        <w:spacing w:line="360" w:lineRule="auto"/>
        <w:ind w:firstLine="240" w:firstLineChars="100"/>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5</w:t>
      </w:r>
      <w:r>
        <w:rPr>
          <w:rFonts w:hint="default" w:ascii="Times New Roman" w:hAnsi="Times New Roman" w:cs="Times New Roman"/>
          <w:color w:val="000000" w:themeColor="text1"/>
          <w:sz w:val="24"/>
          <w:highlight w:val="none"/>
          <w14:textFill>
            <w14:solidFill>
              <w14:schemeClr w14:val="tx1"/>
            </w14:solidFill>
          </w14:textFill>
        </w:rPr>
        <w:t>）</w:t>
      </w:r>
      <w:r>
        <w:rPr>
          <w:rFonts w:hint="default" w:ascii="Times New Roman" w:hAnsi="Times New Roman" w:cs="Times New Roman"/>
          <w:color w:val="000000" w:themeColor="text1"/>
          <w:kern w:val="0"/>
          <w:sz w:val="24"/>
          <w:highlight w:val="none"/>
          <w14:textFill>
            <w14:solidFill>
              <w14:schemeClr w14:val="tx1"/>
            </w14:solidFill>
          </w14:textFill>
        </w:rPr>
        <w:t>《湖北省土壤污染防治条例》（2016年10月1日起施行）</w:t>
      </w:r>
      <w:r>
        <w:rPr>
          <w:rFonts w:hint="default" w:ascii="Times New Roman" w:hAnsi="Times New Roman" w:cs="Times New Roman"/>
          <w:color w:val="000000" w:themeColor="text1"/>
          <w:kern w:val="0"/>
          <w:sz w:val="24"/>
          <w:highlight w:val="none"/>
          <w:lang w:eastAsia="zh-CN"/>
          <w14:textFill>
            <w14:solidFill>
              <w14:schemeClr w14:val="tx1"/>
            </w14:solidFill>
          </w14:textFill>
        </w:rPr>
        <w:t>；</w:t>
      </w:r>
    </w:p>
    <w:p w14:paraId="0A6859D9">
      <w:pPr>
        <w:ind w:firstLine="240" w:firstLineChars="100"/>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6</w:t>
      </w:r>
      <w:r>
        <w:rPr>
          <w:rFonts w:hint="default" w:ascii="Times New Roman" w:hAnsi="Times New Roman" w:cs="Times New Roman"/>
          <w:color w:val="000000" w:themeColor="text1"/>
          <w:sz w:val="24"/>
          <w:highlight w:val="none"/>
          <w14:textFill>
            <w14:solidFill>
              <w14:schemeClr w14:val="tx1"/>
            </w14:solidFill>
          </w14:textFill>
        </w:rPr>
        <w:t>）</w:t>
      </w:r>
      <w:r>
        <w:rPr>
          <w:color w:val="000000" w:themeColor="text1"/>
          <w:highlight w:val="none"/>
          <w14:textFill>
            <w14:solidFill>
              <w14:schemeClr w14:val="tx1"/>
            </w14:solidFill>
          </w14:textFill>
        </w:rPr>
        <w:t>《市人民政府关于印发鄂州市土壤污染防治工作方案的通知》</w:t>
      </w:r>
      <w:r>
        <w:rPr>
          <w:rFonts w:hint="eastAsia"/>
          <w:color w:val="000000" w:themeColor="text1"/>
          <w:highlight w:val="none"/>
          <w14:textFill>
            <w14:solidFill>
              <w14:schemeClr w14:val="tx1"/>
            </w14:solidFill>
          </w14:textFill>
        </w:rPr>
        <w:t>（鄂州市人民政府，2017年5月）</w:t>
      </w:r>
      <w:r>
        <w:rPr>
          <w:color w:val="000000" w:themeColor="text1"/>
          <w:highlight w:val="none"/>
          <w14:textFill>
            <w14:solidFill>
              <w14:schemeClr w14:val="tx1"/>
            </w14:solidFill>
          </w14:textFill>
        </w:rPr>
        <w:t>；</w:t>
      </w:r>
    </w:p>
    <w:p w14:paraId="0D3F23DC">
      <w:pPr>
        <w:spacing w:line="360" w:lineRule="auto"/>
        <w:ind w:firstLine="240" w:firstLineChars="100"/>
        <w:rPr>
          <w:rFonts w:hint="default" w:ascii="Times New Roman" w:hAnsi="Times New Roman" w:cs="Times New Roman"/>
          <w:color w:val="000000" w:themeColor="text1"/>
          <w:kern w:val="0"/>
          <w:sz w:val="24"/>
          <w:highlight w:val="none"/>
          <w:lang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7</w:t>
      </w:r>
      <w:r>
        <w:rPr>
          <w:rFonts w:hint="default" w:ascii="Times New Roman" w:hAnsi="Times New Roman" w:cs="Times New Roman"/>
          <w:color w:val="000000" w:themeColor="text1"/>
          <w:sz w:val="24"/>
          <w:highlight w:val="none"/>
          <w14:textFill>
            <w14:solidFill>
              <w14:schemeClr w14:val="tx1"/>
            </w14:solidFill>
          </w14:textFill>
        </w:rPr>
        <w:t>）《鄂州市土壤污染治理与修复规划（2018-2020）》</w:t>
      </w:r>
      <w:r>
        <w:rPr>
          <w:rFonts w:hint="default" w:ascii="Times New Roman" w:hAnsi="Times New Roman" w:cs="Times New Roman"/>
          <w:color w:val="000000" w:themeColor="text1"/>
          <w:kern w:val="0"/>
          <w:sz w:val="24"/>
          <w:highlight w:val="none"/>
          <w14:textFill>
            <w14:solidFill>
              <w14:schemeClr w14:val="tx1"/>
            </w14:solidFill>
          </w14:textFill>
        </w:rPr>
        <w:t>（</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2018年8月</w:t>
      </w:r>
      <w:r>
        <w:rPr>
          <w:rFonts w:hint="default" w:ascii="Times New Roman" w:hAnsi="Times New Roman" w:cs="Times New Roman"/>
          <w:color w:val="000000" w:themeColor="text1"/>
          <w:kern w:val="0"/>
          <w:sz w:val="24"/>
          <w:highlight w:val="none"/>
          <w14:textFill>
            <w14:solidFill>
              <w14:schemeClr w14:val="tx1"/>
            </w14:solidFill>
          </w14:textFill>
        </w:rPr>
        <w:t>）</w:t>
      </w:r>
      <w:r>
        <w:rPr>
          <w:rFonts w:hint="default" w:ascii="Times New Roman" w:hAnsi="Times New Roman" w:cs="Times New Roman"/>
          <w:color w:val="000000" w:themeColor="text1"/>
          <w:kern w:val="0"/>
          <w:sz w:val="24"/>
          <w:highlight w:val="none"/>
          <w:lang w:eastAsia="zh-CN"/>
          <w14:textFill>
            <w14:solidFill>
              <w14:schemeClr w14:val="tx1"/>
            </w14:solidFill>
          </w14:textFill>
        </w:rPr>
        <w:t>；</w:t>
      </w:r>
    </w:p>
    <w:p w14:paraId="653C058C">
      <w:pPr>
        <w:pStyle w:val="5"/>
        <w:tabs>
          <w:tab w:val="clear" w:pos="851"/>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规章及规范性文件</w:t>
      </w:r>
    </w:p>
    <w:p w14:paraId="552A3C0B">
      <w:pPr>
        <w:numPr>
          <w:ilvl w:val="0"/>
          <w:numId w:val="5"/>
        </w:numPr>
        <w:spacing w:line="360" w:lineRule="auto"/>
        <w:ind w:firstLine="360" w:firstLineChars="15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lang w:eastAsia="zh-CN"/>
          <w14:textFill>
            <w14:solidFill>
              <w14:schemeClr w14:val="tx1"/>
            </w14:solidFill>
          </w14:textFill>
        </w:rPr>
        <w:t>《国家重点监控企业污染源监督性监测及信息公开办法》（环发〔2013〕81号）；</w:t>
      </w:r>
    </w:p>
    <w:p w14:paraId="3FCCE94C">
      <w:pPr>
        <w:numPr>
          <w:ilvl w:val="0"/>
          <w:numId w:val="5"/>
        </w:numPr>
        <w:spacing w:line="360" w:lineRule="auto"/>
        <w:ind w:firstLine="360" w:firstLineChars="15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《土壤环境监测技术规范》（HJ/T 166-2004）</w:t>
      </w:r>
      <w:r>
        <w:rPr>
          <w:rFonts w:hint="default" w:ascii="Times New Roman" w:hAnsi="Times New Roman" w:cs="Times New Roman"/>
          <w:color w:val="000000" w:themeColor="text1"/>
          <w:sz w:val="24"/>
          <w:highlight w:val="none"/>
          <w:lang w:eastAsia="zh-CN"/>
          <w14:textFill>
            <w14:solidFill>
              <w14:schemeClr w14:val="tx1"/>
            </w14:solidFill>
          </w14:textFill>
        </w:rPr>
        <w:t>；</w:t>
      </w:r>
    </w:p>
    <w:p w14:paraId="67F30DD1">
      <w:pPr>
        <w:numPr>
          <w:ilvl w:val="0"/>
          <w:numId w:val="5"/>
        </w:numPr>
        <w:spacing w:line="360" w:lineRule="auto"/>
        <w:ind w:firstLine="360" w:firstLineChars="15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《地下水环境监测技术规范》（HJ/T 164-2004）</w:t>
      </w:r>
      <w:r>
        <w:rPr>
          <w:rFonts w:hint="default" w:ascii="Times New Roman" w:hAnsi="Times New Roman" w:cs="Times New Roman"/>
          <w:color w:val="000000" w:themeColor="text1"/>
          <w:sz w:val="24"/>
          <w:highlight w:val="none"/>
          <w:lang w:eastAsia="zh-CN"/>
          <w14:textFill>
            <w14:solidFill>
              <w14:schemeClr w14:val="tx1"/>
            </w14:solidFill>
          </w14:textFill>
        </w:rPr>
        <w:t>；</w:t>
      </w:r>
    </w:p>
    <w:p w14:paraId="0FE8AB21">
      <w:pPr>
        <w:numPr>
          <w:ilvl w:val="0"/>
          <w:numId w:val="5"/>
        </w:numPr>
        <w:spacing w:line="360" w:lineRule="auto"/>
        <w:ind w:firstLine="360" w:firstLineChars="15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《地下水污染地质调查评价规范》（DD 2008-01）</w:t>
      </w:r>
      <w:r>
        <w:rPr>
          <w:rFonts w:hint="default" w:ascii="Times New Roman" w:hAnsi="Times New Roman" w:cs="Times New Roman"/>
          <w:color w:val="000000" w:themeColor="text1"/>
          <w:sz w:val="24"/>
          <w:highlight w:val="none"/>
          <w:lang w:eastAsia="zh-CN"/>
          <w14:textFill>
            <w14:solidFill>
              <w14:schemeClr w14:val="tx1"/>
            </w14:solidFill>
          </w14:textFill>
        </w:rPr>
        <w:t>；</w:t>
      </w:r>
    </w:p>
    <w:p w14:paraId="6864B887">
      <w:pPr>
        <w:numPr>
          <w:ilvl w:val="0"/>
          <w:numId w:val="5"/>
        </w:numPr>
        <w:spacing w:line="360" w:lineRule="auto"/>
        <w:ind w:firstLine="360" w:firstLineChars="15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《水文水井地质钻探规程》（</w:t>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"http://www.so.com/link?m=a1YwI%2F0%2BYRdYzN9gH7AmoqYK0k5XBBQ78EfoPvN0C4ul1lgOU9LQ344m3y4zBz4X3YodIVcvYWhFCmPmSM2fsLAihDFhW9dXJC9SLZBwYouE0I0sc4EX9UF8hHzXRC7H8AqIQVVp0GP2RJumPi%2BgnsPozumplTOe17J5HHAXiZn2ne2ju3870nRiZ14Q4j7Xnz%2ByMu7ICSioTJkDBWn%2BFqg%3D%3D" \t "_blank"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sz w:val="24"/>
          <w:highlight w:val="none"/>
          <w14:textFill>
            <w14:solidFill>
              <w14:schemeClr w14:val="tx1"/>
            </w14:solidFill>
          </w14:textFill>
        </w:rPr>
        <w:t>DZ/T 0148-2014 </w:t>
      </w:r>
      <w:r>
        <w:rPr>
          <w:rFonts w:hint="default" w:ascii="Times New Roman" w:hAnsi="Times New Roman" w:cs="Times New Roman"/>
          <w:color w:val="000000" w:themeColor="text1"/>
          <w:sz w:val="24"/>
          <w:highlight w:val="none"/>
          <w14:textFill>
            <w14:solidFill>
              <w14:schemeClr w14:val="tx1"/>
            </w14:solidFill>
          </w14:textFill>
        </w:rPr>
        <w:fldChar w:fldCharType="end"/>
      </w:r>
      <w:r>
        <w:rPr>
          <w:rFonts w:hint="default" w:ascii="Times New Roman" w:hAnsi="Times New Roman" w:cs="Times New Roman"/>
          <w:color w:val="000000" w:themeColor="text1"/>
          <w:sz w:val="24"/>
          <w:highlight w:val="none"/>
          <w14:textFill>
            <w14:solidFill>
              <w14:schemeClr w14:val="tx1"/>
            </w14:solidFill>
          </w14:textFill>
        </w:rPr>
        <w:t>）</w:t>
      </w:r>
      <w:r>
        <w:rPr>
          <w:rFonts w:hint="default" w:ascii="Times New Roman" w:hAnsi="Times New Roman" w:cs="Times New Roman"/>
          <w:color w:val="000000" w:themeColor="text1"/>
          <w:sz w:val="24"/>
          <w:highlight w:val="none"/>
          <w:lang w:eastAsia="zh-CN"/>
          <w14:textFill>
            <w14:solidFill>
              <w14:schemeClr w14:val="tx1"/>
            </w14:solidFill>
          </w14:textFill>
        </w:rPr>
        <w:t>；</w:t>
      </w:r>
    </w:p>
    <w:p w14:paraId="5D2D6880">
      <w:pPr>
        <w:numPr>
          <w:ilvl w:val="0"/>
          <w:numId w:val="5"/>
        </w:numPr>
        <w:spacing w:line="360" w:lineRule="auto"/>
        <w:ind w:firstLine="360" w:firstLineChars="150"/>
        <w:rPr>
          <w:rFonts w:hint="default" w:ascii="Times New Roman" w:hAnsi="Times New Roman" w:cs="Times New Roman"/>
          <w:color w:val="000000" w:themeColor="text1"/>
          <w:kern w:val="0"/>
          <w:sz w:val="24"/>
          <w:highlight w:val="none"/>
          <w:lang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《岩土工程勘查规范》（GB 50021-2001）</w:t>
      </w:r>
      <w:r>
        <w:rPr>
          <w:rFonts w:hint="default" w:ascii="Times New Roman" w:hAnsi="Times New Roman" w:cs="Times New Roman"/>
          <w:color w:val="000000" w:themeColor="text1"/>
          <w:sz w:val="24"/>
          <w:highlight w:val="none"/>
          <w:lang w:eastAsia="zh-CN"/>
          <w14:textFill>
            <w14:solidFill>
              <w14:schemeClr w14:val="tx1"/>
            </w14:solidFill>
          </w14:textFill>
        </w:rPr>
        <w:t>；</w:t>
      </w:r>
    </w:p>
    <w:p w14:paraId="3A06A84F">
      <w:pPr>
        <w:pStyle w:val="5"/>
        <w:tabs>
          <w:tab w:val="clear" w:pos="851"/>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技术标准</w:t>
      </w:r>
      <w:r>
        <w:rPr>
          <w:rFonts w:hint="default" w:ascii="Times New Roman" w:hAnsi="Times New Roman" w:cs="Times New Roman"/>
          <w:color w:val="000000" w:themeColor="text1"/>
          <w:highlight w:val="none"/>
          <w:lang w:eastAsia="zh-CN"/>
          <w14:textFill>
            <w14:solidFill>
              <w14:schemeClr w14:val="tx1"/>
            </w14:solidFill>
          </w14:textFill>
        </w:rPr>
        <w:t>和导则</w:t>
      </w:r>
      <w:r>
        <w:rPr>
          <w:rFonts w:hint="default" w:ascii="Times New Roman" w:hAnsi="Times New Roman" w:cs="Times New Roman"/>
          <w:color w:val="000000" w:themeColor="text1"/>
          <w:highlight w:val="none"/>
          <w:lang w:val="en-US" w:eastAsia="zh-CN"/>
          <w14:textFill>
            <w14:solidFill>
              <w14:schemeClr w14:val="tx1"/>
            </w14:solidFill>
          </w14:textFill>
        </w:rPr>
        <w:t xml:space="preserve"> </w:t>
      </w:r>
    </w:p>
    <w:p w14:paraId="59253FB2">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《土壤环境质量 建设用地土壤污染风险管控标准（试行）》（GB36600-2018）；</w:t>
      </w:r>
    </w:p>
    <w:p w14:paraId="79727A03">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《土壤环境质量 农用地土壤污染风险管控标准（试行）》（GB15618-2018）；</w:t>
      </w:r>
    </w:p>
    <w:p w14:paraId="2C87384D">
      <w:pPr>
        <w:numPr>
          <w:ilvl w:val="0"/>
          <w:numId w:val="6"/>
        </w:numPr>
        <w:ind w:firstLine="360" w:firstLineChars="150"/>
        <w:rPr>
          <w:color w:val="000000" w:themeColor="text1"/>
          <w:highlight w:val="none"/>
          <w14:textFill>
            <w14:solidFill>
              <w14:schemeClr w14:val="tx1"/>
            </w14:solidFill>
          </w14:textFill>
        </w:rPr>
      </w:pPr>
      <w:r>
        <w:rPr>
          <w:rFonts w:hint="eastAsia"/>
          <w:color w:val="000000"/>
          <w:highlight w:val="none"/>
          <w:lang w:bidi="ar"/>
        </w:rPr>
        <w:t>《建设用地土壤污染风险筛选值和管制值》（</w:t>
      </w:r>
      <w:r>
        <w:rPr>
          <w:color w:val="000000"/>
          <w:highlight w:val="none"/>
          <w:lang w:bidi="ar"/>
        </w:rPr>
        <w:t>DB4403_T 67-2020</w:t>
      </w:r>
      <w:r>
        <w:rPr>
          <w:rFonts w:hint="eastAsia"/>
          <w:color w:val="000000"/>
          <w:highlight w:val="none"/>
          <w:lang w:bidi="ar"/>
        </w:rPr>
        <w:t>）；</w:t>
      </w:r>
    </w:p>
    <w:p w14:paraId="690ECE9E">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《地下水质量标准》（GB/T 14848-2017）；</w:t>
      </w:r>
    </w:p>
    <w:p w14:paraId="5BACFDC1">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《地表水环境质量标准》（GB3838-2002）；</w:t>
      </w:r>
    </w:p>
    <w:p w14:paraId="31DA6325">
      <w:pPr>
        <w:numPr>
          <w:ilvl w:val="0"/>
          <w:numId w:val="6"/>
        </w:numPr>
        <w:ind w:firstLine="360" w:firstLineChars="150"/>
        <w:rPr>
          <w:highlight w:val="none"/>
        </w:rPr>
      </w:pPr>
      <w:r>
        <w:rPr>
          <w:rFonts w:hint="eastAsia"/>
          <w:highlight w:val="none"/>
        </w:rPr>
        <w:t>《建设</w:t>
      </w:r>
      <w:r>
        <w:rPr>
          <w:rFonts w:hint="eastAsia" w:ascii="Times New Roman" w:hAnsi="Times New Roman" w:eastAsia="宋体" w:cs="Times New Roman"/>
          <w:color w:val="000000" w:themeColor="text1"/>
          <w:highlight w:val="none"/>
          <w14:textFill>
            <w14:solidFill>
              <w14:schemeClr w14:val="tx1"/>
            </w14:solidFill>
          </w14:textFill>
        </w:rPr>
        <w:t>用地</w:t>
      </w:r>
      <w:r>
        <w:rPr>
          <w:rFonts w:hint="eastAsia"/>
          <w:highlight w:val="none"/>
        </w:rPr>
        <w:t>土壤污染风险筛选值》（DB13_T 5216-2020）</w:t>
      </w:r>
      <w:r>
        <w:rPr>
          <w:rFonts w:hint="eastAsia"/>
          <w:highlight w:val="none"/>
          <w:lang w:eastAsia="zh-CN"/>
        </w:rPr>
        <w:t>；</w:t>
      </w:r>
    </w:p>
    <w:p w14:paraId="6A17A1D3">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r>
        <w:rPr>
          <w:highlight w:val="none"/>
        </w:rPr>
        <w:t>建设用地土壤污染状况调查技术导则</w:t>
      </w:r>
      <w:r>
        <w:rPr>
          <w:color w:val="000000" w:themeColor="text1"/>
          <w:highlight w:val="none"/>
          <w14:textFill>
            <w14:solidFill>
              <w14:schemeClr w14:val="tx1"/>
            </w14:solidFill>
          </w14:textFill>
        </w:rPr>
        <w:t>》（HJ 25.1-2019）；</w:t>
      </w:r>
    </w:p>
    <w:p w14:paraId="48EE85E8">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r>
        <w:rPr>
          <w:highlight w:val="none"/>
        </w:rPr>
        <w:t>建设用地土壤污染风险管控和修复监测技术导则</w:t>
      </w:r>
      <w:r>
        <w:rPr>
          <w:color w:val="000000" w:themeColor="text1"/>
          <w:highlight w:val="none"/>
          <w14:textFill>
            <w14:solidFill>
              <w14:schemeClr w14:val="tx1"/>
            </w14:solidFill>
          </w14:textFill>
        </w:rPr>
        <w:t>》（HJ 25.2-2019）；</w:t>
      </w:r>
    </w:p>
    <w:p w14:paraId="75D363D2">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《建设用地土壤污染风险管控和修复术语》（HJ 682-2019）；</w:t>
      </w:r>
    </w:p>
    <w:p w14:paraId="082A7C9E">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《工业企业场地环境调查评估与修复工作指南（试行）》（环境保护部公告2014年第78号）；</w:t>
      </w:r>
    </w:p>
    <w:p w14:paraId="55637543">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场地</w:t>
      </w:r>
      <w:r>
        <w:rPr>
          <w:color w:val="000000" w:themeColor="text1"/>
          <w:highlight w:val="none"/>
          <w14:textFill>
            <w14:solidFill>
              <w14:schemeClr w14:val="tx1"/>
            </w14:solidFill>
          </w14:textFill>
        </w:rPr>
        <w:t>土壤和地下水中挥发性有机物采样技术导则》（HJ 1019-2019）；</w:t>
      </w:r>
    </w:p>
    <w:p w14:paraId="1F189225">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《地下水环境状况调查评价工作指南》（2019年9月）；</w:t>
      </w:r>
    </w:p>
    <w:p w14:paraId="73C2DE9A">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《重点区域土壤环境质量监测风险点位布设方法》（环办监测函（2016）1号）；</w:t>
      </w:r>
    </w:p>
    <w:p w14:paraId="33FE16FD">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《四川省土壤污染重点监管单位和工业园区周边土壤环境监督性监测工作方案》（川环办函〔2018〕547号）；</w:t>
      </w:r>
    </w:p>
    <w:p w14:paraId="2936BD99">
      <w:pPr>
        <w:numPr>
          <w:ilvl w:val="0"/>
          <w:numId w:val="6"/>
        </w:numPr>
        <w:ind w:firstLine="360" w:firstLineChars="15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《省级土壤污染状况详查实施方案编制指南》（环办土壤函[2017]1023号）;</w:t>
      </w:r>
    </w:p>
    <w:p w14:paraId="13EA059A">
      <w:pPr>
        <w:numPr>
          <w:ilvl w:val="0"/>
          <w:numId w:val="6"/>
        </w:numPr>
        <w:ind w:firstLine="360" w:firstLineChars="15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《全国土壤污染状况评价技术规定》（环发[2008]39号）</w:t>
      </w:r>
      <w:r>
        <w:rPr>
          <w:rFonts w:hint="eastAsia"/>
          <w:color w:val="000000" w:themeColor="text1"/>
          <w:highlight w:val="none"/>
          <w14:textFill>
            <w14:solidFill>
              <w14:schemeClr w14:val="tx1"/>
            </w14:solidFill>
          </w14:textFill>
        </w:rPr>
        <w:t>。</w:t>
      </w:r>
    </w:p>
    <w:p w14:paraId="4CDF25D4">
      <w:pPr>
        <w:pStyle w:val="5"/>
        <w:tabs>
          <w:tab w:val="clear" w:pos="851"/>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参考资料</w:t>
      </w:r>
    </w:p>
    <w:p w14:paraId="4DEB923E">
      <w:pPr>
        <w:numPr>
          <w:ilvl w:val="0"/>
          <w:numId w:val="7"/>
        </w:numPr>
        <w:spacing w:line="360" w:lineRule="auto"/>
        <w:ind w:firstLine="480" w:firstLineChars="200"/>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rPr>
        <w:t>《鄂州市城乡总体规划</w:t>
      </w: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2011-2020年</w:t>
      </w: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rPr>
        <w:t>》</w:t>
      </w:r>
      <w:r>
        <w:rPr>
          <w:rFonts w:hint="default" w:ascii="Times New Roman" w:hAnsi="Times New Roman" w:cs="Times New Roman"/>
          <w:sz w:val="24"/>
          <w:szCs w:val="24"/>
          <w:highlight w:val="none"/>
          <w:lang w:eastAsia="zh-CN"/>
        </w:rPr>
        <w:t>；</w:t>
      </w:r>
    </w:p>
    <w:p w14:paraId="4A18702F">
      <w:pPr>
        <w:numPr>
          <w:ilvl w:val="0"/>
          <w:numId w:val="7"/>
        </w:numPr>
        <w:spacing w:line="360" w:lineRule="auto"/>
        <w:ind w:firstLine="480" w:firstLineChars="200"/>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《华容创业园</w:t>
      </w:r>
      <w:r>
        <w:rPr>
          <w:rFonts w:hint="default" w:ascii="Times New Roman" w:hAnsi="Times New Roman" w:cs="Times New Roman"/>
          <w:sz w:val="24"/>
          <w:szCs w:val="24"/>
          <w:highlight w:val="none"/>
          <w:lang w:val="en-US" w:eastAsia="zh-CN"/>
        </w:rPr>
        <w:t>3号路（一期）工程环境影响报告书</w:t>
      </w:r>
      <w:r>
        <w:rPr>
          <w:rFonts w:hint="default" w:ascii="Times New Roman" w:hAnsi="Times New Roman" w:cs="Times New Roman"/>
          <w:sz w:val="24"/>
          <w:szCs w:val="24"/>
          <w:highlight w:val="none"/>
          <w:lang w:eastAsia="zh-CN"/>
        </w:rPr>
        <w:t>》</w:t>
      </w:r>
      <w:r>
        <w:rPr>
          <w:rFonts w:hint="eastAsia" w:cs="Times New Roman"/>
          <w:sz w:val="24"/>
          <w:szCs w:val="24"/>
          <w:highlight w:val="none"/>
          <w:lang w:eastAsia="zh-CN"/>
        </w:rPr>
        <w:t>（</w:t>
      </w:r>
      <w:r>
        <w:rPr>
          <w:rFonts w:hint="eastAsia" w:cs="Times New Roman"/>
          <w:sz w:val="24"/>
          <w:szCs w:val="24"/>
          <w:highlight w:val="none"/>
          <w:lang w:val="en-US" w:eastAsia="zh-CN"/>
        </w:rPr>
        <w:t>福建高科环保研究院有限公司，2015年8月</w:t>
      </w:r>
      <w:r>
        <w:rPr>
          <w:rFonts w:hint="eastAsia" w:cs="Times New Roman"/>
          <w:sz w:val="24"/>
          <w:szCs w:val="24"/>
          <w:highlight w:val="none"/>
          <w:lang w:eastAsia="zh-CN"/>
        </w:rPr>
        <w:t>）；</w:t>
      </w:r>
    </w:p>
    <w:p w14:paraId="342DA4E8">
      <w:pPr>
        <w:numPr>
          <w:ilvl w:val="0"/>
          <w:numId w:val="7"/>
        </w:numPr>
        <w:spacing w:line="360" w:lineRule="auto"/>
        <w:ind w:firstLine="480" w:firstLineChars="200"/>
        <w:rPr>
          <w:rFonts w:hint="default" w:ascii="Times New Roman" w:hAnsi="Times New Roman" w:cs="Times New Roman"/>
          <w:sz w:val="24"/>
          <w:szCs w:val="24"/>
          <w:highlight w:val="none"/>
          <w:lang w:eastAsia="zh-CN"/>
        </w:rPr>
      </w:pPr>
      <w:r>
        <w:rPr>
          <w:rFonts w:hint="default" w:ascii="Times New Roman" w:hAnsi="Times New Roman" w:cs="Times New Roman"/>
          <w:color w:val="000000"/>
          <w:sz w:val="24"/>
          <w:highlight w:val="none"/>
        </w:rPr>
        <w:t>《</w:t>
      </w:r>
      <w:r>
        <w:rPr>
          <w:rFonts w:hint="default" w:ascii="Times New Roman" w:hAnsi="Times New Roman" w:cs="Times New Roman"/>
          <w:color w:val="000000"/>
          <w:sz w:val="24"/>
          <w:highlight w:val="none"/>
          <w:lang w:eastAsia="zh-CN"/>
        </w:rPr>
        <w:t>鄂州富晶电子工业园岩土工程勘察报告</w:t>
      </w:r>
      <w:r>
        <w:rPr>
          <w:rFonts w:hint="default" w:ascii="Times New Roman" w:hAnsi="Times New Roman" w:cs="Times New Roman"/>
          <w:color w:val="000000"/>
          <w:sz w:val="24"/>
          <w:highlight w:val="none"/>
        </w:rPr>
        <w:t>》（</w:t>
      </w:r>
      <w:r>
        <w:rPr>
          <w:rFonts w:hint="default" w:ascii="Times New Roman" w:hAnsi="Times New Roman" w:cs="Times New Roman"/>
          <w:color w:val="000000"/>
          <w:sz w:val="24"/>
          <w:highlight w:val="none"/>
          <w:lang w:eastAsia="zh-CN"/>
        </w:rPr>
        <w:t>鄂州市勘测院，</w:t>
      </w:r>
      <w:r>
        <w:rPr>
          <w:rFonts w:hint="default" w:ascii="Times New Roman" w:hAnsi="Times New Roman" w:cs="Times New Roman"/>
          <w:color w:val="000000"/>
          <w:sz w:val="24"/>
          <w:highlight w:val="none"/>
          <w:lang w:val="en-US" w:eastAsia="zh-CN"/>
        </w:rPr>
        <w:t>2007年7月30日</w:t>
      </w:r>
      <w:r>
        <w:rPr>
          <w:rFonts w:hint="default" w:ascii="Times New Roman" w:hAnsi="Times New Roman" w:cs="Times New Roman"/>
          <w:color w:val="000000"/>
          <w:sz w:val="24"/>
          <w:highlight w:val="none"/>
        </w:rPr>
        <w:t>）</w:t>
      </w:r>
      <w:r>
        <w:rPr>
          <w:rFonts w:hint="eastAsia" w:cs="Times New Roman"/>
          <w:color w:val="000000"/>
          <w:sz w:val="24"/>
          <w:highlight w:val="none"/>
          <w:lang w:eastAsia="zh-CN"/>
        </w:rPr>
        <w:t>；</w:t>
      </w:r>
    </w:p>
    <w:p w14:paraId="46FCC0C9">
      <w:pPr>
        <w:numPr>
          <w:ilvl w:val="0"/>
          <w:numId w:val="7"/>
        </w:numPr>
        <w:spacing w:line="360" w:lineRule="auto"/>
        <w:ind w:firstLine="480" w:firstLineChars="200"/>
        <w:rPr>
          <w:rFonts w:hint="default" w:ascii="Times New Roman" w:hAnsi="Times New Roman" w:cs="Times New Roman"/>
          <w:sz w:val="24"/>
          <w:szCs w:val="24"/>
          <w:highlight w:val="none"/>
          <w:lang w:eastAsia="zh-CN"/>
        </w:rPr>
      </w:pPr>
      <w:r>
        <w:rPr>
          <w:rFonts w:hint="default" w:ascii="Times New Roman" w:hAnsi="Times New Roman" w:cs="Times New Roman"/>
          <w:color w:val="000000"/>
          <w:sz w:val="24"/>
          <w:highlight w:val="none"/>
          <w:lang w:eastAsia="zh-CN"/>
        </w:rPr>
        <w:t>《鄂州市鸿泰钢铁有限公司厂房岩土工程续勘报告》</w:t>
      </w:r>
      <w:r>
        <w:rPr>
          <w:rFonts w:hint="default" w:ascii="Times New Roman" w:hAnsi="Times New Roman" w:cs="Times New Roman"/>
          <w:color w:val="000000"/>
          <w:sz w:val="24"/>
          <w:highlight w:val="none"/>
        </w:rPr>
        <w:t>（</w:t>
      </w:r>
      <w:r>
        <w:rPr>
          <w:rFonts w:hint="default" w:ascii="Times New Roman" w:hAnsi="Times New Roman" w:cs="Times New Roman"/>
          <w:color w:val="000000"/>
          <w:sz w:val="24"/>
          <w:highlight w:val="none"/>
          <w:lang w:eastAsia="zh-CN"/>
        </w:rPr>
        <w:t>鄂州市勘测院，</w:t>
      </w:r>
      <w:r>
        <w:rPr>
          <w:rFonts w:hint="default" w:ascii="Times New Roman" w:hAnsi="Times New Roman" w:cs="Times New Roman"/>
          <w:color w:val="000000"/>
          <w:sz w:val="24"/>
          <w:highlight w:val="none"/>
          <w:lang w:val="en-US" w:eastAsia="zh-CN"/>
        </w:rPr>
        <w:t>2003年7月31日</w:t>
      </w:r>
      <w:r>
        <w:rPr>
          <w:rFonts w:hint="default" w:ascii="Times New Roman" w:hAnsi="Times New Roman" w:cs="Times New Roman"/>
          <w:color w:val="000000"/>
          <w:sz w:val="24"/>
          <w:highlight w:val="none"/>
        </w:rPr>
        <w:t>）</w:t>
      </w:r>
      <w:r>
        <w:rPr>
          <w:rFonts w:hint="eastAsia" w:cs="Times New Roman"/>
          <w:color w:val="000000"/>
          <w:sz w:val="24"/>
          <w:highlight w:val="none"/>
          <w:lang w:eastAsia="zh-CN"/>
        </w:rPr>
        <w:t>；</w:t>
      </w:r>
    </w:p>
    <w:p w14:paraId="005EAB50">
      <w:pPr>
        <w:numPr>
          <w:ilvl w:val="0"/>
          <w:numId w:val="7"/>
        </w:numPr>
        <w:spacing w:line="360" w:lineRule="auto"/>
        <w:ind w:firstLine="480" w:firstLineChars="200"/>
        <w:rPr>
          <w:rFonts w:hint="default" w:ascii="Times New Roman" w:hAnsi="Times New Roman" w:cs="Times New Roman"/>
          <w:sz w:val="24"/>
          <w:szCs w:val="24"/>
          <w:highlight w:val="none"/>
          <w:lang w:eastAsia="zh-CN"/>
        </w:rPr>
      </w:pPr>
      <w:r>
        <w:rPr>
          <w:rFonts w:hint="eastAsia" w:ascii="Times New Roman" w:hAnsi="Times New Roman" w:eastAsia="宋体" w:cs="Times New Roman"/>
          <w:color w:val="000000"/>
          <w:sz w:val="24"/>
          <w:szCs w:val="24"/>
          <w:highlight w:val="none"/>
          <w:lang w:val="en-US" w:eastAsia="zh-CN" w:bidi="ar"/>
        </w:rPr>
        <w:t>《鄂州鸿泰钢铁有限公司疑似污染地块布点（采样测试）方案》（湖北省环境科学研究院，2020年5月）</w:t>
      </w:r>
      <w:r>
        <w:rPr>
          <w:rFonts w:hint="eastAsia" w:cs="Times New Roman"/>
          <w:color w:val="000000"/>
          <w:sz w:val="24"/>
          <w:szCs w:val="24"/>
          <w:highlight w:val="none"/>
          <w:lang w:val="en-US" w:eastAsia="zh-CN" w:bidi="ar"/>
        </w:rPr>
        <w:t>；</w:t>
      </w:r>
    </w:p>
    <w:p w14:paraId="1AA08126">
      <w:pPr>
        <w:numPr>
          <w:ilvl w:val="0"/>
          <w:numId w:val="7"/>
        </w:numPr>
        <w:spacing w:line="360" w:lineRule="auto"/>
        <w:ind w:firstLine="480" w:firstLineChars="200"/>
        <w:rPr>
          <w:rFonts w:hint="default" w:ascii="Times New Roman" w:hAnsi="Times New Roman" w:cs="Times New Roman"/>
          <w:sz w:val="24"/>
          <w:szCs w:val="24"/>
          <w:highlight w:val="none"/>
          <w:lang w:eastAsia="zh-CN"/>
        </w:rPr>
      </w:pPr>
      <w:r>
        <w:rPr>
          <w:rFonts w:hint="eastAsia" w:ascii="Times New Roman" w:hAnsi="Times New Roman" w:eastAsia="宋体" w:cs="Times New Roman"/>
          <w:color w:val="000000"/>
          <w:sz w:val="24"/>
          <w:szCs w:val="24"/>
          <w:highlight w:val="none"/>
          <w:lang w:val="en-US" w:eastAsia="zh-CN" w:bidi="ar"/>
        </w:rPr>
        <w:t>《中国土壤元素背景值》（国家环境保护局 主持, 中国环境监测总站 主编. 中国土壤元素背景值[J]. 1990.）。</w:t>
      </w:r>
    </w:p>
    <w:p w14:paraId="0BE6539F">
      <w:pPr>
        <w:numPr>
          <w:ilvl w:val="0"/>
          <w:numId w:val="7"/>
        </w:numPr>
        <w:ind w:firstLine="480" w:firstLineChars="200"/>
        <w:rPr>
          <w:color w:val="000000"/>
          <w:highlight w:val="none"/>
        </w:rPr>
      </w:pPr>
      <w:r>
        <w:rPr>
          <w:rFonts w:hint="eastAsia" w:eastAsiaTheme="minorEastAsia"/>
          <w:bCs/>
          <w:highlight w:val="none"/>
        </w:rPr>
        <w:t>《湖北省地下水污染防治规划实施方案（2011-2020年）》</w:t>
      </w:r>
      <w:r>
        <w:rPr>
          <w:rFonts w:hint="eastAsia" w:eastAsiaTheme="minorEastAsia"/>
          <w:color w:val="000000"/>
          <w:highlight w:val="none"/>
          <w:lang w:eastAsia="zh-CN"/>
        </w:rPr>
        <w:t>；</w:t>
      </w:r>
    </w:p>
    <w:p w14:paraId="29F1A89A">
      <w:pPr>
        <w:numPr>
          <w:ilvl w:val="0"/>
          <w:numId w:val="7"/>
        </w:numPr>
        <w:ind w:firstLine="480" w:firstLineChars="200"/>
        <w:rPr>
          <w:color w:val="000000"/>
          <w:highlight w:val="none"/>
        </w:rPr>
      </w:pPr>
      <w:r>
        <w:rPr>
          <w:rFonts w:hint="eastAsia" w:eastAsiaTheme="minorEastAsia"/>
          <w:color w:val="000000"/>
          <w:highlight w:val="none"/>
          <w:lang w:val="en-US" w:eastAsia="zh-CN"/>
        </w:rPr>
        <w:t xml:space="preserve"> 其他资料。</w:t>
      </w:r>
    </w:p>
    <w:p w14:paraId="0B1B13AF">
      <w:pPr>
        <w:pStyle w:val="4"/>
        <w:tabs>
          <w:tab w:val="left" w:leader="dot" w:pos="0"/>
          <w:tab w:val="clear" w:pos="567"/>
        </w:tabs>
        <w:rPr>
          <w:rFonts w:hint="default" w:ascii="Times New Roman" w:hAnsi="Times New Roman" w:cs="Times New Roman"/>
          <w:color w:val="000000" w:themeColor="text1"/>
          <w:highlight w:val="none"/>
          <w14:textFill>
            <w14:solidFill>
              <w14:schemeClr w14:val="tx1"/>
            </w14:solidFill>
          </w14:textFill>
        </w:rPr>
      </w:pPr>
      <w:bookmarkStart w:id="8" w:name="_Toc6856"/>
      <w:r>
        <w:rPr>
          <w:rFonts w:hint="default" w:ascii="Times New Roman" w:hAnsi="Times New Roman" w:cs="Times New Roman"/>
          <w:color w:val="000000" w:themeColor="text1"/>
          <w:highlight w:val="none"/>
          <w:lang w:eastAsia="zh-CN"/>
          <w14:textFill>
            <w14:solidFill>
              <w14:schemeClr w14:val="tx1"/>
            </w14:solidFill>
          </w14:textFill>
        </w:rPr>
        <w:t>调查方法</w:t>
      </w:r>
      <w:bookmarkEnd w:id="8"/>
    </w:p>
    <w:p w14:paraId="403C16C4">
      <w:pPr>
        <w:spacing w:line="360" w:lineRule="auto"/>
        <w:ind w:firstLine="480" w:firstLineChars="200"/>
        <w:rPr>
          <w:rFonts w:hint="default" w:ascii="Times New Roman" w:hAnsi="Times New Roman" w:cs="Times New Roman"/>
          <w:color w:val="000000" w:themeColor="text1"/>
          <w:kern w:val="0"/>
          <w:sz w:val="24"/>
          <w:highlight w:val="none"/>
          <w:lang w:eastAsia="zh-CN"/>
          <w14:textFill>
            <w14:solidFill>
              <w14:schemeClr w14:val="tx1"/>
            </w14:solidFill>
          </w14:textFill>
        </w:rPr>
      </w:pPr>
      <w:r>
        <w:rPr>
          <w:rFonts w:hint="default" w:ascii="Times New Roman" w:hAnsi="Times New Roman" w:cs="Times New Roman"/>
          <w:sz w:val="24"/>
          <w:highlight w:val="none"/>
          <w:lang w:eastAsia="zh-CN"/>
        </w:rPr>
        <w:t>参考</w:t>
      </w:r>
      <w:r>
        <w:rPr>
          <w:rFonts w:hint="default" w:ascii="Times New Roman" w:hAnsi="Times New Roman" w:cs="Times New Roman"/>
          <w:sz w:val="24"/>
          <w:highlight w:val="none"/>
        </w:rPr>
        <w:t>《建设用地土壤污染状况调查技术导则》（HJ25.1-2019）、</w:t>
      </w:r>
      <w:r>
        <w:rPr>
          <w:rFonts w:hint="default" w:ascii="Times New Roman" w:hAnsi="Times New Roman" w:cs="Times New Roman"/>
          <w:color w:val="000000" w:themeColor="text1"/>
          <w:kern w:val="0"/>
          <w:sz w:val="24"/>
          <w:highlight w:val="none"/>
          <w:lang w:eastAsia="zh-CN"/>
          <w14:textFill>
            <w14:solidFill>
              <w14:schemeClr w14:val="tx1"/>
            </w14:solidFill>
          </w14:textFill>
        </w:rPr>
        <w:t>《重点区域土壤环境质量监测风险点位布设方法》（环办监测函（</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2016</w:t>
      </w:r>
      <w:r>
        <w:rPr>
          <w:rFonts w:hint="default" w:ascii="Times New Roman" w:hAnsi="Times New Roman" w:cs="Times New Roman"/>
          <w:color w:val="000000" w:themeColor="text1"/>
          <w:kern w:val="0"/>
          <w:sz w:val="24"/>
          <w:highlight w:val="none"/>
          <w:lang w:eastAsia="zh-CN"/>
          <w14:textFill>
            <w14:solidFill>
              <w14:schemeClr w14:val="tx1"/>
            </w14:solidFill>
          </w14:textFill>
        </w:rPr>
        <w:t>）</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1号</w:t>
      </w:r>
      <w:r>
        <w:rPr>
          <w:rFonts w:hint="default" w:ascii="Times New Roman" w:hAnsi="Times New Roman" w:cs="Times New Roman"/>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t>《四川省土壤污染重点监管单位和工业园区周边土壤环境监督性监测工作方案》（川环办函〔2018〕547号），本次调查</w:t>
      </w:r>
      <w:r>
        <w:rPr>
          <w:rFonts w:hint="default" w:ascii="Times New Roman" w:hAnsi="Times New Roman" w:cs="Times New Roman"/>
          <w:color w:val="000000" w:themeColor="text1"/>
          <w:kern w:val="0"/>
          <w:sz w:val="24"/>
          <w:highlight w:val="none"/>
          <w:lang w:eastAsia="zh-CN"/>
          <w14:textFill>
            <w14:solidFill>
              <w14:schemeClr w14:val="tx1"/>
            </w14:solidFill>
          </w14:textFill>
        </w:rPr>
        <w:t>主要分为两个阶段。</w:t>
      </w:r>
    </w:p>
    <w:p w14:paraId="20565BE6">
      <w:pPr>
        <w:spacing w:line="360" w:lineRule="auto"/>
        <w:ind w:firstLine="480" w:firstLineChars="200"/>
        <w:rPr>
          <w:rFonts w:hint="default" w:ascii="Times New Roman" w:hAnsi="Times New Roman" w:cs="Times New Roman" w:eastAsiaTheme="minorEastAsia"/>
          <w:color w:val="auto"/>
          <w:sz w:val="24"/>
          <w:highlight w:val="none"/>
          <w:shd w:val="clear" w:color="auto" w:fill="auto"/>
          <w:lang w:eastAsia="zh-CN"/>
        </w:rPr>
      </w:pPr>
      <w:r>
        <w:rPr>
          <w:rFonts w:hint="default" w:ascii="Times New Roman" w:hAnsi="Times New Roman" w:cs="Times New Roman"/>
          <w:sz w:val="24"/>
          <w:highlight w:val="none"/>
          <w:lang w:eastAsia="zh-CN"/>
        </w:rPr>
        <w:t>第一阶段，前期准备阶段，是以资料收集、现场踏勘为主的前期调研阶段。主要针对</w:t>
      </w:r>
      <w:r>
        <w:rPr>
          <w:rFonts w:hint="default" w:ascii="Times New Roman" w:hAnsi="Times New Roman" w:cs="Times New Roman" w:eastAsiaTheme="minorEastAsia"/>
          <w:color w:val="auto"/>
          <w:sz w:val="24"/>
          <w:szCs w:val="24"/>
          <w:highlight w:val="none"/>
          <w:shd w:val="clear" w:color="auto" w:fill="auto"/>
          <w:lang w:val="en-US" w:eastAsia="zh-CN"/>
        </w:rPr>
        <w:t>华容创业园</w:t>
      </w:r>
      <w:r>
        <w:rPr>
          <w:rFonts w:hint="default" w:ascii="Times New Roman" w:hAnsi="Times New Roman" w:cs="Times New Roman" w:eastAsiaTheme="minorEastAsia"/>
          <w:color w:val="auto"/>
          <w:sz w:val="24"/>
          <w:highlight w:val="none"/>
          <w:shd w:val="clear" w:color="auto" w:fill="auto"/>
          <w:lang w:eastAsia="zh-CN"/>
        </w:rPr>
        <w:t>的规划定位、产业结构及布局、开发情况进行调查分析，初步判断工业园和园区内</w:t>
      </w:r>
      <w:r>
        <w:rPr>
          <w:rFonts w:hint="default" w:ascii="Times New Roman" w:hAnsi="Times New Roman" w:cs="Times New Roman"/>
          <w:color w:val="auto"/>
          <w:kern w:val="0"/>
          <w:sz w:val="24"/>
          <w:highlight w:val="none"/>
          <w:lang w:eastAsia="zh-CN"/>
        </w:rPr>
        <w:t>已建成企业聚集区</w:t>
      </w:r>
      <w:r>
        <w:rPr>
          <w:rFonts w:hint="eastAsia" w:cs="Times New Roman"/>
          <w:color w:val="auto"/>
          <w:kern w:val="0"/>
          <w:sz w:val="24"/>
          <w:highlight w:val="none"/>
          <w:lang w:val="en-US" w:eastAsia="zh-CN"/>
        </w:rPr>
        <w:t>是否存在</w:t>
      </w:r>
      <w:r>
        <w:rPr>
          <w:rFonts w:hint="default" w:ascii="Times New Roman" w:hAnsi="Times New Roman" w:cs="Times New Roman" w:eastAsiaTheme="minorEastAsia"/>
          <w:color w:val="auto"/>
          <w:sz w:val="24"/>
          <w:highlight w:val="none"/>
          <w:shd w:val="clear" w:color="auto" w:fill="auto"/>
          <w:lang w:eastAsia="zh-CN"/>
        </w:rPr>
        <w:t>对周边土壤产生污染的</w:t>
      </w:r>
      <w:r>
        <w:rPr>
          <w:rFonts w:hint="eastAsia" w:cs="Times New Roman" w:eastAsiaTheme="minorEastAsia"/>
          <w:color w:val="auto"/>
          <w:sz w:val="24"/>
          <w:highlight w:val="none"/>
          <w:shd w:val="clear" w:color="auto" w:fill="auto"/>
          <w:lang w:val="en-US" w:eastAsia="zh-CN"/>
        </w:rPr>
        <w:t>污染源，若有</w:t>
      </w:r>
      <w:r>
        <w:rPr>
          <w:rFonts w:ascii="宋体" w:hAnsi="宋体" w:eastAsia="宋体" w:cs="宋体"/>
          <w:sz w:val="24"/>
          <w:szCs w:val="24"/>
          <w:highlight w:val="none"/>
        </w:rPr>
        <w:t>说明可能的污染类型、污染状况和来源</w:t>
      </w:r>
      <w:r>
        <w:rPr>
          <w:rFonts w:hint="default" w:ascii="Times New Roman" w:hAnsi="Times New Roman" w:cs="Times New Roman" w:eastAsiaTheme="minorEastAsia"/>
          <w:color w:val="auto"/>
          <w:sz w:val="24"/>
          <w:highlight w:val="none"/>
          <w:shd w:val="clear" w:color="auto" w:fill="auto"/>
          <w:lang w:eastAsia="zh-CN"/>
        </w:rPr>
        <w:t>。</w:t>
      </w:r>
    </w:p>
    <w:p w14:paraId="6F109D12">
      <w:pPr>
        <w:spacing w:line="360" w:lineRule="auto"/>
        <w:ind w:firstLine="480" w:firstLineChars="200"/>
        <w:rPr>
          <w:rFonts w:hint="default" w:ascii="Times New Roman" w:hAnsi="Times New Roman" w:cs="Times New Roman"/>
          <w:sz w:val="24"/>
          <w:highlight w:val="none"/>
        </w:rPr>
      </w:pPr>
      <w:r>
        <w:rPr>
          <w:rFonts w:hint="default" w:ascii="Times New Roman" w:hAnsi="Times New Roman" w:cs="Times New Roman" w:eastAsiaTheme="minorEastAsia"/>
          <w:color w:val="auto"/>
          <w:sz w:val="24"/>
          <w:highlight w:val="none"/>
          <w:shd w:val="clear" w:color="auto" w:fill="auto"/>
          <w:lang w:eastAsia="zh-CN"/>
        </w:rPr>
        <w:t>第二阶段，</w:t>
      </w:r>
      <w:r>
        <w:rPr>
          <w:rFonts w:hint="default" w:ascii="Times New Roman" w:hAnsi="Times New Roman" w:cs="Times New Roman" w:eastAsiaTheme="minorEastAsia"/>
          <w:color w:val="000000"/>
          <w:sz w:val="24"/>
          <w:highlight w:val="none"/>
          <w:lang w:eastAsia="zh-CN"/>
        </w:rPr>
        <w:t>工业园周边土壤</w:t>
      </w:r>
      <w:r>
        <w:rPr>
          <w:rFonts w:hint="default" w:ascii="Times New Roman" w:hAnsi="Times New Roman" w:cs="Times New Roman"/>
          <w:color w:val="000000"/>
          <w:sz w:val="24"/>
          <w:highlight w:val="none"/>
        </w:rPr>
        <w:t>环境初步调查</w:t>
      </w:r>
      <w:r>
        <w:rPr>
          <w:rFonts w:hint="default" w:ascii="Times New Roman" w:hAnsi="Times New Roman" w:cs="Times New Roman"/>
          <w:color w:val="000000"/>
          <w:sz w:val="24"/>
          <w:highlight w:val="none"/>
          <w:lang w:eastAsia="zh-CN"/>
        </w:rPr>
        <w:t>阶段</w:t>
      </w:r>
      <w:r>
        <w:rPr>
          <w:rFonts w:hint="default" w:ascii="Times New Roman" w:hAnsi="Times New Roman" w:cs="Times New Roman"/>
          <w:color w:val="000000"/>
          <w:sz w:val="24"/>
          <w:highlight w:val="none"/>
        </w:rPr>
        <w:t>，是以采样与分析为主的污染证实阶段</w:t>
      </w:r>
      <w:r>
        <w:rPr>
          <w:rFonts w:hint="default" w:ascii="Times New Roman" w:hAnsi="Times New Roman" w:cs="Times New Roman" w:eastAsiaTheme="minorEastAsia"/>
          <w:color w:val="auto"/>
          <w:sz w:val="24"/>
          <w:highlight w:val="none"/>
          <w:shd w:val="clear" w:color="auto" w:fill="auto"/>
          <w:lang w:eastAsia="zh-CN"/>
        </w:rPr>
        <w:t>。</w:t>
      </w:r>
      <w:r>
        <w:rPr>
          <w:rFonts w:hint="default" w:ascii="Times New Roman" w:hAnsi="Times New Roman" w:cs="Times New Roman"/>
          <w:color w:val="000000"/>
          <w:sz w:val="24"/>
          <w:highlight w:val="none"/>
        </w:rPr>
        <w:t>将在第一阶段查表明</w:t>
      </w:r>
      <w:r>
        <w:rPr>
          <w:rFonts w:hint="default" w:ascii="Times New Roman" w:hAnsi="Times New Roman" w:cs="Times New Roman"/>
          <w:color w:val="000000"/>
          <w:sz w:val="24"/>
          <w:highlight w:val="none"/>
          <w:lang w:eastAsia="zh-CN"/>
        </w:rPr>
        <w:t>工业园和园内已建成企业聚集区的</w:t>
      </w:r>
      <w:r>
        <w:rPr>
          <w:rFonts w:hint="default" w:ascii="Times New Roman" w:hAnsi="Times New Roman" w:cs="Times New Roman"/>
          <w:color w:val="000000"/>
          <w:sz w:val="24"/>
          <w:highlight w:val="none"/>
        </w:rPr>
        <w:t>周围区域存在可能的污染源的基础上</w:t>
      </w:r>
      <w:r>
        <w:rPr>
          <w:rFonts w:hint="default" w:ascii="Times New Roman" w:hAnsi="Times New Roman" w:cs="Times New Roman"/>
          <w:color w:val="000000"/>
          <w:sz w:val="24"/>
          <w:highlight w:val="none"/>
          <w:lang w:eastAsia="zh-CN"/>
        </w:rPr>
        <w:t>，进行现场采样和实验室分析，</w:t>
      </w:r>
      <w:r>
        <w:rPr>
          <w:rFonts w:hint="default" w:ascii="Times New Roman" w:hAnsi="Times New Roman" w:cs="Times New Roman"/>
          <w:color w:val="000000"/>
          <w:sz w:val="24"/>
          <w:highlight w:val="none"/>
        </w:rPr>
        <w:t>以确定污染种类</w:t>
      </w:r>
      <w:r>
        <w:rPr>
          <w:rFonts w:hint="default" w:ascii="Times New Roman" w:hAnsi="Times New Roman" w:cs="Times New Roman"/>
          <w:color w:val="000000"/>
          <w:sz w:val="24"/>
          <w:highlight w:val="none"/>
          <w:lang w:eastAsia="zh-CN"/>
        </w:rPr>
        <w:t>和程度，并对土壤污染状况进行分析评估，提出下一步污染防治工作建议。</w:t>
      </w:r>
    </w:p>
    <w:p w14:paraId="2653CA01">
      <w:pPr>
        <w:spacing w:line="360" w:lineRule="auto"/>
        <w:jc w:val="center"/>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eastAsia="宋体" w:cs="Times New Roman"/>
          <w:color w:val="000000" w:themeColor="text1"/>
          <w:highlight w:val="none"/>
          <w:lang w:eastAsia="zh-CN"/>
          <w14:textFill>
            <w14:solidFill>
              <w14:schemeClr w14:val="tx1"/>
            </w14:solidFill>
          </w14:textFill>
        </w:rPr>
        <w:drawing>
          <wp:inline distT="0" distB="0" distL="114300" distR="114300">
            <wp:extent cx="4556760" cy="6229350"/>
            <wp:effectExtent l="19050" t="19050" r="34290" b="19050"/>
            <wp:docPr id="10" name="图片 10" descr="未命名文件(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未命名文件(1)"/>
                    <pic:cNvPicPr>
                      <a:picLocks noChangeAspect="1"/>
                    </pic:cNvPicPr>
                  </pic:nvPicPr>
                  <pic:blipFill>
                    <a:blip r:embed="rId22"/>
                    <a:stretch>
                      <a:fillRect/>
                    </a:stretch>
                  </pic:blipFill>
                  <pic:spPr>
                    <a:xfrm>
                      <a:off x="0" y="0"/>
                      <a:ext cx="4556760" cy="6229350"/>
                    </a:xfrm>
                    <a:prstGeom prst="rect">
                      <a:avLst/>
                    </a:prstGeom>
                    <a:ln w="19050" cmpd="sng">
                      <a:solidFill>
                        <a:schemeClr val="tx1"/>
                      </a:solidFill>
                      <a:prstDash val="solid"/>
                    </a:ln>
                  </pic:spPr>
                </pic:pic>
              </a:graphicData>
            </a:graphic>
          </wp:inline>
        </w:drawing>
      </w:r>
    </w:p>
    <w:p w14:paraId="6432324C">
      <w:pPr>
        <w:spacing w:line="360" w:lineRule="auto"/>
        <w:jc w:val="center"/>
        <w:rPr>
          <w:rFonts w:hint="default" w:ascii="Times New Roman" w:hAnsi="Times New Roman" w:eastAsia="黑体" w:cs="Times New Roman"/>
          <w:b/>
          <w:sz w:val="24"/>
          <w:highlight w:val="none"/>
          <w:lang w:eastAsia="zh-CN"/>
        </w:rPr>
        <w:sectPr>
          <w:headerReference r:id="rId8" w:type="default"/>
          <w:footerReference r:id="rId9" w:type="default"/>
          <w:pgSz w:w="11906" w:h="16838"/>
          <w:pgMar w:top="1134" w:right="1134" w:bottom="1134" w:left="1134"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r>
        <w:rPr>
          <w:rFonts w:hint="default" w:ascii="Times New Roman" w:hAnsi="Times New Roman" w:eastAsia="黑体" w:cs="Times New Roman"/>
          <w:b/>
          <w:sz w:val="24"/>
          <w:highlight w:val="none"/>
        </w:rPr>
        <w:t>图1-</w:t>
      </w:r>
      <w:r>
        <w:rPr>
          <w:rFonts w:hint="default" w:ascii="Times New Roman" w:hAnsi="Times New Roman" w:eastAsia="黑体" w:cs="Times New Roman"/>
          <w:b/>
          <w:sz w:val="24"/>
          <w:highlight w:val="none"/>
          <w:lang w:val="en-US" w:eastAsia="zh-CN"/>
        </w:rPr>
        <w:t>5</w:t>
      </w:r>
      <w:r>
        <w:rPr>
          <w:rFonts w:hint="default" w:ascii="Times New Roman" w:hAnsi="Times New Roman" w:eastAsia="黑体" w:cs="Times New Roman"/>
          <w:b/>
          <w:sz w:val="24"/>
          <w:highlight w:val="none"/>
        </w:rPr>
        <w:t xml:space="preserve">-1 </w:t>
      </w:r>
      <w:r>
        <w:rPr>
          <w:rFonts w:hint="default" w:ascii="Times New Roman" w:hAnsi="Times New Roman" w:eastAsia="黑体" w:cs="Times New Roman"/>
          <w:b/>
          <w:sz w:val="24"/>
          <w:highlight w:val="none"/>
          <w:lang w:eastAsia="zh-CN"/>
        </w:rPr>
        <w:t>调查方法流程示意图</w:t>
      </w:r>
    </w:p>
    <w:p w14:paraId="024380CE">
      <w:pPr>
        <w:pStyle w:val="3"/>
        <w:numPr>
          <w:ilvl w:val="0"/>
          <w:numId w:val="1"/>
        </w:numPr>
        <w:rPr>
          <w:rFonts w:hint="default" w:ascii="Times New Roman" w:hAnsi="Times New Roman" w:cs="Times New Roman"/>
          <w:color w:val="000000" w:themeColor="text1"/>
          <w:highlight w:val="none"/>
          <w14:textFill>
            <w14:solidFill>
              <w14:schemeClr w14:val="tx1"/>
            </w14:solidFill>
          </w14:textFill>
        </w:rPr>
      </w:pPr>
      <w:bookmarkStart w:id="9" w:name="_Toc29773"/>
      <w:r>
        <w:rPr>
          <w:rFonts w:hint="default" w:ascii="Times New Roman" w:hAnsi="Times New Roman" w:cs="Times New Roman"/>
          <w:color w:val="000000" w:themeColor="text1"/>
          <w:highlight w:val="none"/>
          <w:lang w:eastAsia="zh-CN"/>
          <w14:textFill>
            <w14:solidFill>
              <w14:schemeClr w14:val="tx1"/>
            </w14:solidFill>
          </w14:textFill>
        </w:rPr>
        <w:t>调查区域概况</w:t>
      </w:r>
      <w:bookmarkEnd w:id="9"/>
    </w:p>
    <w:p w14:paraId="0C7D20F8">
      <w:pPr>
        <w:pStyle w:val="4"/>
        <w:rPr>
          <w:rFonts w:hint="default" w:ascii="Times New Roman" w:hAnsi="Times New Roman" w:cs="Times New Roman"/>
          <w:color w:val="000000" w:themeColor="text1"/>
          <w:highlight w:val="none"/>
          <w14:textFill>
            <w14:solidFill>
              <w14:schemeClr w14:val="tx1"/>
            </w14:solidFill>
          </w14:textFill>
        </w:rPr>
      </w:pPr>
      <w:bookmarkStart w:id="10" w:name="_Toc10355"/>
      <w:bookmarkStart w:id="11" w:name="_Toc15371854"/>
      <w:r>
        <w:rPr>
          <w:rFonts w:hint="default" w:ascii="Times New Roman" w:hAnsi="Times New Roman" w:cs="Times New Roman"/>
          <w:color w:val="000000" w:themeColor="text1"/>
          <w:highlight w:val="none"/>
          <w:lang w:eastAsia="zh-CN"/>
          <w14:textFill>
            <w14:solidFill>
              <w14:schemeClr w14:val="tx1"/>
            </w14:solidFill>
          </w14:textFill>
        </w:rPr>
        <w:t>区域环境概况</w:t>
      </w:r>
      <w:bookmarkEnd w:id="10"/>
    </w:p>
    <w:p w14:paraId="3374659E">
      <w:pPr>
        <w:pStyle w:val="5"/>
        <w:bidi w:val="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地理位置</w:t>
      </w:r>
    </w:p>
    <w:p w14:paraId="752905B4">
      <w:pPr>
        <w:spacing w:line="360" w:lineRule="auto"/>
        <w:ind w:firstLine="480" w:firstLineChars="200"/>
        <w:rPr>
          <w:rFonts w:hint="default" w:ascii="Times New Roman" w:hAnsi="Times New Roman" w:cs="Times New Roman"/>
          <w:color w:val="000000" w:themeColor="text1"/>
          <w:kern w:val="0"/>
          <w:sz w:val="24"/>
          <w:highlight w:val="none"/>
          <w:lang w:eastAsia="zh-CN"/>
          <w14:textFill>
            <w14:solidFill>
              <w14:schemeClr w14:val="tx1"/>
            </w14:solidFill>
          </w14:textFill>
        </w:rPr>
      </w:pPr>
      <w:r>
        <w:rPr>
          <w:color w:val="000000" w:themeColor="text1"/>
          <w:kern w:val="0"/>
          <w:highlight w:val="none"/>
          <w14:textFill>
            <w14:solidFill>
              <w14:schemeClr w14:val="tx1"/>
            </w14:solidFill>
          </w14:textFill>
        </w:rPr>
        <w:t>鄂州市位于东经</w:t>
      </w:r>
      <w:r>
        <w:rPr>
          <w:rFonts w:hint="default" w:ascii="Times New Roman" w:hAnsi="Times New Roman" w:cs="Times New Roman"/>
          <w:color w:val="000000" w:themeColor="text1"/>
          <w:kern w:val="0"/>
          <w:highlight w:val="none"/>
          <w14:textFill>
            <w14:solidFill>
              <w14:schemeClr w14:val="tx1"/>
            </w14:solidFill>
          </w14:textFill>
        </w:rPr>
        <w:t>114</w:t>
      </w:r>
      <w:r>
        <w:rPr>
          <w:rFonts w:hint="default" w:ascii="Times New Roman" w:hAnsi="Times New Roman"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30</w:t>
      </w:r>
      <w:r>
        <w:rPr>
          <w:rFonts w:hint="default" w:ascii="Times New Roman" w:hAnsi="Times New Roman"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-115</w:t>
      </w:r>
      <w:r>
        <w:rPr>
          <w:rFonts w:hint="default" w:ascii="Times New Roman" w:hAnsi="Times New Roman"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05</w:t>
      </w:r>
      <w:r>
        <w:rPr>
          <w:rFonts w:hint="default" w:ascii="Times New Roman" w:hAnsi="Times New Roman"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，北纬30</w:t>
      </w:r>
      <w:r>
        <w:rPr>
          <w:rFonts w:hint="default" w:ascii="Times New Roman" w:hAnsi="Times New Roman"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01</w:t>
      </w:r>
      <w:r>
        <w:rPr>
          <w:rFonts w:hint="default" w:ascii="Times New Roman" w:hAnsi="Times New Roman"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-30</w:t>
      </w:r>
      <w:r>
        <w:rPr>
          <w:rFonts w:hint="default" w:ascii="Times New Roman" w:hAnsi="Times New Roman"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36</w:t>
      </w:r>
      <w:r>
        <w:rPr>
          <w:rFonts w:hint="default" w:ascii="Times New Roman" w:hAnsi="Times New Roman"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000000" w:themeColor="text1"/>
          <w:kern w:val="0"/>
          <w:sz w:val="24"/>
          <w:highlight w:val="none"/>
          <w:lang w:eastAsia="zh-CN"/>
          <w14:textFill>
            <w14:solidFill>
              <w14:schemeClr w14:val="tx1"/>
            </w14:solidFill>
          </w14:textFill>
        </w:rPr>
        <w:t>，湖北省东南部，长江中游南岸。西与武汉市的江夏区、洪山区接壤，东南与黄石市毗连，北临长江，自西向东分别与武汉市的新洲区和黄冈市的团风县、黄州区、浠水县等地隔江相望。整个地域在地图上近似“人”字形。全市地势东南高、西北低、中间较平，境内最高点四峰山海拔485.8米，最低点梁子湖海拔11.7米。</w:t>
      </w:r>
    </w:p>
    <w:p w14:paraId="2607E739">
      <w:pPr>
        <w:pStyle w:val="5"/>
        <w:bidi w:val="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地质地貌</w:t>
      </w:r>
    </w:p>
    <w:p w14:paraId="6D2F5442">
      <w:pPr>
        <w:spacing w:line="360" w:lineRule="auto"/>
        <w:ind w:firstLine="480" w:firstLineChars="200"/>
        <w:rPr>
          <w:rFonts w:hint="default" w:ascii="Times New Roman" w:hAnsi="Times New Roman" w:cs="Times New Roman"/>
          <w:color w:val="000000" w:themeColor="text1"/>
          <w:kern w:val="0"/>
          <w:sz w:val="24"/>
          <w:highlight w:val="none"/>
          <w:lang w:eastAsia="zh-CN"/>
          <w14:textFill>
            <w14:solidFill>
              <w14:schemeClr w14:val="tx1"/>
            </w14:solidFill>
          </w14:textFill>
        </w:rPr>
      </w:pPr>
      <w:r>
        <w:rPr>
          <w:rFonts w:hint="default" w:ascii="Times New Roman" w:hAnsi="Times New Roman" w:cs="Times New Roman"/>
          <w:color w:val="000000" w:themeColor="text1"/>
          <w:kern w:val="0"/>
          <w:sz w:val="24"/>
          <w:highlight w:val="none"/>
          <w:lang w:eastAsia="zh-CN"/>
          <w14:textFill>
            <w14:solidFill>
              <w14:schemeClr w14:val="tx1"/>
            </w14:solidFill>
          </w14:textFill>
        </w:rPr>
        <w:t>鄂州市属扬子准地台下扬子台坪中的三级构造单元－－大冶台褶带，跨太子庙台褶束和梁子湖凹陷两个四级构造单元。</w:t>
      </w:r>
    </w:p>
    <w:p w14:paraId="0CCA81F8">
      <w:pPr>
        <w:spacing w:line="360" w:lineRule="auto"/>
        <w:ind w:firstLine="480" w:firstLineChars="200"/>
        <w:rPr>
          <w:rFonts w:hint="default" w:ascii="Times New Roman" w:hAnsi="Times New Roman" w:cs="Times New Roman"/>
          <w:color w:val="000000" w:themeColor="text1"/>
          <w:kern w:val="0"/>
          <w:sz w:val="24"/>
          <w:highlight w:val="none"/>
          <w:lang w:eastAsia="zh-CN"/>
          <w14:textFill>
            <w14:solidFill>
              <w14:schemeClr w14:val="tx1"/>
            </w14:solidFill>
          </w14:textFill>
        </w:rPr>
      </w:pPr>
      <w:r>
        <w:rPr>
          <w:rFonts w:hint="default" w:ascii="Times New Roman" w:hAnsi="Times New Roman" w:cs="Times New Roman"/>
          <w:color w:val="000000" w:themeColor="text1"/>
          <w:kern w:val="0"/>
          <w:sz w:val="24"/>
          <w:highlight w:val="none"/>
          <w:lang w:eastAsia="zh-CN"/>
          <w14:textFill>
            <w14:solidFill>
              <w14:schemeClr w14:val="tx1"/>
            </w14:solidFill>
          </w14:textFill>
        </w:rPr>
        <w:t>鄂州市市域范围内出露的地层简单，分布的基岩地层，从下古生界志留系至新生界除缺失志留系上、下统、泥盆系中下统、石炭系下统、三叠系下统嘉陵江组和二叠系上统外，其余地层均有分布。侏罗系～白垩系下统主要出露在鄂州市的中部和梁子湖盆区，三叠系中至上统零星出露在南东部，志留系、泥盆系、石炭系和二叠系零星出露在市区的西山北侧临长江南侧一带。</w:t>
      </w:r>
    </w:p>
    <w:p w14:paraId="21991FC5">
      <w:pPr>
        <w:spacing w:line="360" w:lineRule="auto"/>
        <w:ind w:firstLine="480" w:firstLineChars="200"/>
        <w:rPr>
          <w:rFonts w:hint="default" w:ascii="Times New Roman" w:hAnsi="Times New Roman" w:cs="Times New Roman"/>
          <w:color w:val="000000" w:themeColor="text1"/>
          <w:kern w:val="0"/>
          <w:sz w:val="24"/>
          <w:highlight w:val="none"/>
          <w:lang w:eastAsia="zh-CN"/>
          <w14:textFill>
            <w14:solidFill>
              <w14:schemeClr w14:val="tx1"/>
            </w14:solidFill>
          </w14:textFill>
        </w:rPr>
      </w:pPr>
      <w:r>
        <w:rPr>
          <w:rFonts w:hint="default" w:ascii="Times New Roman" w:hAnsi="Times New Roman" w:cs="Times New Roman"/>
          <w:color w:val="000000" w:themeColor="text1"/>
          <w:kern w:val="0"/>
          <w:sz w:val="24"/>
          <w:highlight w:val="none"/>
          <w:lang w:eastAsia="zh-CN"/>
          <w14:textFill>
            <w14:solidFill>
              <w14:schemeClr w14:val="tx1"/>
            </w14:solidFill>
          </w14:textFill>
        </w:rPr>
        <w:t>石炭系上统～二叠系下统、三叠系下统，为本区三套碳酸盐岩。二叠系上统为海相含煤建造；志留系及泥盆系上统为滨海相碎屑岩建造；三叠系中、上统～侏罗系中统为海湾～湖相碎屑岩建造；侏罗系上统和白垩系下统为陆相火山碎屑岩建造；上白垩～第三系为陆相砂页岩沉积。新生界以松散堆积物为主。第四系松散层广泛分布，其中湖区与沿江地带最发育。</w:t>
      </w:r>
    </w:p>
    <w:p w14:paraId="3E9DA762">
      <w:pPr>
        <w:spacing w:line="360" w:lineRule="auto"/>
        <w:ind w:firstLine="480" w:firstLineChars="200"/>
        <w:rPr>
          <w:rFonts w:hint="default" w:ascii="Times New Roman" w:hAnsi="Times New Roman" w:cs="Times New Roman"/>
          <w:color w:val="000000" w:themeColor="text1"/>
          <w:kern w:val="0"/>
          <w:sz w:val="24"/>
          <w:highlight w:val="none"/>
          <w:lang w:eastAsia="zh-CN"/>
          <w14:textFill>
            <w14:solidFill>
              <w14:schemeClr w14:val="tx1"/>
            </w14:solidFill>
          </w14:textFill>
        </w:rPr>
      </w:pPr>
      <w:r>
        <w:rPr>
          <w:rFonts w:hint="default" w:ascii="Times New Roman" w:hAnsi="Times New Roman" w:cs="Times New Roman"/>
          <w:color w:val="000000" w:themeColor="text1"/>
          <w:kern w:val="0"/>
          <w:sz w:val="24"/>
          <w:highlight w:val="none"/>
          <w:lang w:eastAsia="zh-CN"/>
          <w14:textFill>
            <w14:solidFill>
              <w14:schemeClr w14:val="tx1"/>
            </w14:solidFill>
          </w14:textFill>
        </w:rPr>
        <w:t>鄂州市最高地势四峰山，海拔485.8m；最低梁子镇之梁子门，海拔11.7m。分布有四种类型的地貌单元：北侧白浒镇～临江、东侧燕矶～杨叶为长江冲积阶地；东部和南部之东侧，由白雉山、峰尖子山和早山组成了丘陵地貌之基本骨架；北部和南部之西侧，为岗状平原，岗丘标高多在90m左右；中部梁子湖、鸭儿湖、三山湖、洋澜湖横贯鄂州腹地，形成了滞水冲湖积平原。</w:t>
      </w:r>
    </w:p>
    <w:p w14:paraId="4188DCE8">
      <w:pPr>
        <w:pStyle w:val="5"/>
        <w:bidi w:val="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气象气候</w:t>
      </w:r>
    </w:p>
    <w:p w14:paraId="6279C04E">
      <w:pPr>
        <w:spacing w:line="360" w:lineRule="auto"/>
        <w:ind w:firstLine="480" w:firstLineChars="200"/>
        <w:rPr>
          <w:rFonts w:hint="default" w:ascii="Times New Roman" w:hAnsi="Times New Roman" w:cs="Times New Roman"/>
          <w:color w:val="000000" w:themeColor="text1"/>
          <w:kern w:val="0"/>
          <w:sz w:val="24"/>
          <w:highlight w:val="none"/>
          <w:lang w:eastAsia="zh-CN"/>
          <w14:textFill>
            <w14:solidFill>
              <w14:schemeClr w14:val="tx1"/>
            </w14:solidFill>
          </w14:textFill>
        </w:rPr>
      </w:pPr>
      <w:r>
        <w:rPr>
          <w:rFonts w:hint="default" w:ascii="Times New Roman" w:hAnsi="Times New Roman" w:cs="Times New Roman"/>
          <w:color w:val="000000" w:themeColor="text1"/>
          <w:kern w:val="0"/>
          <w:sz w:val="24"/>
          <w:highlight w:val="none"/>
          <w:lang w:eastAsia="zh-CN"/>
          <w14:textFill>
            <w14:solidFill>
              <w14:schemeClr w14:val="tx1"/>
            </w14:solidFill>
          </w14:textFill>
        </w:rPr>
        <w:t>鄂州市属亚热带季风气候区，季风气候明显，气候受我国东亚季风环流支配。冬冷夏热，四季分明，气温偏高变幅大；雨量充沛，梅雨明显，降水分布均衡，春秋季多阴雨，夏季降水明显偏少，易暴雨成灾；光照充足，多集中于7月；年均无霜期长，为250~300天。</w:t>
      </w:r>
    </w:p>
    <w:p w14:paraId="4C289027">
      <w:pPr>
        <w:spacing w:line="360" w:lineRule="auto"/>
        <w:ind w:firstLine="480" w:firstLineChars="200"/>
        <w:rPr>
          <w:rFonts w:hint="default" w:ascii="Times New Roman" w:hAnsi="Times New Roman" w:cs="Times New Roman"/>
          <w:color w:val="000000" w:themeColor="text1"/>
          <w:kern w:val="0"/>
          <w:sz w:val="24"/>
          <w:highlight w:val="none"/>
          <w:lang w:eastAsia="zh-CN"/>
          <w14:textFill>
            <w14:solidFill>
              <w14:schemeClr w14:val="tx1"/>
            </w14:solidFill>
          </w14:textFill>
        </w:rPr>
      </w:pPr>
      <w:r>
        <w:rPr>
          <w:rFonts w:hint="eastAsia"/>
          <w:highlight w:val="none"/>
        </w:rPr>
        <w:t>鄂州市秋、冬两季主导风向是偏北风，春、夏两季主导风向是偏东风。年均降雨量1282.8毫米，年均日照2003.8小时，年均无霜期266天，平均气温17℃，最高气温40.7℃，最低气温-12.4℃。</w:t>
      </w:r>
    </w:p>
    <w:p w14:paraId="7BF13F88">
      <w:pPr>
        <w:pStyle w:val="5"/>
        <w:bidi w:val="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水文水资源</w:t>
      </w:r>
    </w:p>
    <w:p w14:paraId="5D9879C3">
      <w:pPr>
        <w:spacing w:line="360" w:lineRule="auto"/>
        <w:ind w:firstLine="480" w:firstLineChars="200"/>
        <w:jc w:val="left"/>
        <w:rPr>
          <w:rFonts w:hint="default" w:ascii="Times New Roman" w:hAnsi="Times New Roman" w:cs="Times New Roman" w:eastAsiaTheme="minorEastAsia"/>
          <w:color w:val="auto"/>
          <w:sz w:val="24"/>
          <w:szCs w:val="24"/>
          <w:highlight w:val="none"/>
          <w:shd w:val="clear" w:color="auto" w:fill="auto"/>
        </w:rPr>
      </w:pPr>
      <w:r>
        <w:rPr>
          <w:rFonts w:hint="default" w:ascii="Times New Roman" w:hAnsi="Times New Roman" w:cs="Times New Roman" w:eastAsiaTheme="minorEastAsia"/>
          <w:color w:val="auto"/>
          <w:sz w:val="24"/>
          <w:szCs w:val="24"/>
          <w:highlight w:val="none"/>
          <w:shd w:val="clear" w:color="auto" w:fill="auto"/>
        </w:rPr>
        <w:t>鄂州市位于长江中游南岸，境内河流星罗棋布，河道交叉纵横，素有“百湖之市”的美称。城区为河流所环绕，地表水体主要有北面的长江、西面的新港、长港，城区内的洋澜湖及市内零星分布的湖、水塘，地表水资源相当丰富。</w:t>
      </w:r>
    </w:p>
    <w:p w14:paraId="371075BA">
      <w:pPr>
        <w:spacing w:line="360" w:lineRule="auto"/>
        <w:ind w:firstLine="480" w:firstLineChars="200"/>
        <w:jc w:val="left"/>
        <w:rPr>
          <w:rFonts w:hint="default" w:ascii="Times New Roman" w:hAnsi="Times New Roman" w:cs="Times New Roman" w:eastAsiaTheme="minorEastAsia"/>
          <w:color w:val="auto"/>
          <w:sz w:val="24"/>
          <w:szCs w:val="24"/>
          <w:highlight w:val="none"/>
          <w:shd w:val="clear" w:color="auto" w:fill="auto"/>
        </w:rPr>
      </w:pPr>
      <w:r>
        <w:rPr>
          <w:rFonts w:hint="default" w:ascii="Times New Roman" w:hAnsi="Times New Roman" w:cs="Times New Roman" w:eastAsiaTheme="minorEastAsia"/>
          <w:color w:val="auto"/>
          <w:sz w:val="24"/>
          <w:szCs w:val="24"/>
          <w:highlight w:val="none"/>
          <w:shd w:val="clear" w:color="auto" w:fill="auto"/>
        </w:rPr>
        <w:t>长江自西依市境而东流，在城区过境长约9km，河道较直，水深量大，江面宽约2000m，年平均流量23331m</w:t>
      </w:r>
      <w:r>
        <w:rPr>
          <w:rFonts w:hint="default" w:ascii="Times New Roman" w:hAnsi="Times New Roman" w:cs="Times New Roman" w:eastAsiaTheme="minorEastAsia"/>
          <w:color w:val="auto"/>
          <w:sz w:val="24"/>
          <w:szCs w:val="24"/>
          <w:highlight w:val="none"/>
          <w:shd w:val="clear" w:color="auto" w:fill="auto"/>
          <w:vertAlign w:val="superscript"/>
        </w:rPr>
        <w:t>3</w:t>
      </w:r>
      <w:r>
        <w:rPr>
          <w:rFonts w:hint="default" w:ascii="Times New Roman" w:hAnsi="Times New Roman" w:cs="Times New Roman" w:eastAsiaTheme="minorEastAsia"/>
          <w:color w:val="auto"/>
          <w:sz w:val="24"/>
          <w:szCs w:val="24"/>
          <w:highlight w:val="none"/>
          <w:shd w:val="clear" w:color="auto" w:fill="auto"/>
        </w:rPr>
        <w:t>/s，水位 17.37m</w:t>
      </w:r>
      <w:r>
        <w:rPr>
          <w:rFonts w:hint="eastAsia" w:cs="Times New Roman" w:eastAsiaTheme="minorEastAsia"/>
          <w:color w:val="auto"/>
          <w:sz w:val="24"/>
          <w:szCs w:val="24"/>
          <w:highlight w:val="none"/>
          <w:shd w:val="clear" w:color="auto" w:fill="auto"/>
          <w:lang w:eastAsia="zh-CN"/>
        </w:rPr>
        <w:t>；</w:t>
      </w:r>
      <w:r>
        <w:rPr>
          <w:rFonts w:hint="default" w:ascii="Times New Roman" w:hAnsi="Times New Roman" w:cs="Times New Roman" w:eastAsiaTheme="minorEastAsia"/>
          <w:color w:val="auto"/>
          <w:sz w:val="24"/>
          <w:szCs w:val="24"/>
          <w:highlight w:val="none"/>
          <w:shd w:val="clear" w:color="auto" w:fill="auto"/>
        </w:rPr>
        <w:t>丰水期流量39100m</w:t>
      </w:r>
      <w:r>
        <w:rPr>
          <w:rFonts w:hint="default" w:ascii="Times New Roman" w:hAnsi="Times New Roman" w:cs="Times New Roman" w:eastAsiaTheme="minorEastAsia"/>
          <w:color w:val="auto"/>
          <w:sz w:val="24"/>
          <w:szCs w:val="24"/>
          <w:highlight w:val="none"/>
          <w:shd w:val="clear" w:color="auto" w:fill="auto"/>
          <w:vertAlign w:val="superscript"/>
        </w:rPr>
        <w:t>3</w:t>
      </w:r>
      <w:r>
        <w:rPr>
          <w:rFonts w:hint="default" w:ascii="Times New Roman" w:hAnsi="Times New Roman" w:cs="Times New Roman" w:eastAsiaTheme="minorEastAsia"/>
          <w:color w:val="auto"/>
          <w:sz w:val="24"/>
          <w:szCs w:val="24"/>
          <w:highlight w:val="none"/>
          <w:shd w:val="clear" w:color="auto" w:fill="auto"/>
        </w:rPr>
        <w:t>/s，水位21.58m；枯水期平均流量 12076m</w:t>
      </w:r>
      <w:r>
        <w:rPr>
          <w:rFonts w:hint="default" w:ascii="Times New Roman" w:hAnsi="Times New Roman" w:cs="Times New Roman" w:eastAsiaTheme="minorEastAsia"/>
          <w:color w:val="auto"/>
          <w:sz w:val="24"/>
          <w:szCs w:val="24"/>
          <w:highlight w:val="none"/>
          <w:shd w:val="clear" w:color="auto" w:fill="auto"/>
          <w:vertAlign w:val="superscript"/>
        </w:rPr>
        <w:t>3</w:t>
      </w:r>
      <w:r>
        <w:rPr>
          <w:rFonts w:hint="default" w:ascii="Times New Roman" w:hAnsi="Times New Roman" w:cs="Times New Roman" w:eastAsiaTheme="minorEastAsia"/>
          <w:color w:val="auto"/>
          <w:sz w:val="24"/>
          <w:szCs w:val="24"/>
          <w:highlight w:val="none"/>
          <w:shd w:val="clear" w:color="auto" w:fill="auto"/>
        </w:rPr>
        <w:t>/s，水位 14.03m。鄂州市境内长江窄宽相间，单一性和弯曲型河段较窄，最小河宽870米，河宽最大达8000米。由于长江水量丰沛，汛期时间长，在多年的平均情况下，每年 5~10月为汛期，2~3月为枯水期，境内长江年平均水位17.20米，年平均流量为23800立方米/秒，年平均含沙量为0.586公斤/立方米，年平均输沙量为43000万吨。</w:t>
      </w:r>
    </w:p>
    <w:p w14:paraId="1E29DFB1">
      <w:pPr>
        <w:pStyle w:val="5"/>
        <w:tabs>
          <w:tab w:val="clear" w:pos="851"/>
        </w:tabs>
        <w:rPr>
          <w:rFonts w:hint="default" w:ascii="Times New Roman" w:hAnsi="Times New Roman" w:cs="Times New Roman"/>
          <w:highlight w:val="none"/>
        </w:rPr>
      </w:pPr>
      <w:r>
        <w:rPr>
          <w:rFonts w:hint="default" w:ascii="Times New Roman" w:hAnsi="Times New Roman" w:cs="Times New Roman"/>
          <w:highlight w:val="none"/>
        </w:rPr>
        <w:t>工程地质及水文地质概况</w:t>
      </w:r>
    </w:p>
    <w:p w14:paraId="7BC08338">
      <w:pPr>
        <w:autoSpaceDE w:val="0"/>
        <w:autoSpaceDN w:val="0"/>
        <w:adjustRightInd w:val="0"/>
        <w:spacing w:line="360" w:lineRule="auto"/>
        <w:ind w:firstLine="480" w:firstLineChars="200"/>
        <w:jc w:val="left"/>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lang w:eastAsia="zh-CN"/>
        </w:rPr>
        <w:t>鄂州富晶电子工业园</w:t>
      </w:r>
      <w:r>
        <w:rPr>
          <w:rFonts w:hint="eastAsia" w:cs="Times New Roman"/>
          <w:color w:val="000000"/>
          <w:sz w:val="24"/>
          <w:highlight w:val="none"/>
          <w:lang w:eastAsia="zh-CN"/>
        </w:rPr>
        <w:t>、</w:t>
      </w:r>
      <w:r>
        <w:rPr>
          <w:rFonts w:hint="default" w:ascii="Times New Roman" w:hAnsi="Times New Roman" w:cs="Times New Roman"/>
          <w:color w:val="000000"/>
          <w:sz w:val="24"/>
          <w:highlight w:val="none"/>
          <w:lang w:eastAsia="zh-CN"/>
        </w:rPr>
        <w:t>鄂州市鸿泰钢铁有限公司</w:t>
      </w:r>
      <w:r>
        <w:rPr>
          <w:rFonts w:hint="eastAsia" w:cs="Times New Roman"/>
          <w:color w:val="000000"/>
          <w:sz w:val="24"/>
          <w:highlight w:val="none"/>
          <w:lang w:eastAsia="zh-CN"/>
        </w:rPr>
        <w:t>分别位于本园区的西北角和东侧红线内，</w:t>
      </w:r>
      <w:r>
        <w:rPr>
          <w:rFonts w:hint="default" w:ascii="Times New Roman" w:hAnsi="Times New Roman" w:cs="Times New Roman"/>
          <w:color w:val="000000"/>
          <w:sz w:val="24"/>
          <w:highlight w:val="none"/>
        </w:rPr>
        <w:t>本报告引用《</w:t>
      </w:r>
      <w:r>
        <w:rPr>
          <w:rFonts w:hint="default" w:ascii="Times New Roman" w:hAnsi="Times New Roman" w:cs="Times New Roman"/>
          <w:color w:val="000000"/>
          <w:sz w:val="24"/>
          <w:highlight w:val="none"/>
          <w:lang w:eastAsia="zh-CN"/>
        </w:rPr>
        <w:t>鄂州富晶电子工业园岩土工程勘察报告</w:t>
      </w:r>
      <w:r>
        <w:rPr>
          <w:rFonts w:hint="default" w:ascii="Times New Roman" w:hAnsi="Times New Roman" w:cs="Times New Roman"/>
          <w:color w:val="000000"/>
          <w:sz w:val="24"/>
          <w:highlight w:val="none"/>
        </w:rPr>
        <w:t>》（</w:t>
      </w:r>
      <w:r>
        <w:rPr>
          <w:rFonts w:hint="default" w:ascii="Times New Roman" w:hAnsi="Times New Roman" w:cs="Times New Roman"/>
          <w:color w:val="000000"/>
          <w:sz w:val="24"/>
          <w:highlight w:val="none"/>
          <w:lang w:eastAsia="zh-CN"/>
        </w:rPr>
        <w:t>鄂州市勘测院，</w:t>
      </w:r>
      <w:r>
        <w:rPr>
          <w:rFonts w:hint="default" w:ascii="Times New Roman" w:hAnsi="Times New Roman" w:cs="Times New Roman"/>
          <w:color w:val="000000"/>
          <w:sz w:val="24"/>
          <w:highlight w:val="none"/>
          <w:lang w:val="en-US" w:eastAsia="zh-CN"/>
        </w:rPr>
        <w:t>2007年7月30日</w:t>
      </w:r>
      <w:r>
        <w:rPr>
          <w:rFonts w:hint="default" w:ascii="Times New Roman" w:hAnsi="Times New Roman" w:cs="Times New Roman"/>
          <w:color w:val="000000"/>
          <w:sz w:val="24"/>
          <w:highlight w:val="none"/>
        </w:rPr>
        <w:t>）（以下简称</w:t>
      </w:r>
      <w:r>
        <w:rPr>
          <w:rFonts w:hint="eastAsia" w:ascii="Times New Roman" w:hAnsi="Times New Roman" w:cs="Times New Roman"/>
          <w:color w:val="000000"/>
          <w:sz w:val="24"/>
          <w:highlight w:val="none"/>
          <w:lang w:eastAsia="zh-CN"/>
        </w:rPr>
        <w:t>“</w:t>
      </w:r>
      <w:r>
        <w:rPr>
          <w:rFonts w:hint="default" w:ascii="Times New Roman" w:hAnsi="Times New Roman" w:cs="Times New Roman"/>
          <w:color w:val="000000"/>
          <w:sz w:val="24"/>
          <w:highlight w:val="none"/>
          <w:lang w:eastAsia="zh-CN"/>
        </w:rPr>
        <w:t>富晶电子</w:t>
      </w:r>
      <w:r>
        <w:rPr>
          <w:rFonts w:hint="default" w:ascii="Times New Roman" w:hAnsi="Times New Roman" w:cs="Times New Roman"/>
          <w:color w:val="000000"/>
          <w:sz w:val="24"/>
          <w:highlight w:val="none"/>
        </w:rPr>
        <w:t>地勘报告</w:t>
      </w:r>
      <w:r>
        <w:rPr>
          <w:rFonts w:hint="eastAsia" w:ascii="Times New Roman" w:hAnsi="Times New Roman" w:cs="Times New Roman"/>
          <w:color w:val="000000"/>
          <w:sz w:val="24"/>
          <w:highlight w:val="none"/>
          <w:lang w:eastAsia="zh-CN"/>
        </w:rPr>
        <w:t>”</w:t>
      </w:r>
      <w:r>
        <w:rPr>
          <w:rFonts w:hint="default" w:ascii="Times New Roman" w:hAnsi="Times New Roman" w:cs="Times New Roman"/>
          <w:color w:val="000000"/>
          <w:sz w:val="24"/>
          <w:highlight w:val="none"/>
        </w:rPr>
        <w:t>）</w:t>
      </w:r>
      <w:r>
        <w:rPr>
          <w:rFonts w:hint="default" w:ascii="Times New Roman" w:hAnsi="Times New Roman" w:cs="Times New Roman"/>
          <w:color w:val="000000"/>
          <w:sz w:val="24"/>
          <w:highlight w:val="none"/>
          <w:lang w:eastAsia="zh-CN"/>
        </w:rPr>
        <w:t>和《鄂州市鸿泰钢铁有限公司厂房岩土工程续勘报告》</w:t>
      </w:r>
      <w:r>
        <w:rPr>
          <w:rFonts w:hint="default" w:ascii="Times New Roman" w:hAnsi="Times New Roman" w:cs="Times New Roman"/>
          <w:color w:val="000000"/>
          <w:sz w:val="24"/>
          <w:highlight w:val="none"/>
        </w:rPr>
        <w:t>（</w:t>
      </w:r>
      <w:r>
        <w:rPr>
          <w:rFonts w:hint="default" w:ascii="Times New Roman" w:hAnsi="Times New Roman" w:cs="Times New Roman"/>
          <w:color w:val="000000"/>
          <w:sz w:val="24"/>
          <w:highlight w:val="none"/>
          <w:lang w:eastAsia="zh-CN"/>
        </w:rPr>
        <w:t>鄂州市勘测院，</w:t>
      </w:r>
      <w:r>
        <w:rPr>
          <w:rFonts w:hint="default" w:ascii="Times New Roman" w:hAnsi="Times New Roman" w:cs="Times New Roman"/>
          <w:color w:val="000000"/>
          <w:sz w:val="24"/>
          <w:highlight w:val="none"/>
          <w:lang w:val="en-US" w:eastAsia="zh-CN"/>
        </w:rPr>
        <w:t>2003年7月31日</w:t>
      </w:r>
      <w:r>
        <w:rPr>
          <w:rFonts w:hint="default" w:ascii="Times New Roman" w:hAnsi="Times New Roman" w:cs="Times New Roman"/>
          <w:color w:val="000000"/>
          <w:sz w:val="24"/>
          <w:highlight w:val="none"/>
        </w:rPr>
        <w:t>）（以下简称</w:t>
      </w:r>
      <w:r>
        <w:rPr>
          <w:rFonts w:hint="eastAsia" w:ascii="Times New Roman" w:hAnsi="Times New Roman" w:cs="Times New Roman"/>
          <w:color w:val="000000"/>
          <w:sz w:val="24"/>
          <w:highlight w:val="none"/>
          <w:lang w:eastAsia="zh-CN"/>
        </w:rPr>
        <w:t>“</w:t>
      </w:r>
      <w:r>
        <w:rPr>
          <w:rFonts w:hint="default" w:ascii="Times New Roman" w:hAnsi="Times New Roman" w:cs="Times New Roman"/>
          <w:color w:val="000000"/>
          <w:sz w:val="24"/>
          <w:highlight w:val="none"/>
          <w:lang w:eastAsia="zh-CN"/>
        </w:rPr>
        <w:t>鸿泰钢铁续勘</w:t>
      </w:r>
      <w:r>
        <w:rPr>
          <w:rFonts w:hint="default" w:ascii="Times New Roman" w:hAnsi="Times New Roman" w:cs="Times New Roman"/>
          <w:color w:val="000000"/>
          <w:sz w:val="24"/>
          <w:highlight w:val="none"/>
        </w:rPr>
        <w:t>报告</w:t>
      </w:r>
      <w:r>
        <w:rPr>
          <w:rFonts w:hint="eastAsia" w:ascii="Times New Roman" w:hAnsi="Times New Roman" w:cs="Times New Roman"/>
          <w:color w:val="000000"/>
          <w:sz w:val="24"/>
          <w:highlight w:val="none"/>
          <w:lang w:eastAsia="zh-CN"/>
        </w:rPr>
        <w:t>”</w:t>
      </w:r>
      <w:r>
        <w:rPr>
          <w:rFonts w:hint="default" w:ascii="Times New Roman" w:hAnsi="Times New Roman" w:cs="Times New Roman"/>
          <w:color w:val="000000"/>
          <w:sz w:val="24"/>
          <w:highlight w:val="none"/>
        </w:rPr>
        <w:t>）中相关内容进行分析。</w:t>
      </w:r>
    </w:p>
    <w:p w14:paraId="1D80520B">
      <w:pPr>
        <w:pStyle w:val="6"/>
        <w:numPr>
          <w:ilvl w:val="0"/>
          <w:numId w:val="0"/>
        </w:numPr>
        <w:bidi w:val="0"/>
        <w:ind w:leftChars="0"/>
        <w:rPr>
          <w:rFonts w:hint="default" w:ascii="Times New Roman" w:hAnsi="Times New Roman" w:eastAsia="宋体" w:cs="Times New Roman"/>
          <w:highlight w:val="none"/>
          <w:lang w:eastAsia="zh-CN"/>
        </w:rPr>
      </w:pPr>
      <w:r>
        <w:rPr>
          <w:rFonts w:hint="default" w:ascii="Times New Roman" w:hAnsi="Times New Roman" w:eastAsia="宋体" w:cs="Times New Roman"/>
          <w:highlight w:val="none"/>
          <w:lang w:val="en-US" w:eastAsia="zh-CN"/>
        </w:rPr>
        <w:t>2.1.</w:t>
      </w:r>
      <w:r>
        <w:rPr>
          <w:rFonts w:hint="default" w:ascii="Times New Roman" w:hAnsi="Times New Roman" w:cs="Times New Roman"/>
          <w:highlight w:val="none"/>
          <w:lang w:val="en-US" w:eastAsia="zh-CN"/>
        </w:rPr>
        <w:t>5</w:t>
      </w:r>
      <w:r>
        <w:rPr>
          <w:rFonts w:hint="default" w:ascii="Times New Roman" w:hAnsi="Times New Roman" w:eastAsia="宋体" w:cs="Times New Roman"/>
          <w:highlight w:val="none"/>
          <w:lang w:val="en-US" w:eastAsia="zh-CN"/>
        </w:rPr>
        <w:t>.1</w:t>
      </w:r>
      <w:r>
        <w:rPr>
          <w:rFonts w:hint="default" w:ascii="Times New Roman" w:hAnsi="Times New Roman" w:eastAsia="宋体" w:cs="Times New Roman"/>
          <w:highlight w:val="none"/>
          <w:lang w:eastAsia="zh-CN"/>
        </w:rPr>
        <w:t>工程地质概况</w:t>
      </w:r>
    </w:p>
    <w:p w14:paraId="79CB9259">
      <w:pPr>
        <w:autoSpaceDE w:val="0"/>
        <w:autoSpaceDN w:val="0"/>
        <w:adjustRightInd w:val="0"/>
        <w:spacing w:line="360" w:lineRule="auto"/>
        <w:ind w:firstLine="480" w:firstLineChars="200"/>
        <w:jc w:val="left"/>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根据</w:t>
      </w:r>
      <w:r>
        <w:rPr>
          <w:rFonts w:hint="default" w:ascii="Times New Roman" w:hAnsi="Times New Roman" w:cs="Times New Roman"/>
          <w:color w:val="000000"/>
          <w:sz w:val="24"/>
          <w:highlight w:val="none"/>
          <w:lang w:eastAsia="zh-CN"/>
        </w:rPr>
        <w:t>富晶电子</w:t>
      </w:r>
      <w:r>
        <w:rPr>
          <w:rFonts w:hint="default" w:ascii="Times New Roman" w:hAnsi="Times New Roman" w:cs="Times New Roman"/>
          <w:color w:val="000000"/>
          <w:sz w:val="24"/>
          <w:highlight w:val="none"/>
        </w:rPr>
        <w:t>地勘报告</w:t>
      </w:r>
      <w:r>
        <w:rPr>
          <w:rFonts w:hint="default" w:ascii="Times New Roman" w:hAnsi="Times New Roman" w:cs="Times New Roman"/>
          <w:color w:val="000000"/>
          <w:sz w:val="24"/>
          <w:highlight w:val="none"/>
          <w:lang w:eastAsia="zh-CN"/>
        </w:rPr>
        <w:t>及鸿泰钢铁续勘报告</w:t>
      </w:r>
      <w:r>
        <w:rPr>
          <w:rFonts w:hint="default" w:ascii="Times New Roman" w:hAnsi="Times New Roman" w:cs="Times New Roman"/>
          <w:color w:val="000000"/>
          <w:sz w:val="24"/>
          <w:highlight w:val="none"/>
        </w:rPr>
        <w:t>，勘察范围内所分布的地层表层</w:t>
      </w:r>
      <w:r>
        <w:rPr>
          <w:rFonts w:hint="eastAsia" w:ascii="Times New Roman" w:hAnsi="Times New Roman" w:cs="Times New Roman"/>
          <w:color w:val="000000"/>
          <w:sz w:val="24"/>
          <w:highlight w:val="none"/>
          <w:lang w:eastAsia="zh-CN"/>
        </w:rPr>
        <w:t>大致一致，分</w:t>
      </w:r>
      <w:r>
        <w:rPr>
          <w:rFonts w:hint="default" w:ascii="Times New Roman" w:hAnsi="Times New Roman" w:cs="Times New Roman"/>
          <w:color w:val="000000"/>
          <w:sz w:val="24"/>
          <w:highlight w:val="none"/>
        </w:rPr>
        <w:t>为素填土、其下为粘土，其下为泥质粉砂岩。各岩土层分布情况及主要特征如下：</w:t>
      </w:r>
    </w:p>
    <w:p w14:paraId="3D82253F">
      <w:pPr>
        <w:spacing w:line="360" w:lineRule="auto"/>
        <w:jc w:val="center"/>
        <w:rPr>
          <w:rFonts w:hint="eastAsia" w:eastAsia="黑体" w:cs="Times New Roman"/>
          <w:b/>
          <w:sz w:val="24"/>
          <w:highlight w:val="none"/>
          <w:lang w:val="en-US" w:eastAsia="zh-CN"/>
        </w:rPr>
      </w:pPr>
    </w:p>
    <w:p w14:paraId="00425077">
      <w:pPr>
        <w:spacing w:line="360" w:lineRule="auto"/>
        <w:jc w:val="center"/>
        <w:rPr>
          <w:rFonts w:hint="eastAsia" w:eastAsia="黑体" w:cs="Times New Roman"/>
          <w:b/>
          <w:sz w:val="24"/>
          <w:highlight w:val="none"/>
          <w:lang w:val="en-US" w:eastAsia="zh-CN"/>
        </w:rPr>
      </w:pPr>
    </w:p>
    <w:p w14:paraId="6E03A91A">
      <w:pPr>
        <w:spacing w:line="360" w:lineRule="auto"/>
        <w:jc w:val="center"/>
        <w:rPr>
          <w:rFonts w:hint="eastAsia" w:eastAsia="黑体" w:cs="Times New Roman"/>
          <w:b/>
          <w:sz w:val="24"/>
          <w:highlight w:val="none"/>
          <w:lang w:val="en-US" w:eastAsia="zh-CN"/>
        </w:rPr>
      </w:pPr>
    </w:p>
    <w:p w14:paraId="3990E873">
      <w:pPr>
        <w:spacing w:line="360" w:lineRule="auto"/>
        <w:jc w:val="center"/>
        <w:rPr>
          <w:rFonts w:hint="eastAsia" w:eastAsia="黑体" w:cs="Times New Roman"/>
          <w:b/>
          <w:sz w:val="24"/>
          <w:highlight w:val="none"/>
          <w:lang w:val="en-US" w:eastAsia="zh-CN"/>
        </w:rPr>
      </w:pPr>
    </w:p>
    <w:p w14:paraId="0FE406FA">
      <w:pPr>
        <w:spacing w:line="360" w:lineRule="auto"/>
        <w:jc w:val="center"/>
        <w:rPr>
          <w:rFonts w:hint="eastAsia" w:eastAsia="黑体" w:cs="Times New Roman"/>
          <w:b/>
          <w:sz w:val="24"/>
          <w:highlight w:val="none"/>
          <w:lang w:val="en-US" w:eastAsia="zh-CN"/>
        </w:rPr>
      </w:pPr>
    </w:p>
    <w:p w14:paraId="054D62DA">
      <w:pPr>
        <w:spacing w:line="360" w:lineRule="auto"/>
        <w:jc w:val="center"/>
        <w:rPr>
          <w:rFonts w:hint="eastAsia" w:ascii="Times New Roman" w:hAnsi="Times New Roman" w:eastAsia="黑体" w:cs="Times New Roman"/>
          <w:b/>
          <w:sz w:val="24"/>
          <w:highlight w:val="none"/>
          <w:lang w:val="en-US" w:eastAsia="zh-CN"/>
        </w:rPr>
      </w:pPr>
      <w:r>
        <w:rPr>
          <w:rFonts w:hint="eastAsia" w:eastAsia="黑体" w:cs="Times New Roman"/>
          <w:b/>
          <w:sz w:val="24"/>
          <w:highlight w:val="none"/>
          <w:lang w:val="en-US" w:eastAsia="zh-CN"/>
        </w:rPr>
        <w:t xml:space="preserve">表2-1-1 </w:t>
      </w:r>
      <w:r>
        <w:rPr>
          <w:rFonts w:hint="eastAsia" w:ascii="Times New Roman" w:hAnsi="Times New Roman" w:eastAsia="黑体" w:cs="Times New Roman"/>
          <w:b/>
          <w:sz w:val="24"/>
          <w:highlight w:val="none"/>
          <w:lang w:val="en-US" w:eastAsia="zh-CN"/>
        </w:rPr>
        <w:t>园区内</w:t>
      </w:r>
      <w:r>
        <w:rPr>
          <w:rFonts w:hint="eastAsia" w:eastAsia="黑体" w:cs="Times New Roman"/>
          <w:b/>
          <w:sz w:val="24"/>
          <w:highlight w:val="none"/>
          <w:lang w:val="en-US" w:eastAsia="zh-CN"/>
        </w:rPr>
        <w:t>部分</w:t>
      </w:r>
      <w:r>
        <w:rPr>
          <w:rFonts w:hint="eastAsia" w:ascii="Times New Roman" w:hAnsi="Times New Roman" w:eastAsia="黑体" w:cs="Times New Roman"/>
          <w:b/>
          <w:sz w:val="24"/>
          <w:highlight w:val="none"/>
          <w:lang w:val="en-US" w:eastAsia="zh-CN"/>
        </w:rPr>
        <w:t>地块工程地质情况</w:t>
      </w:r>
    </w:p>
    <w:tbl>
      <w:tblPr>
        <w:tblStyle w:val="22"/>
        <w:tblW w:w="9854"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30"/>
        <w:gridCol w:w="3735"/>
        <w:gridCol w:w="4389"/>
      </w:tblGrid>
      <w:tr w14:paraId="1791FBC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730" w:type="dxa"/>
            <w:tcBorders>
              <w:top w:val="single" w:color="auto" w:sz="12" w:space="0"/>
              <w:bottom w:val="single" w:color="auto" w:sz="12" w:space="0"/>
            </w:tcBorders>
            <w:vAlign w:val="center"/>
            <mc:AlternateContent>
              <mc:Choice Requires="wpsCustomData">
                <wpsCustomData:diagonals>
                  <wpsCustomData:diagonal from="10000" to="30000">
                    <wpsCustomData:border w:val="single" w:color="auto" w:sz="12" w:space="0"/>
                  </wpsCustomData:diagonal>
                </wpsCustomData:diagonals>
              </mc:Choice>
            </mc:AlternateContent>
          </w:tcPr>
          <w:p w14:paraId="7EA1D0C8">
            <w:pPr>
              <w:pStyle w:val="2"/>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eastAsia="宋体"/>
                <w:b/>
                <w:bCs/>
                <w:sz w:val="21"/>
                <w:szCs w:val="21"/>
                <w:highlight w:val="none"/>
                <w:vertAlign w:val="baseline"/>
                <w:lang w:eastAsia="zh-CN"/>
              </w:rPr>
            </w:pPr>
          </w:p>
          <w:p w14:paraId="2BB75025">
            <w:pPr>
              <w:pStyle w:val="2"/>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mc:AlternateContent>
                <mc:Choice Requires="wpsCustomData">
                  <wpsCustomData:diagonalParaType/>
                </mc:Choice>
              </mc:AlternateContent>
              <w:rPr>
                <w:rFonts w:hint="eastAsia" w:eastAsia="宋体"/>
                <w:b/>
                <w:bCs/>
                <w:sz w:val="21"/>
                <w:szCs w:val="21"/>
                <w:highlight w:val="none"/>
                <w:vertAlign w:val="baseline"/>
                <w:lang w:eastAsia="zh-CN"/>
              </w:rPr>
            </w:pPr>
            <w:r>
              <w:rPr>
                <w:rFonts w:hint="eastAsia"/>
                <w:b/>
                <w:bCs/>
                <w:sz w:val="21"/>
                <w:szCs w:val="21"/>
                <w:highlight w:val="none"/>
                <w:vertAlign w:val="baseline"/>
                <w:lang w:eastAsia="zh-CN"/>
              </w:rPr>
              <w:t>地层</w:t>
            </w:r>
          </w:p>
          <w:p w14:paraId="75BFD81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b/>
                <w:bCs/>
                <w:sz w:val="21"/>
                <w:szCs w:val="21"/>
                <w:highlight w:val="none"/>
                <w:vertAlign w:val="baseline"/>
                <w:lang w:eastAsia="zh-CN"/>
              </w:rPr>
            </w:pPr>
            <w:r>
              <w:rPr>
                <w:rFonts w:hint="eastAsia"/>
                <w:b/>
                <w:bCs/>
                <w:sz w:val="21"/>
                <w:szCs w:val="21"/>
                <w:highlight w:val="none"/>
                <w:vertAlign w:val="baseline"/>
                <w:lang w:eastAsia="zh-CN"/>
              </w:rPr>
              <w:t>描述</w:t>
            </w:r>
          </w:p>
        </w:tc>
        <w:tc>
          <w:tcPr>
            <w:tcW w:w="3735" w:type="dxa"/>
            <w:tcBorders>
              <w:top w:val="single" w:color="auto" w:sz="12" w:space="0"/>
              <w:bottom w:val="single" w:color="auto" w:sz="12" w:space="0"/>
            </w:tcBorders>
            <w:vAlign w:val="center"/>
          </w:tcPr>
          <w:p w14:paraId="3A97F7A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sz w:val="21"/>
                <w:szCs w:val="21"/>
                <w:highlight w:val="none"/>
                <w:vertAlign w:val="baseline"/>
              </w:rPr>
            </w:pPr>
            <w:r>
              <w:rPr>
                <w:rFonts w:hint="default" w:ascii="Times New Roman" w:hAnsi="Times New Roman" w:cs="Times New Roman"/>
                <w:b/>
                <w:bCs/>
                <w:color w:val="000000"/>
                <w:sz w:val="21"/>
                <w:szCs w:val="21"/>
                <w:highlight w:val="none"/>
                <w:lang w:eastAsia="zh-CN"/>
              </w:rPr>
              <w:t>富晶电子</w:t>
            </w:r>
            <w:r>
              <w:rPr>
                <w:rFonts w:hint="default" w:ascii="Times New Roman" w:hAnsi="Times New Roman" w:cs="Times New Roman"/>
                <w:b/>
                <w:bCs/>
                <w:color w:val="000000"/>
                <w:sz w:val="21"/>
                <w:szCs w:val="21"/>
                <w:highlight w:val="none"/>
              </w:rPr>
              <w:t>地勘报告</w:t>
            </w:r>
          </w:p>
        </w:tc>
        <w:tc>
          <w:tcPr>
            <w:tcW w:w="4389" w:type="dxa"/>
            <w:tcBorders>
              <w:top w:val="single" w:color="auto" w:sz="12" w:space="0"/>
              <w:bottom w:val="single" w:color="auto" w:sz="12" w:space="0"/>
            </w:tcBorders>
            <w:vAlign w:val="center"/>
          </w:tcPr>
          <w:p w14:paraId="5B52345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sz w:val="21"/>
                <w:szCs w:val="21"/>
                <w:highlight w:val="none"/>
                <w:vertAlign w:val="baseline"/>
              </w:rPr>
            </w:pPr>
            <w:r>
              <w:rPr>
                <w:rFonts w:hint="default"/>
                <w:b/>
                <w:bCs/>
                <w:sz w:val="21"/>
                <w:szCs w:val="21"/>
                <w:highlight w:val="none"/>
                <w:vertAlign w:val="baseline"/>
              </w:rPr>
              <w:t>鸿泰钢铁续勘报告</w:t>
            </w:r>
          </w:p>
        </w:tc>
      </w:tr>
      <w:tr w14:paraId="6F2359D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30" w:type="dxa"/>
            <w:tcBorders>
              <w:top w:val="single" w:color="auto" w:sz="12" w:space="0"/>
            </w:tcBorders>
            <w:vAlign w:val="center"/>
          </w:tcPr>
          <w:p w14:paraId="7D96CA8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sz w:val="21"/>
                <w:szCs w:val="21"/>
                <w:highlight w:val="none"/>
                <w:vertAlign w:val="baseline"/>
                <w:lang w:eastAsia="zh-CN"/>
              </w:rPr>
            </w:pPr>
            <w:r>
              <w:rPr>
                <w:rFonts w:hint="eastAsia"/>
                <w:sz w:val="21"/>
                <w:szCs w:val="21"/>
                <w:highlight w:val="none"/>
                <w:vertAlign w:val="baseline"/>
                <w:lang w:eastAsia="zh-CN"/>
              </w:rPr>
              <w:t>①素填土</w:t>
            </w:r>
          </w:p>
        </w:tc>
        <w:tc>
          <w:tcPr>
            <w:tcW w:w="3735" w:type="dxa"/>
            <w:tcBorders>
              <w:top w:val="single" w:color="auto" w:sz="12" w:space="0"/>
            </w:tcBorders>
            <w:vAlign w:val="center"/>
          </w:tcPr>
          <w:p w14:paraId="11B5052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eastAsia="zh-CN"/>
              </w:rPr>
              <w:t>黄色，湿，主要由回填的粘性土夹少量碎石块和白色螺壳组成，下部含一定量的淤泥。该层结构松散，孔隙发育，层厚</w:t>
            </w:r>
            <w:r>
              <w:rPr>
                <w:rFonts w:hint="eastAsia"/>
                <w:sz w:val="21"/>
                <w:szCs w:val="21"/>
                <w:highlight w:val="none"/>
                <w:vertAlign w:val="baseline"/>
                <w:lang w:val="en-US" w:eastAsia="zh-CN"/>
              </w:rPr>
              <w:t>0.9-6.7m，平均厚度1.43m</w:t>
            </w:r>
          </w:p>
        </w:tc>
        <w:tc>
          <w:tcPr>
            <w:tcW w:w="4389" w:type="dxa"/>
            <w:tcBorders>
              <w:top w:val="single" w:color="auto" w:sz="12" w:space="0"/>
            </w:tcBorders>
            <w:vAlign w:val="center"/>
          </w:tcPr>
          <w:p w14:paraId="00092DB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eastAsia="宋体"/>
                <w:sz w:val="21"/>
                <w:szCs w:val="21"/>
                <w:highlight w:val="none"/>
                <w:vertAlign w:val="baseline"/>
                <w:lang w:val="en-US" w:eastAsia="zh-CN"/>
              </w:rPr>
            </w:pPr>
            <w:r>
              <w:rPr>
                <w:rFonts w:hint="eastAsia"/>
                <w:sz w:val="21"/>
                <w:szCs w:val="21"/>
                <w:highlight w:val="none"/>
                <w:vertAlign w:val="baseline"/>
                <w:lang w:eastAsia="zh-CN"/>
              </w:rPr>
              <w:t>褐黄色，主要由回填的松散黏土组成，结构松散，孔隙发育，局部为耕植土，层厚</w:t>
            </w:r>
            <w:r>
              <w:rPr>
                <w:rFonts w:hint="eastAsia"/>
                <w:sz w:val="21"/>
                <w:szCs w:val="21"/>
                <w:highlight w:val="none"/>
                <w:vertAlign w:val="baseline"/>
                <w:lang w:val="en-US" w:eastAsia="zh-CN"/>
              </w:rPr>
              <w:t>0-5.9m，平均厚度1.88m</w:t>
            </w:r>
          </w:p>
        </w:tc>
      </w:tr>
      <w:tr w14:paraId="138C838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30" w:type="dxa"/>
            <w:vAlign w:val="center"/>
          </w:tcPr>
          <w:p w14:paraId="30D7AB7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eastAsia="zh-CN"/>
              </w:rPr>
              <w:t>②粉质粘土</w:t>
            </w:r>
            <w:r>
              <w:rPr>
                <w:rFonts w:hint="eastAsia"/>
                <w:sz w:val="21"/>
                <w:szCs w:val="21"/>
                <w:highlight w:val="none"/>
                <w:vertAlign w:val="baseline"/>
                <w:lang w:val="en-US" w:eastAsia="zh-CN"/>
              </w:rPr>
              <w:t>/粘土</w:t>
            </w:r>
          </w:p>
        </w:tc>
        <w:tc>
          <w:tcPr>
            <w:tcW w:w="3735" w:type="dxa"/>
            <w:vAlign w:val="center"/>
          </w:tcPr>
          <w:p w14:paraId="7969B65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eastAsia="zh-CN"/>
              </w:rPr>
              <w:t>黄色，可</w:t>
            </w:r>
            <w:r>
              <w:rPr>
                <w:rFonts w:hint="eastAsia"/>
                <w:sz w:val="21"/>
                <w:szCs w:val="21"/>
                <w:highlight w:val="none"/>
                <w:vertAlign w:val="baseline"/>
                <w:lang w:val="en-US" w:eastAsia="zh-CN"/>
              </w:rPr>
              <w:t>-硬塑状态，含铁锰质结核及灰、灰绿色高岭土，层厚0.6-4.4m，平均厚度1.69m，层面埋深0.5-5.9m</w:t>
            </w:r>
          </w:p>
        </w:tc>
        <w:tc>
          <w:tcPr>
            <w:tcW w:w="4389" w:type="dxa"/>
            <w:vAlign w:val="center"/>
          </w:tcPr>
          <w:p w14:paraId="78500D7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eastAsia="zh-CN"/>
              </w:rPr>
              <w:t>灰</w:t>
            </w:r>
            <w:r>
              <w:rPr>
                <w:rFonts w:hint="eastAsia"/>
                <w:sz w:val="21"/>
                <w:szCs w:val="21"/>
                <w:highlight w:val="none"/>
                <w:vertAlign w:val="baseline"/>
                <w:lang w:val="en-US" w:eastAsia="zh-CN"/>
              </w:rPr>
              <w:t>-灰黄色，可塑，含铁锰质结核及灰、灰绿色高岭土，层厚0-5.4m，平均厚度0.5m，层面埋深0-5.9m</w:t>
            </w:r>
          </w:p>
        </w:tc>
      </w:tr>
      <w:tr w14:paraId="2603924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30" w:type="dxa"/>
            <w:vAlign w:val="center"/>
          </w:tcPr>
          <w:p w14:paraId="10F58E4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sz w:val="21"/>
                <w:szCs w:val="21"/>
                <w:highlight w:val="none"/>
                <w:vertAlign w:val="baseline"/>
                <w:lang w:eastAsia="zh-CN"/>
              </w:rPr>
            </w:pPr>
            <w:r>
              <w:rPr>
                <w:rFonts w:hint="eastAsia"/>
                <w:sz w:val="21"/>
                <w:szCs w:val="21"/>
                <w:highlight w:val="none"/>
                <w:vertAlign w:val="baseline"/>
                <w:lang w:eastAsia="zh-CN"/>
              </w:rPr>
              <w:t>③粘土</w:t>
            </w:r>
          </w:p>
        </w:tc>
        <w:tc>
          <w:tcPr>
            <w:tcW w:w="3735" w:type="dxa"/>
            <w:vAlign w:val="center"/>
          </w:tcPr>
          <w:p w14:paraId="6349F0C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黄色，局部为绿黄色或褐红色，硬塑-坚塑，含铁锰质氧化物及灰、灰绿色高岭土，至底部含石英砂颗粒和砂岩角砾，层厚0-8.5m，平均控制厚度5.3m，层面埋深0-7.5m</w:t>
            </w:r>
          </w:p>
        </w:tc>
        <w:tc>
          <w:tcPr>
            <w:tcW w:w="4389" w:type="dxa"/>
            <w:vAlign w:val="center"/>
          </w:tcPr>
          <w:p w14:paraId="3ECDA5B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sz w:val="21"/>
                <w:szCs w:val="21"/>
                <w:highlight w:val="none"/>
                <w:vertAlign w:val="baseline"/>
                <w:lang w:val="en-US"/>
              </w:rPr>
            </w:pPr>
            <w:r>
              <w:rPr>
                <w:rFonts w:hint="eastAsia"/>
                <w:sz w:val="21"/>
                <w:szCs w:val="21"/>
                <w:highlight w:val="none"/>
                <w:vertAlign w:val="baseline"/>
                <w:lang w:eastAsia="zh-CN"/>
              </w:rPr>
              <w:t>黄、黄褐色，硬塑</w:t>
            </w:r>
            <w:r>
              <w:rPr>
                <w:rFonts w:hint="eastAsia"/>
                <w:sz w:val="21"/>
                <w:szCs w:val="21"/>
                <w:highlight w:val="none"/>
                <w:vertAlign w:val="baseline"/>
                <w:lang w:val="en-US" w:eastAsia="zh-CN"/>
              </w:rPr>
              <w:t>-坚硬塑，稍湿，含铁锰质氧化物及灰、灰绿色高岭土。该层控制厚度4.7-12.0m，平均控制厚度6.8m，层顶板埋深0.0-8.9m</w:t>
            </w:r>
          </w:p>
        </w:tc>
      </w:tr>
      <w:tr w14:paraId="5B5DC30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30" w:type="dxa"/>
            <w:vAlign w:val="center"/>
          </w:tcPr>
          <w:p w14:paraId="2176A33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sz w:val="21"/>
                <w:szCs w:val="21"/>
                <w:highlight w:val="none"/>
                <w:vertAlign w:val="baseline"/>
                <w:lang w:eastAsia="zh-CN"/>
              </w:rPr>
            </w:pPr>
            <w:r>
              <w:rPr>
                <w:rFonts w:hint="eastAsia"/>
                <w:sz w:val="21"/>
                <w:szCs w:val="21"/>
                <w:highlight w:val="none"/>
                <w:vertAlign w:val="baseline"/>
                <w:lang w:eastAsia="zh-CN"/>
              </w:rPr>
              <w:t>④强风化泥质粉砂岩</w:t>
            </w:r>
          </w:p>
        </w:tc>
        <w:tc>
          <w:tcPr>
            <w:tcW w:w="3735" w:type="dxa"/>
            <w:vAlign w:val="center"/>
          </w:tcPr>
          <w:p w14:paraId="223BCF1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eastAsia="zh-CN"/>
              </w:rPr>
              <w:t>紫</w:t>
            </w:r>
            <w:r>
              <w:rPr>
                <w:rFonts w:hint="eastAsia"/>
                <w:sz w:val="21"/>
                <w:szCs w:val="21"/>
                <w:highlight w:val="none"/>
                <w:vertAlign w:val="baseline"/>
                <w:lang w:val="en-US" w:eastAsia="zh-CN"/>
              </w:rPr>
              <w:t>-紫红等色，泥质结构，岩石已基本风化，该层控制厚度0.3-4.3m，平均控制厚度1.1m，层面埋深0-12.0m</w:t>
            </w:r>
          </w:p>
        </w:tc>
        <w:tc>
          <w:tcPr>
            <w:tcW w:w="4389" w:type="dxa"/>
            <w:vAlign w:val="center"/>
          </w:tcPr>
          <w:p w14:paraId="0FE2375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2E69DE2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30" w:type="dxa"/>
            <w:tcBorders>
              <w:bottom w:val="single" w:color="auto" w:sz="12" w:space="0"/>
            </w:tcBorders>
            <w:vAlign w:val="center"/>
          </w:tcPr>
          <w:p w14:paraId="21761F5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sz w:val="21"/>
                <w:szCs w:val="21"/>
                <w:highlight w:val="none"/>
                <w:vertAlign w:val="baseline"/>
                <w:lang w:eastAsia="zh-CN"/>
              </w:rPr>
            </w:pPr>
            <w:r>
              <w:rPr>
                <w:rFonts w:hint="eastAsia"/>
                <w:sz w:val="21"/>
                <w:szCs w:val="21"/>
                <w:highlight w:val="none"/>
                <w:vertAlign w:val="baseline"/>
                <w:lang w:eastAsia="zh-CN"/>
              </w:rPr>
              <w:t>⑤中风化泥质粉砂岩层</w:t>
            </w:r>
          </w:p>
        </w:tc>
        <w:tc>
          <w:tcPr>
            <w:tcW w:w="3735" w:type="dxa"/>
            <w:tcBorders>
              <w:bottom w:val="single" w:color="auto" w:sz="12" w:space="0"/>
            </w:tcBorders>
            <w:vAlign w:val="center"/>
          </w:tcPr>
          <w:p w14:paraId="3006700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eastAsia="zh-CN"/>
              </w:rPr>
              <w:t>褐红色，泥质粉砂结构，控制厚度为</w:t>
            </w:r>
            <w:r>
              <w:rPr>
                <w:rFonts w:hint="eastAsia"/>
                <w:sz w:val="21"/>
                <w:szCs w:val="21"/>
                <w:highlight w:val="none"/>
                <w:vertAlign w:val="baseline"/>
                <w:lang w:val="en-US" w:eastAsia="zh-CN"/>
              </w:rPr>
              <w:t>0.9-2.0m，层面埋深9.0-13.0m</w:t>
            </w:r>
          </w:p>
        </w:tc>
        <w:tc>
          <w:tcPr>
            <w:tcW w:w="4389" w:type="dxa"/>
            <w:tcBorders>
              <w:bottom w:val="single" w:color="auto" w:sz="12" w:space="0"/>
            </w:tcBorders>
            <w:vAlign w:val="center"/>
          </w:tcPr>
          <w:p w14:paraId="5FD393E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w:t>
            </w:r>
          </w:p>
        </w:tc>
      </w:tr>
    </w:tbl>
    <w:p w14:paraId="10FD2EEE">
      <w:pPr>
        <w:pStyle w:val="6"/>
        <w:numPr>
          <w:ilvl w:val="0"/>
          <w:numId w:val="0"/>
        </w:numPr>
        <w:bidi w:val="0"/>
        <w:ind w:leftChars="0"/>
        <w:rPr>
          <w:rFonts w:hint="default" w:ascii="Times New Roman" w:hAnsi="Times New Roman" w:cs="Times New Roman"/>
          <w:highlight w:val="none"/>
          <w:lang w:eastAsia="zh-CN"/>
        </w:rPr>
      </w:pPr>
      <w:r>
        <w:rPr>
          <w:rFonts w:hint="default" w:ascii="Times New Roman" w:hAnsi="Times New Roman" w:cs="Times New Roman"/>
          <w:highlight w:val="none"/>
          <w:lang w:val="en-US" w:eastAsia="zh-CN"/>
        </w:rPr>
        <w:t>2.1.5.2</w:t>
      </w:r>
      <w:r>
        <w:rPr>
          <w:rFonts w:hint="default" w:ascii="Times New Roman" w:hAnsi="Times New Roman" w:cs="Times New Roman"/>
          <w:highlight w:val="none"/>
          <w:lang w:eastAsia="zh-CN"/>
        </w:rPr>
        <w:t>水文地质概况</w:t>
      </w:r>
    </w:p>
    <w:p w14:paraId="30807EB7">
      <w:pPr>
        <w:spacing w:line="360" w:lineRule="auto"/>
        <w:ind w:firstLine="560"/>
        <w:rPr>
          <w:rFonts w:hint="default" w:ascii="Times New Roman" w:hAnsi="Times New Roman" w:cs="Times New Roman"/>
          <w:highlight w:val="none"/>
        </w:rPr>
      </w:pPr>
      <w:r>
        <w:rPr>
          <w:rFonts w:hint="default" w:ascii="Times New Roman" w:hAnsi="Times New Roman" w:cs="Times New Roman"/>
          <w:color w:val="000000"/>
          <w:sz w:val="24"/>
          <w:highlight w:val="none"/>
        </w:rPr>
        <w:t>根据</w:t>
      </w:r>
      <w:r>
        <w:rPr>
          <w:rFonts w:hint="default" w:ascii="Times New Roman" w:hAnsi="Times New Roman" w:cs="Times New Roman"/>
          <w:color w:val="000000"/>
          <w:sz w:val="24"/>
          <w:highlight w:val="none"/>
          <w:lang w:eastAsia="zh-CN"/>
        </w:rPr>
        <w:t>富晶电子</w:t>
      </w:r>
      <w:r>
        <w:rPr>
          <w:rFonts w:hint="default" w:ascii="Times New Roman" w:hAnsi="Times New Roman" w:cs="Times New Roman"/>
          <w:color w:val="000000"/>
          <w:sz w:val="24"/>
          <w:highlight w:val="none"/>
        </w:rPr>
        <w:t>地勘报告</w:t>
      </w:r>
      <w:r>
        <w:rPr>
          <w:rFonts w:hint="default" w:ascii="Times New Roman" w:hAnsi="Times New Roman" w:cs="Times New Roman"/>
          <w:color w:val="000000"/>
          <w:sz w:val="24"/>
          <w:highlight w:val="none"/>
          <w:lang w:eastAsia="zh-CN"/>
        </w:rPr>
        <w:t>及鸿泰钢铁续勘报告</w:t>
      </w:r>
      <w:r>
        <w:rPr>
          <w:rFonts w:hint="default" w:ascii="Times New Roman" w:hAnsi="Times New Roman" w:cs="Times New Roman"/>
          <w:color w:val="000000"/>
          <w:kern w:val="0"/>
          <w:sz w:val="24"/>
          <w:highlight w:val="none"/>
        </w:rPr>
        <w:t>，</w:t>
      </w:r>
      <w:r>
        <w:rPr>
          <w:rFonts w:hint="default" w:ascii="Times New Roman" w:hAnsi="Times New Roman" w:cs="Times New Roman"/>
          <w:color w:val="000000"/>
          <w:kern w:val="0"/>
          <w:sz w:val="24"/>
          <w:highlight w:val="none"/>
          <w:lang w:eastAsia="zh-CN"/>
        </w:rPr>
        <w:t>勘察范围内和钻孔所达深度内，没有发现大的地下水活动，第</w:t>
      </w:r>
      <w:r>
        <w:rPr>
          <w:rFonts w:hint="eastAsia" w:cs="Times New Roman"/>
          <w:color w:val="000000"/>
          <w:kern w:val="0"/>
          <w:sz w:val="24"/>
          <w:highlight w:val="none"/>
          <w:lang w:val="en-US" w:eastAsia="zh-CN"/>
        </w:rPr>
        <w:t>②</w:t>
      </w:r>
      <w:r>
        <w:rPr>
          <w:rFonts w:hint="default" w:ascii="Times New Roman" w:hAnsi="Times New Roman" w:cs="Times New Roman"/>
          <w:color w:val="000000"/>
          <w:kern w:val="0"/>
          <w:sz w:val="24"/>
          <w:highlight w:val="none"/>
          <w:lang w:val="en-US" w:eastAsia="zh-CN"/>
        </w:rPr>
        <w:t>-</w:t>
      </w:r>
      <w:r>
        <w:rPr>
          <w:rFonts w:hint="eastAsia" w:cs="Times New Roman"/>
          <w:color w:val="000000"/>
          <w:kern w:val="0"/>
          <w:sz w:val="24"/>
          <w:highlight w:val="none"/>
          <w:lang w:val="en-US" w:eastAsia="zh-CN"/>
        </w:rPr>
        <w:t>⑤</w:t>
      </w:r>
      <w:r>
        <w:rPr>
          <w:rFonts w:hint="default" w:ascii="Times New Roman" w:hAnsi="Times New Roman" w:cs="Times New Roman"/>
          <w:color w:val="000000"/>
          <w:kern w:val="0"/>
          <w:sz w:val="24"/>
          <w:highlight w:val="none"/>
          <w:lang w:val="en-US" w:eastAsia="zh-CN"/>
        </w:rPr>
        <w:t>层均为不含水层，唯第</w:t>
      </w:r>
      <w:r>
        <w:rPr>
          <w:rFonts w:hint="eastAsia" w:cs="Times New Roman"/>
          <w:color w:val="000000"/>
          <w:kern w:val="0"/>
          <w:sz w:val="24"/>
          <w:highlight w:val="none"/>
          <w:lang w:val="en-US" w:eastAsia="zh-CN"/>
        </w:rPr>
        <w:t>①</w:t>
      </w:r>
      <w:r>
        <w:rPr>
          <w:rFonts w:hint="default" w:ascii="Times New Roman" w:hAnsi="Times New Roman" w:cs="Times New Roman"/>
          <w:color w:val="000000"/>
          <w:kern w:val="0"/>
          <w:sz w:val="24"/>
          <w:highlight w:val="none"/>
          <w:lang w:val="en-US" w:eastAsia="zh-CN"/>
        </w:rPr>
        <w:t>层素填土中含极少量的上层滞水，其来源为大气降水和坑洼积水渗透形成，随季节性变化，勘察期间测得其水位埋深为0.7-3.5m（非稳定水位）。</w:t>
      </w:r>
    </w:p>
    <w:bookmarkEnd w:id="11"/>
    <w:p w14:paraId="57F93FC1">
      <w:pPr>
        <w:pStyle w:val="4"/>
        <w:rPr>
          <w:rFonts w:hint="default" w:ascii="Times New Roman" w:hAnsi="Times New Roman" w:cs="Times New Roman"/>
          <w:color w:val="000000" w:themeColor="text1"/>
          <w:highlight w:val="none"/>
          <w14:textFill>
            <w14:solidFill>
              <w14:schemeClr w14:val="tx1"/>
            </w14:solidFill>
          </w14:textFill>
        </w:rPr>
      </w:pPr>
      <w:bookmarkStart w:id="12" w:name="_Toc25362"/>
      <w:r>
        <w:rPr>
          <w:rFonts w:hint="default" w:ascii="Times New Roman" w:hAnsi="Times New Roman" w:cs="Times New Roman"/>
          <w:color w:val="000000" w:themeColor="text1"/>
          <w:highlight w:val="none"/>
          <w:lang w:eastAsia="zh-CN"/>
          <w14:textFill>
            <w14:solidFill>
              <w14:schemeClr w14:val="tx1"/>
            </w14:solidFill>
          </w14:textFill>
        </w:rPr>
        <w:t>园区概况</w:t>
      </w:r>
      <w:bookmarkEnd w:id="12"/>
    </w:p>
    <w:p w14:paraId="41F1EF00">
      <w:pPr>
        <w:pStyle w:val="5"/>
        <w:bidi w:val="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园区地理位置及周边情况</w:t>
      </w:r>
    </w:p>
    <w:p w14:paraId="67ACF69B">
      <w:pPr>
        <w:spacing w:line="360" w:lineRule="auto"/>
        <w:ind w:firstLine="480" w:firstLineChars="200"/>
        <w:rPr>
          <w:rFonts w:hint="default" w:ascii="Times New Roman" w:hAnsi="Times New Roman"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eastAsiaTheme="minorEastAsia"/>
          <w:color w:val="auto"/>
          <w:sz w:val="24"/>
          <w:highlight w:val="none"/>
          <w:shd w:val="clear" w:color="auto" w:fill="auto"/>
          <w:lang w:val="en-US" w:eastAsia="zh-CN"/>
        </w:rPr>
        <w:t>华容创业园位于鄂州市华容区，与鄂州市葛店开发区毗邻，根据</w:t>
      </w:r>
      <w:r>
        <w:rPr>
          <w:rFonts w:hint="eastAsia" w:cs="Times New Roman" w:eastAsiaTheme="minorEastAsia"/>
          <w:color w:val="auto"/>
          <w:sz w:val="24"/>
          <w:highlight w:val="none"/>
          <w:shd w:val="clear" w:color="auto" w:fill="auto"/>
          <w:lang w:val="en-US" w:eastAsia="zh-CN"/>
        </w:rPr>
        <w:t>《华容创业园3号路（一期）工程环境影响报告书》中华容城区控制线详规图</w:t>
      </w:r>
      <w:r>
        <w:rPr>
          <w:rFonts w:hint="default" w:ascii="Times New Roman" w:hAnsi="Times New Roman" w:cs="Times New Roman" w:eastAsiaTheme="minorEastAsia"/>
          <w:color w:val="auto"/>
          <w:sz w:val="24"/>
          <w:highlight w:val="none"/>
          <w:shd w:val="clear" w:color="auto" w:fill="auto"/>
          <w:lang w:val="en-US" w:eastAsia="zh-CN"/>
        </w:rPr>
        <w:t>，华容创业园调查面积为15.6km</w:t>
      </w:r>
      <w:r>
        <w:rPr>
          <w:rFonts w:hint="default" w:ascii="Times New Roman" w:hAnsi="Times New Roman" w:cs="Times New Roman" w:eastAsiaTheme="minorEastAsia"/>
          <w:color w:val="auto"/>
          <w:sz w:val="24"/>
          <w:highlight w:val="none"/>
          <w:shd w:val="clear" w:color="auto" w:fill="auto"/>
          <w:vertAlign w:val="superscript"/>
          <w:lang w:val="en-US" w:eastAsia="zh-CN"/>
        </w:rPr>
        <w:t>2</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w:t>
      </w:r>
      <w:r>
        <w:rPr>
          <w:rFonts w:hint="default" w:ascii="Times New Roman" w:hAnsi="Times New Roman" w:cs="Times New Roman" w:eastAsiaTheme="minorEastAsia"/>
          <w:color w:val="auto"/>
          <w:sz w:val="24"/>
          <w:highlight w:val="none"/>
          <w:shd w:val="clear" w:color="auto" w:fill="auto"/>
          <w:lang w:val="en-US" w:eastAsia="zh-CN"/>
        </w:rPr>
        <w:t>调查范</w:t>
      </w:r>
      <w:r>
        <w:rPr>
          <w:rFonts w:hint="default" w:ascii="Times New Roman" w:hAnsi="Times New Roman" w:cs="Times New Roman"/>
          <w:color w:val="000000" w:themeColor="text1"/>
          <w:kern w:val="0"/>
          <w:sz w:val="24"/>
          <w:highlight w:val="none"/>
          <w:lang w:eastAsia="zh-CN"/>
          <w14:textFill>
            <w14:solidFill>
              <w14:schemeClr w14:val="tx1"/>
            </w14:solidFill>
          </w14:textFill>
        </w:rPr>
        <w:t>围及周边情况图见附图</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2。</w:t>
      </w:r>
    </w:p>
    <w:p w14:paraId="20C8CD7F">
      <w:pPr>
        <w:spacing w:line="360" w:lineRule="auto"/>
        <w:ind w:firstLine="480" w:firstLineChars="200"/>
        <w:rPr>
          <w:rFonts w:hint="default" w:ascii="Times New Roman" w:hAnsi="Times New Roman"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根据华容创业园及周边</w:t>
      </w:r>
      <w:r>
        <w:rPr>
          <w:rFonts w:hint="eastAsia" w:cs="Times New Roman"/>
          <w:color w:val="000000" w:themeColor="text1"/>
          <w:kern w:val="0"/>
          <w:sz w:val="24"/>
          <w:highlight w:val="none"/>
          <w:lang w:val="en-US" w:eastAsia="zh-CN"/>
          <w14:textFill>
            <w14:solidFill>
              <w14:schemeClr w14:val="tx1"/>
            </w14:solidFill>
          </w14:textFill>
        </w:rPr>
        <w:t>范围</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现状卫片，华容创业园西侧与葛店开发区接壤，隔光华大道分布有</w:t>
      </w:r>
      <w:r>
        <w:rPr>
          <w:rFonts w:hint="eastAsia" w:cs="Times New Roman"/>
          <w:color w:val="000000" w:themeColor="text1"/>
          <w:kern w:val="0"/>
          <w:sz w:val="24"/>
          <w:highlight w:val="none"/>
          <w:lang w:val="en-US" w:eastAsia="zh-CN"/>
          <w14:textFill>
            <w14:solidFill>
              <w14:schemeClr w14:val="tx1"/>
            </w14:solidFill>
          </w14:textFill>
        </w:rPr>
        <w:t>各类</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企业</w:t>
      </w:r>
      <w:r>
        <w:rPr>
          <w:rFonts w:hint="eastAsia" w:cs="Times New Roman"/>
          <w:color w:val="000000" w:themeColor="text1"/>
          <w:kern w:val="0"/>
          <w:sz w:val="24"/>
          <w:highlight w:val="none"/>
          <w:lang w:val="en-US" w:eastAsia="zh-CN"/>
          <w14:textFill>
            <w14:solidFill>
              <w14:schemeClr w14:val="tx1"/>
            </w14:solidFill>
          </w14:textFill>
        </w:rPr>
        <w:t>、住宅小区、学校等</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；华容创业园北侧、南侧多为村落、农用地等，尚未按规划开展建设；华容创业园东侧与三江港经济开发区工业园相邻，隔华浦路分布有企业</w:t>
      </w:r>
      <w:r>
        <w:rPr>
          <w:rFonts w:hint="eastAsia" w:cs="Times New Roman"/>
          <w:color w:val="000000" w:themeColor="text1"/>
          <w:kern w:val="0"/>
          <w:sz w:val="24"/>
          <w:highlight w:val="none"/>
          <w:lang w:val="en-US" w:eastAsia="zh-CN"/>
          <w14:textFill>
            <w14:solidFill>
              <w14:schemeClr w14:val="tx1"/>
            </w14:solidFill>
          </w14:textFill>
        </w:rPr>
        <w:t>、村落等</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w:t>
      </w:r>
    </w:p>
    <w:p w14:paraId="11BCD9E5">
      <w:pPr>
        <w:spacing w:line="360" w:lineRule="auto"/>
        <w:ind w:firstLine="480" w:firstLineChars="200"/>
        <w:rPr>
          <w:rFonts w:hint="default" w:ascii="Times New Roman" w:hAnsi="Times New Roman"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华容创业园</w:t>
      </w:r>
      <w:r>
        <w:rPr>
          <w:color w:val="000000" w:themeColor="text1"/>
          <w:kern w:val="0"/>
          <w:highlight w:val="none"/>
          <w14:textFill>
            <w14:solidFill>
              <w14:schemeClr w14:val="tx1"/>
            </w14:solidFill>
          </w14:textFill>
        </w:rPr>
        <w:t>周边敏感点分布情况如下表所示</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w:t>
      </w:r>
    </w:p>
    <w:p w14:paraId="30988663">
      <w:pPr>
        <w:spacing w:line="360" w:lineRule="auto"/>
        <w:jc w:val="center"/>
        <w:rPr>
          <w:rFonts w:hint="default" w:ascii="Times New Roman" w:hAnsi="Times New Roman" w:eastAsia="黑体" w:cs="Times New Roman"/>
          <w:b/>
          <w:sz w:val="24"/>
          <w:highlight w:val="none"/>
          <w:lang w:val="en-US" w:eastAsia="zh-CN"/>
        </w:rPr>
      </w:pPr>
    </w:p>
    <w:p w14:paraId="1892BC9C">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黑体" w:cs="Times New Roman"/>
          <w:b/>
          <w:sz w:val="24"/>
          <w:highlight w:val="none"/>
          <w:lang w:val="en-US" w:eastAsia="zh-CN"/>
        </w:rPr>
      </w:pPr>
      <w:r>
        <w:rPr>
          <w:rFonts w:hint="default" w:ascii="Times New Roman" w:hAnsi="Times New Roman" w:eastAsia="黑体" w:cs="Times New Roman"/>
          <w:b/>
          <w:sz w:val="24"/>
          <w:highlight w:val="none"/>
          <w:lang w:val="en-US" w:eastAsia="zh-CN"/>
        </w:rPr>
        <w:t>表2-2-1 华容创业园周边敏感点分布情况</w:t>
      </w:r>
    </w:p>
    <w:tbl>
      <w:tblPr>
        <w:tblStyle w:val="22"/>
        <w:tblW w:w="9854"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57"/>
        <w:gridCol w:w="3254"/>
        <w:gridCol w:w="1614"/>
        <w:gridCol w:w="2511"/>
        <w:gridCol w:w="1818"/>
      </w:tblGrid>
      <w:tr w14:paraId="1427FD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657" w:type="dxa"/>
            <w:tcBorders>
              <w:bottom w:val="single" w:color="auto" w:sz="12" w:space="0"/>
            </w:tcBorders>
            <w:vAlign w:val="center"/>
          </w:tcPr>
          <w:p w14:paraId="1049DD7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编号</w:t>
            </w:r>
          </w:p>
        </w:tc>
        <w:tc>
          <w:tcPr>
            <w:tcW w:w="3254" w:type="dxa"/>
            <w:tcBorders>
              <w:bottom w:val="single" w:color="auto" w:sz="12" w:space="0"/>
            </w:tcBorders>
            <w:vAlign w:val="center"/>
          </w:tcPr>
          <w:p w14:paraId="196FBA7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项目</w:t>
            </w:r>
          </w:p>
        </w:tc>
        <w:tc>
          <w:tcPr>
            <w:tcW w:w="1614" w:type="dxa"/>
            <w:tcBorders>
              <w:bottom w:val="single" w:color="auto" w:sz="12" w:space="0"/>
            </w:tcBorders>
            <w:vAlign w:val="center"/>
          </w:tcPr>
          <w:p w14:paraId="3D7DDF9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相对方位</w:t>
            </w:r>
          </w:p>
        </w:tc>
        <w:tc>
          <w:tcPr>
            <w:tcW w:w="2511" w:type="dxa"/>
            <w:tcBorders>
              <w:bottom w:val="single" w:color="auto" w:sz="12" w:space="0"/>
            </w:tcBorders>
            <w:vAlign w:val="center"/>
          </w:tcPr>
          <w:p w14:paraId="27AC536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与工业园区最近距离（m）</w:t>
            </w:r>
          </w:p>
        </w:tc>
        <w:tc>
          <w:tcPr>
            <w:tcW w:w="1818" w:type="dxa"/>
            <w:tcBorders>
              <w:bottom w:val="single" w:color="auto" w:sz="12" w:space="0"/>
            </w:tcBorders>
            <w:vAlign w:val="center"/>
          </w:tcPr>
          <w:p w14:paraId="14DE40B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default" w:ascii="Times New Roman" w:hAnsi="Times New Roman" w:cs="Times New Roman"/>
                <w:b/>
                <w:bCs/>
                <w:color w:val="auto"/>
                <w:sz w:val="21"/>
                <w:szCs w:val="21"/>
                <w:highlight w:val="none"/>
              </w:rPr>
              <w:t>备注</w:t>
            </w:r>
          </w:p>
        </w:tc>
      </w:tr>
      <w:tr w14:paraId="4EF304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3E2244D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1</w:t>
            </w:r>
          </w:p>
        </w:tc>
        <w:tc>
          <w:tcPr>
            <w:tcW w:w="3254" w:type="dxa"/>
            <w:vAlign w:val="center"/>
          </w:tcPr>
          <w:p w14:paraId="6852EE7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何家屋基</w:t>
            </w:r>
          </w:p>
        </w:tc>
        <w:tc>
          <w:tcPr>
            <w:tcW w:w="1614" w:type="dxa"/>
            <w:vAlign w:val="center"/>
          </w:tcPr>
          <w:p w14:paraId="788E59A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西</w:t>
            </w:r>
          </w:p>
        </w:tc>
        <w:tc>
          <w:tcPr>
            <w:tcW w:w="2511" w:type="dxa"/>
            <w:vAlign w:val="center"/>
          </w:tcPr>
          <w:p w14:paraId="3529CB4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0</w:t>
            </w:r>
          </w:p>
        </w:tc>
        <w:tc>
          <w:tcPr>
            <w:tcW w:w="1818" w:type="dxa"/>
            <w:vAlign w:val="center"/>
          </w:tcPr>
          <w:p w14:paraId="50E6B1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sz w:val="21"/>
                <w:szCs w:val="21"/>
                <w:highlight w:val="none"/>
              </w:rPr>
              <w:t>居住</w:t>
            </w:r>
          </w:p>
        </w:tc>
      </w:tr>
      <w:tr w14:paraId="1C49D1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1A08BA4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2</w:t>
            </w:r>
          </w:p>
        </w:tc>
        <w:tc>
          <w:tcPr>
            <w:tcW w:w="3254" w:type="dxa"/>
            <w:vAlign w:val="center"/>
          </w:tcPr>
          <w:p w14:paraId="76FE568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八号公寓</w:t>
            </w:r>
          </w:p>
        </w:tc>
        <w:tc>
          <w:tcPr>
            <w:tcW w:w="1614" w:type="dxa"/>
            <w:vAlign w:val="center"/>
          </w:tcPr>
          <w:p w14:paraId="47952BA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西</w:t>
            </w:r>
          </w:p>
        </w:tc>
        <w:tc>
          <w:tcPr>
            <w:tcW w:w="2511" w:type="dxa"/>
            <w:vAlign w:val="center"/>
          </w:tcPr>
          <w:p w14:paraId="28B7B98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10</w:t>
            </w:r>
          </w:p>
        </w:tc>
        <w:tc>
          <w:tcPr>
            <w:tcW w:w="1818" w:type="dxa"/>
            <w:vAlign w:val="center"/>
          </w:tcPr>
          <w:p w14:paraId="061585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sz w:val="21"/>
                <w:szCs w:val="21"/>
                <w:highlight w:val="none"/>
              </w:rPr>
              <w:t>居住</w:t>
            </w:r>
          </w:p>
        </w:tc>
      </w:tr>
      <w:tr w14:paraId="66A06A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5C947DE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3</w:t>
            </w:r>
          </w:p>
        </w:tc>
        <w:tc>
          <w:tcPr>
            <w:tcW w:w="3254" w:type="dxa"/>
            <w:vAlign w:val="center"/>
          </w:tcPr>
          <w:p w14:paraId="0A7774E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鄂州市葛店开发区三王小学</w:t>
            </w:r>
          </w:p>
        </w:tc>
        <w:tc>
          <w:tcPr>
            <w:tcW w:w="1614" w:type="dxa"/>
            <w:vAlign w:val="center"/>
          </w:tcPr>
          <w:p w14:paraId="212B58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西</w:t>
            </w:r>
          </w:p>
        </w:tc>
        <w:tc>
          <w:tcPr>
            <w:tcW w:w="2511" w:type="dxa"/>
            <w:vAlign w:val="center"/>
          </w:tcPr>
          <w:p w14:paraId="14D4277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290</w:t>
            </w:r>
          </w:p>
        </w:tc>
        <w:tc>
          <w:tcPr>
            <w:tcW w:w="1818" w:type="dxa"/>
            <w:vAlign w:val="center"/>
          </w:tcPr>
          <w:p w14:paraId="594613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color w:val="auto"/>
                <w:sz w:val="21"/>
                <w:szCs w:val="21"/>
                <w:highlight w:val="none"/>
              </w:rPr>
              <w:t>文化教育</w:t>
            </w:r>
          </w:p>
        </w:tc>
      </w:tr>
      <w:tr w14:paraId="1099E5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605213F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4</w:t>
            </w:r>
          </w:p>
        </w:tc>
        <w:tc>
          <w:tcPr>
            <w:tcW w:w="3254" w:type="dxa"/>
            <w:vAlign w:val="center"/>
          </w:tcPr>
          <w:p w14:paraId="6725BAD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光谷佳苑</w:t>
            </w:r>
          </w:p>
        </w:tc>
        <w:tc>
          <w:tcPr>
            <w:tcW w:w="1614" w:type="dxa"/>
            <w:vAlign w:val="center"/>
          </w:tcPr>
          <w:p w14:paraId="00D078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西</w:t>
            </w:r>
          </w:p>
        </w:tc>
        <w:tc>
          <w:tcPr>
            <w:tcW w:w="2511" w:type="dxa"/>
            <w:vAlign w:val="center"/>
          </w:tcPr>
          <w:p w14:paraId="186C960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310</w:t>
            </w:r>
          </w:p>
        </w:tc>
        <w:tc>
          <w:tcPr>
            <w:tcW w:w="1818" w:type="dxa"/>
            <w:vAlign w:val="center"/>
          </w:tcPr>
          <w:p w14:paraId="4C831D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sz w:val="21"/>
                <w:szCs w:val="21"/>
                <w:highlight w:val="none"/>
              </w:rPr>
              <w:t>居住</w:t>
            </w:r>
          </w:p>
        </w:tc>
      </w:tr>
      <w:tr w14:paraId="3199DA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5106E3E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5</w:t>
            </w:r>
          </w:p>
        </w:tc>
        <w:tc>
          <w:tcPr>
            <w:tcW w:w="3254" w:type="dxa"/>
            <w:vAlign w:val="center"/>
          </w:tcPr>
          <w:p w14:paraId="46C6609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下魏</w:t>
            </w:r>
          </w:p>
        </w:tc>
        <w:tc>
          <w:tcPr>
            <w:tcW w:w="1614" w:type="dxa"/>
            <w:vAlign w:val="center"/>
          </w:tcPr>
          <w:p w14:paraId="65B540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西南</w:t>
            </w:r>
          </w:p>
        </w:tc>
        <w:tc>
          <w:tcPr>
            <w:tcW w:w="2511" w:type="dxa"/>
            <w:vAlign w:val="center"/>
          </w:tcPr>
          <w:p w14:paraId="1036512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180</w:t>
            </w:r>
          </w:p>
        </w:tc>
        <w:tc>
          <w:tcPr>
            <w:tcW w:w="1818" w:type="dxa"/>
            <w:vAlign w:val="center"/>
          </w:tcPr>
          <w:p w14:paraId="01760D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sz w:val="21"/>
                <w:szCs w:val="21"/>
                <w:highlight w:val="none"/>
              </w:rPr>
              <w:t>居住</w:t>
            </w:r>
          </w:p>
        </w:tc>
      </w:tr>
      <w:tr w14:paraId="2F1205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171E60D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6</w:t>
            </w:r>
          </w:p>
        </w:tc>
        <w:tc>
          <w:tcPr>
            <w:tcW w:w="3254" w:type="dxa"/>
            <w:vAlign w:val="center"/>
          </w:tcPr>
          <w:p w14:paraId="10488A7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葛闵</w:t>
            </w:r>
          </w:p>
        </w:tc>
        <w:tc>
          <w:tcPr>
            <w:tcW w:w="1614" w:type="dxa"/>
            <w:vAlign w:val="center"/>
          </w:tcPr>
          <w:p w14:paraId="7361E1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南</w:t>
            </w:r>
          </w:p>
        </w:tc>
        <w:tc>
          <w:tcPr>
            <w:tcW w:w="2511" w:type="dxa"/>
            <w:vAlign w:val="center"/>
          </w:tcPr>
          <w:p w14:paraId="398F0C8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150</w:t>
            </w:r>
          </w:p>
        </w:tc>
        <w:tc>
          <w:tcPr>
            <w:tcW w:w="1818" w:type="dxa"/>
            <w:vAlign w:val="center"/>
          </w:tcPr>
          <w:p w14:paraId="279FCE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sz w:val="21"/>
                <w:szCs w:val="21"/>
                <w:highlight w:val="none"/>
              </w:rPr>
              <w:t>居住</w:t>
            </w:r>
          </w:p>
        </w:tc>
      </w:tr>
      <w:tr w14:paraId="013FE2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67C2F51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7</w:t>
            </w:r>
          </w:p>
        </w:tc>
        <w:tc>
          <w:tcPr>
            <w:tcW w:w="3254" w:type="dxa"/>
            <w:vAlign w:val="center"/>
          </w:tcPr>
          <w:p w14:paraId="153F531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金熊村</w:t>
            </w:r>
          </w:p>
        </w:tc>
        <w:tc>
          <w:tcPr>
            <w:tcW w:w="1614" w:type="dxa"/>
            <w:vAlign w:val="center"/>
          </w:tcPr>
          <w:p w14:paraId="0BD06C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南</w:t>
            </w:r>
          </w:p>
        </w:tc>
        <w:tc>
          <w:tcPr>
            <w:tcW w:w="2511" w:type="dxa"/>
            <w:vAlign w:val="center"/>
          </w:tcPr>
          <w:p w14:paraId="5EDD116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0</w:t>
            </w:r>
          </w:p>
        </w:tc>
        <w:tc>
          <w:tcPr>
            <w:tcW w:w="1818" w:type="dxa"/>
            <w:vAlign w:val="center"/>
          </w:tcPr>
          <w:p w14:paraId="4C3EB9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sz w:val="21"/>
                <w:szCs w:val="21"/>
                <w:highlight w:val="none"/>
              </w:rPr>
              <w:t>居住</w:t>
            </w:r>
          </w:p>
        </w:tc>
      </w:tr>
      <w:tr w14:paraId="0B9930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049DFBA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8</w:t>
            </w:r>
          </w:p>
        </w:tc>
        <w:tc>
          <w:tcPr>
            <w:tcW w:w="3254" w:type="dxa"/>
            <w:vAlign w:val="center"/>
          </w:tcPr>
          <w:p w14:paraId="068D3CA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叶李</w:t>
            </w:r>
          </w:p>
        </w:tc>
        <w:tc>
          <w:tcPr>
            <w:tcW w:w="1614" w:type="dxa"/>
            <w:vAlign w:val="center"/>
          </w:tcPr>
          <w:p w14:paraId="502211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南</w:t>
            </w:r>
          </w:p>
        </w:tc>
        <w:tc>
          <w:tcPr>
            <w:tcW w:w="2511" w:type="dxa"/>
            <w:vAlign w:val="center"/>
          </w:tcPr>
          <w:p w14:paraId="3AD018B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0</w:t>
            </w:r>
          </w:p>
        </w:tc>
        <w:tc>
          <w:tcPr>
            <w:tcW w:w="1818" w:type="dxa"/>
            <w:vAlign w:val="center"/>
          </w:tcPr>
          <w:p w14:paraId="7FAD3C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sz w:val="21"/>
                <w:szCs w:val="21"/>
                <w:highlight w:val="none"/>
              </w:rPr>
              <w:t>居住</w:t>
            </w:r>
          </w:p>
        </w:tc>
      </w:tr>
      <w:tr w14:paraId="1A9DEE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1F7DFE2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9</w:t>
            </w:r>
          </w:p>
        </w:tc>
        <w:tc>
          <w:tcPr>
            <w:tcW w:w="3254" w:type="dxa"/>
            <w:vAlign w:val="center"/>
          </w:tcPr>
          <w:p w14:paraId="3DF4075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三分</w:t>
            </w:r>
            <w:r>
              <w:rPr>
                <w:rFonts w:hint="default" w:ascii="Times New Roman" w:hAnsi="Times New Roman" w:cs="Times New Roman"/>
                <w:sz w:val="21"/>
                <w:szCs w:val="21"/>
                <w:highlight w:val="none"/>
                <w:vertAlign w:val="baseline"/>
                <w:lang w:val="en-US" w:eastAsia="zh-CN"/>
              </w:rPr>
              <w:t>村</w:t>
            </w:r>
          </w:p>
        </w:tc>
        <w:tc>
          <w:tcPr>
            <w:tcW w:w="1614" w:type="dxa"/>
            <w:vAlign w:val="center"/>
          </w:tcPr>
          <w:p w14:paraId="1752AD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南</w:t>
            </w:r>
          </w:p>
        </w:tc>
        <w:tc>
          <w:tcPr>
            <w:tcW w:w="2511" w:type="dxa"/>
            <w:vAlign w:val="center"/>
          </w:tcPr>
          <w:p w14:paraId="4193688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50</w:t>
            </w:r>
          </w:p>
        </w:tc>
        <w:tc>
          <w:tcPr>
            <w:tcW w:w="1818" w:type="dxa"/>
            <w:vAlign w:val="center"/>
          </w:tcPr>
          <w:p w14:paraId="6437A3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sz w:val="21"/>
                <w:szCs w:val="21"/>
                <w:highlight w:val="none"/>
              </w:rPr>
              <w:t>居住</w:t>
            </w:r>
          </w:p>
        </w:tc>
      </w:tr>
      <w:tr w14:paraId="182900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6BC8E1B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10</w:t>
            </w:r>
          </w:p>
        </w:tc>
        <w:tc>
          <w:tcPr>
            <w:tcW w:w="3254" w:type="dxa"/>
            <w:vAlign w:val="center"/>
          </w:tcPr>
          <w:p w14:paraId="61E0509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刘花村</w:t>
            </w:r>
          </w:p>
        </w:tc>
        <w:tc>
          <w:tcPr>
            <w:tcW w:w="1614" w:type="dxa"/>
            <w:vAlign w:val="center"/>
          </w:tcPr>
          <w:p w14:paraId="4EDAD3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南</w:t>
            </w:r>
          </w:p>
        </w:tc>
        <w:tc>
          <w:tcPr>
            <w:tcW w:w="2511" w:type="dxa"/>
            <w:vAlign w:val="center"/>
          </w:tcPr>
          <w:p w14:paraId="5CDCA54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10</w:t>
            </w:r>
          </w:p>
        </w:tc>
        <w:tc>
          <w:tcPr>
            <w:tcW w:w="1818" w:type="dxa"/>
            <w:vAlign w:val="center"/>
          </w:tcPr>
          <w:p w14:paraId="099556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sz w:val="21"/>
                <w:szCs w:val="21"/>
                <w:highlight w:val="none"/>
              </w:rPr>
              <w:t>居住</w:t>
            </w:r>
          </w:p>
        </w:tc>
      </w:tr>
      <w:tr w14:paraId="6F974E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0DAD1C1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11</w:t>
            </w:r>
          </w:p>
        </w:tc>
        <w:tc>
          <w:tcPr>
            <w:tcW w:w="3254" w:type="dxa"/>
            <w:vAlign w:val="center"/>
          </w:tcPr>
          <w:p w14:paraId="4EBBFC1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新赵</w:t>
            </w:r>
          </w:p>
        </w:tc>
        <w:tc>
          <w:tcPr>
            <w:tcW w:w="1614" w:type="dxa"/>
            <w:vAlign w:val="center"/>
          </w:tcPr>
          <w:p w14:paraId="15C052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南</w:t>
            </w:r>
          </w:p>
        </w:tc>
        <w:tc>
          <w:tcPr>
            <w:tcW w:w="2511" w:type="dxa"/>
            <w:vAlign w:val="center"/>
          </w:tcPr>
          <w:p w14:paraId="6969A54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150</w:t>
            </w:r>
          </w:p>
        </w:tc>
        <w:tc>
          <w:tcPr>
            <w:tcW w:w="1818" w:type="dxa"/>
            <w:vAlign w:val="center"/>
          </w:tcPr>
          <w:p w14:paraId="51ADB6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sz w:val="21"/>
                <w:szCs w:val="21"/>
                <w:highlight w:val="none"/>
              </w:rPr>
              <w:t>居住</w:t>
            </w:r>
          </w:p>
        </w:tc>
      </w:tr>
      <w:tr w14:paraId="72251C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4104816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12</w:t>
            </w:r>
          </w:p>
        </w:tc>
        <w:tc>
          <w:tcPr>
            <w:tcW w:w="3254" w:type="dxa"/>
            <w:vAlign w:val="center"/>
          </w:tcPr>
          <w:p w14:paraId="5773C19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徐夏村</w:t>
            </w:r>
          </w:p>
        </w:tc>
        <w:tc>
          <w:tcPr>
            <w:tcW w:w="1614" w:type="dxa"/>
            <w:vAlign w:val="center"/>
          </w:tcPr>
          <w:p w14:paraId="19466A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南</w:t>
            </w:r>
          </w:p>
        </w:tc>
        <w:tc>
          <w:tcPr>
            <w:tcW w:w="2511" w:type="dxa"/>
            <w:vAlign w:val="center"/>
          </w:tcPr>
          <w:p w14:paraId="4F45103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135</w:t>
            </w:r>
          </w:p>
        </w:tc>
        <w:tc>
          <w:tcPr>
            <w:tcW w:w="1818" w:type="dxa"/>
            <w:vAlign w:val="center"/>
          </w:tcPr>
          <w:p w14:paraId="0260B3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sz w:val="21"/>
                <w:szCs w:val="21"/>
                <w:highlight w:val="none"/>
              </w:rPr>
              <w:t>居住</w:t>
            </w:r>
          </w:p>
        </w:tc>
      </w:tr>
      <w:tr w14:paraId="5F513D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4EE85C7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13</w:t>
            </w:r>
          </w:p>
        </w:tc>
        <w:tc>
          <w:tcPr>
            <w:tcW w:w="3254" w:type="dxa"/>
            <w:vAlign w:val="center"/>
          </w:tcPr>
          <w:p w14:paraId="13E73C0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倪家村</w:t>
            </w:r>
          </w:p>
        </w:tc>
        <w:tc>
          <w:tcPr>
            <w:tcW w:w="1614" w:type="dxa"/>
            <w:vAlign w:val="center"/>
          </w:tcPr>
          <w:p w14:paraId="776420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cs="Times New Roman"/>
                <w:sz w:val="21"/>
                <w:szCs w:val="21"/>
                <w:highlight w:val="none"/>
                <w:vertAlign w:val="baseline"/>
                <w:lang w:val="en-US" w:eastAsia="zh-CN"/>
              </w:rPr>
              <w:t>东</w:t>
            </w:r>
          </w:p>
        </w:tc>
        <w:tc>
          <w:tcPr>
            <w:tcW w:w="2511" w:type="dxa"/>
            <w:vAlign w:val="center"/>
          </w:tcPr>
          <w:p w14:paraId="24ECA10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400</w:t>
            </w:r>
          </w:p>
        </w:tc>
        <w:tc>
          <w:tcPr>
            <w:tcW w:w="1818" w:type="dxa"/>
            <w:vAlign w:val="center"/>
          </w:tcPr>
          <w:p w14:paraId="2D8683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sz w:val="21"/>
                <w:szCs w:val="21"/>
                <w:highlight w:val="none"/>
              </w:rPr>
              <w:t>居住</w:t>
            </w:r>
          </w:p>
        </w:tc>
      </w:tr>
      <w:tr w14:paraId="1F0CC3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18967B3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14</w:t>
            </w:r>
          </w:p>
        </w:tc>
        <w:tc>
          <w:tcPr>
            <w:tcW w:w="3254" w:type="dxa"/>
            <w:vAlign w:val="center"/>
          </w:tcPr>
          <w:p w14:paraId="722C692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垱屋夏</w:t>
            </w:r>
          </w:p>
        </w:tc>
        <w:tc>
          <w:tcPr>
            <w:tcW w:w="1614" w:type="dxa"/>
            <w:vAlign w:val="center"/>
          </w:tcPr>
          <w:p w14:paraId="3F1AB65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sz w:val="21"/>
                <w:szCs w:val="21"/>
                <w:highlight w:val="none"/>
                <w:vertAlign w:val="baseline"/>
                <w:lang w:val="en-US" w:eastAsia="zh-CN"/>
              </w:rPr>
            </w:pPr>
            <w:r>
              <w:rPr>
                <w:rFonts w:hint="default" w:cs="Times New Roman"/>
                <w:sz w:val="21"/>
                <w:szCs w:val="21"/>
                <w:highlight w:val="none"/>
                <w:vertAlign w:val="baseline"/>
                <w:lang w:val="en-US" w:eastAsia="zh-CN"/>
              </w:rPr>
              <w:t>东</w:t>
            </w:r>
          </w:p>
        </w:tc>
        <w:tc>
          <w:tcPr>
            <w:tcW w:w="2511" w:type="dxa"/>
            <w:vAlign w:val="center"/>
          </w:tcPr>
          <w:p w14:paraId="22565CD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320</w:t>
            </w:r>
          </w:p>
        </w:tc>
        <w:tc>
          <w:tcPr>
            <w:tcW w:w="1818" w:type="dxa"/>
            <w:vAlign w:val="center"/>
          </w:tcPr>
          <w:p w14:paraId="3557FF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sz w:val="21"/>
                <w:szCs w:val="21"/>
                <w:highlight w:val="none"/>
                <w:vertAlign w:val="baseline"/>
                <w:lang w:val="en-US" w:eastAsia="zh-CN"/>
              </w:rPr>
            </w:pPr>
            <w:r>
              <w:rPr>
                <w:rFonts w:hint="eastAsia"/>
                <w:sz w:val="21"/>
                <w:szCs w:val="21"/>
                <w:highlight w:val="none"/>
              </w:rPr>
              <w:t>居住</w:t>
            </w:r>
          </w:p>
        </w:tc>
      </w:tr>
      <w:tr w14:paraId="5E841A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3F3136A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15</w:t>
            </w:r>
          </w:p>
        </w:tc>
        <w:tc>
          <w:tcPr>
            <w:tcW w:w="3254" w:type="dxa"/>
            <w:vAlign w:val="center"/>
          </w:tcPr>
          <w:p w14:paraId="78A30BE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柴汤村</w:t>
            </w:r>
          </w:p>
        </w:tc>
        <w:tc>
          <w:tcPr>
            <w:tcW w:w="1614" w:type="dxa"/>
            <w:vAlign w:val="center"/>
          </w:tcPr>
          <w:p w14:paraId="27CB61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cs="Times New Roman"/>
                <w:sz w:val="21"/>
                <w:szCs w:val="21"/>
                <w:highlight w:val="none"/>
                <w:vertAlign w:val="baseline"/>
                <w:lang w:val="en-US" w:eastAsia="zh-CN"/>
              </w:rPr>
              <w:t>东</w:t>
            </w:r>
          </w:p>
        </w:tc>
        <w:tc>
          <w:tcPr>
            <w:tcW w:w="2511" w:type="dxa"/>
            <w:vAlign w:val="center"/>
          </w:tcPr>
          <w:p w14:paraId="1F36533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380</w:t>
            </w:r>
          </w:p>
        </w:tc>
        <w:tc>
          <w:tcPr>
            <w:tcW w:w="1818" w:type="dxa"/>
            <w:vAlign w:val="center"/>
          </w:tcPr>
          <w:p w14:paraId="1C0BA5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sz w:val="21"/>
                <w:szCs w:val="21"/>
                <w:highlight w:val="none"/>
              </w:rPr>
              <w:t>居住</w:t>
            </w:r>
          </w:p>
        </w:tc>
      </w:tr>
      <w:tr w14:paraId="700968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44F6884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16</w:t>
            </w:r>
          </w:p>
        </w:tc>
        <w:tc>
          <w:tcPr>
            <w:tcW w:w="3254" w:type="dxa"/>
            <w:vAlign w:val="center"/>
          </w:tcPr>
          <w:p w14:paraId="47EB46A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朱仕武</w:t>
            </w:r>
          </w:p>
        </w:tc>
        <w:tc>
          <w:tcPr>
            <w:tcW w:w="1614" w:type="dxa"/>
            <w:vAlign w:val="center"/>
          </w:tcPr>
          <w:p w14:paraId="659196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sz w:val="21"/>
                <w:szCs w:val="21"/>
                <w:highlight w:val="none"/>
                <w:vertAlign w:val="baseline"/>
                <w:lang w:val="en-US" w:eastAsia="zh-CN"/>
              </w:rPr>
            </w:pPr>
            <w:r>
              <w:rPr>
                <w:rFonts w:hint="default" w:cs="Times New Roman"/>
                <w:sz w:val="21"/>
                <w:szCs w:val="21"/>
                <w:highlight w:val="none"/>
                <w:vertAlign w:val="baseline"/>
                <w:lang w:val="en-US" w:eastAsia="zh-CN"/>
              </w:rPr>
              <w:t>东</w:t>
            </w:r>
          </w:p>
        </w:tc>
        <w:tc>
          <w:tcPr>
            <w:tcW w:w="2511" w:type="dxa"/>
            <w:vAlign w:val="center"/>
          </w:tcPr>
          <w:p w14:paraId="6F07478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70</w:t>
            </w:r>
          </w:p>
        </w:tc>
        <w:tc>
          <w:tcPr>
            <w:tcW w:w="1818" w:type="dxa"/>
            <w:vAlign w:val="center"/>
          </w:tcPr>
          <w:p w14:paraId="03F6CF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sz w:val="21"/>
                <w:szCs w:val="21"/>
                <w:highlight w:val="none"/>
                <w:vertAlign w:val="baseline"/>
                <w:lang w:val="en-US" w:eastAsia="zh-CN"/>
              </w:rPr>
            </w:pPr>
            <w:r>
              <w:rPr>
                <w:rFonts w:hint="eastAsia"/>
                <w:sz w:val="21"/>
                <w:szCs w:val="21"/>
                <w:highlight w:val="none"/>
              </w:rPr>
              <w:t>居住</w:t>
            </w:r>
          </w:p>
        </w:tc>
      </w:tr>
      <w:tr w14:paraId="77B103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753BC5B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17</w:t>
            </w:r>
          </w:p>
        </w:tc>
        <w:tc>
          <w:tcPr>
            <w:tcW w:w="3254" w:type="dxa"/>
            <w:vAlign w:val="center"/>
          </w:tcPr>
          <w:p w14:paraId="4906306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霍家村</w:t>
            </w:r>
          </w:p>
        </w:tc>
        <w:tc>
          <w:tcPr>
            <w:tcW w:w="1614" w:type="dxa"/>
            <w:vAlign w:val="center"/>
          </w:tcPr>
          <w:p w14:paraId="0A400C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东</w:t>
            </w:r>
          </w:p>
        </w:tc>
        <w:tc>
          <w:tcPr>
            <w:tcW w:w="2511" w:type="dxa"/>
            <w:vAlign w:val="center"/>
          </w:tcPr>
          <w:p w14:paraId="3EB51B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400</w:t>
            </w:r>
          </w:p>
        </w:tc>
        <w:tc>
          <w:tcPr>
            <w:tcW w:w="1818" w:type="dxa"/>
            <w:vAlign w:val="center"/>
          </w:tcPr>
          <w:p w14:paraId="2836BB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sz w:val="21"/>
                <w:szCs w:val="21"/>
                <w:highlight w:val="none"/>
              </w:rPr>
              <w:t>居住</w:t>
            </w:r>
          </w:p>
        </w:tc>
      </w:tr>
      <w:tr w14:paraId="05F451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4288BD0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18</w:t>
            </w:r>
          </w:p>
        </w:tc>
        <w:tc>
          <w:tcPr>
            <w:tcW w:w="3254" w:type="dxa"/>
            <w:vAlign w:val="center"/>
          </w:tcPr>
          <w:p w14:paraId="33ADD96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涂家立</w:t>
            </w:r>
          </w:p>
        </w:tc>
        <w:tc>
          <w:tcPr>
            <w:tcW w:w="1614" w:type="dxa"/>
            <w:vAlign w:val="center"/>
          </w:tcPr>
          <w:p w14:paraId="6E1F5A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东</w:t>
            </w:r>
          </w:p>
        </w:tc>
        <w:tc>
          <w:tcPr>
            <w:tcW w:w="2511" w:type="dxa"/>
            <w:vAlign w:val="center"/>
          </w:tcPr>
          <w:p w14:paraId="313683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280</w:t>
            </w:r>
          </w:p>
        </w:tc>
        <w:tc>
          <w:tcPr>
            <w:tcW w:w="1818" w:type="dxa"/>
            <w:vAlign w:val="center"/>
          </w:tcPr>
          <w:p w14:paraId="3B9FC7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sz w:val="21"/>
                <w:szCs w:val="21"/>
                <w:highlight w:val="none"/>
              </w:rPr>
              <w:t>居住</w:t>
            </w:r>
          </w:p>
        </w:tc>
      </w:tr>
      <w:tr w14:paraId="7848B8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7C07AB6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19</w:t>
            </w:r>
          </w:p>
        </w:tc>
        <w:tc>
          <w:tcPr>
            <w:tcW w:w="3254" w:type="dxa"/>
            <w:vAlign w:val="center"/>
          </w:tcPr>
          <w:p w14:paraId="03060C0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李家岗</w:t>
            </w:r>
          </w:p>
        </w:tc>
        <w:tc>
          <w:tcPr>
            <w:tcW w:w="1614" w:type="dxa"/>
            <w:vAlign w:val="center"/>
          </w:tcPr>
          <w:p w14:paraId="0FB081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东</w:t>
            </w:r>
          </w:p>
        </w:tc>
        <w:tc>
          <w:tcPr>
            <w:tcW w:w="2511" w:type="dxa"/>
            <w:vAlign w:val="center"/>
          </w:tcPr>
          <w:p w14:paraId="5F675D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280</w:t>
            </w:r>
          </w:p>
        </w:tc>
        <w:tc>
          <w:tcPr>
            <w:tcW w:w="1818" w:type="dxa"/>
            <w:vAlign w:val="center"/>
          </w:tcPr>
          <w:p w14:paraId="1C5007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sz w:val="21"/>
                <w:szCs w:val="21"/>
                <w:highlight w:val="none"/>
                <w:vertAlign w:val="baseline"/>
                <w:lang w:val="en-US" w:eastAsia="zh-CN"/>
              </w:rPr>
            </w:pPr>
            <w:r>
              <w:rPr>
                <w:rFonts w:hint="eastAsia"/>
                <w:sz w:val="21"/>
                <w:szCs w:val="21"/>
                <w:highlight w:val="none"/>
              </w:rPr>
              <w:t>居住</w:t>
            </w:r>
          </w:p>
        </w:tc>
      </w:tr>
      <w:tr w14:paraId="5EC25D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4B47E5A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20</w:t>
            </w:r>
          </w:p>
        </w:tc>
        <w:tc>
          <w:tcPr>
            <w:tcW w:w="3254" w:type="dxa"/>
            <w:vAlign w:val="center"/>
          </w:tcPr>
          <w:p w14:paraId="527D9C6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姜家田</w:t>
            </w:r>
          </w:p>
        </w:tc>
        <w:tc>
          <w:tcPr>
            <w:tcW w:w="1614" w:type="dxa"/>
            <w:vAlign w:val="center"/>
          </w:tcPr>
          <w:p w14:paraId="0AB2EA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东</w:t>
            </w:r>
          </w:p>
        </w:tc>
        <w:tc>
          <w:tcPr>
            <w:tcW w:w="2511" w:type="dxa"/>
            <w:vAlign w:val="center"/>
          </w:tcPr>
          <w:p w14:paraId="41CF9F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150</w:t>
            </w:r>
          </w:p>
        </w:tc>
        <w:tc>
          <w:tcPr>
            <w:tcW w:w="1818" w:type="dxa"/>
            <w:vAlign w:val="center"/>
          </w:tcPr>
          <w:p w14:paraId="53DB8D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sz w:val="21"/>
                <w:szCs w:val="21"/>
                <w:highlight w:val="none"/>
                <w:vertAlign w:val="baseline"/>
                <w:lang w:val="en-US" w:eastAsia="zh-CN"/>
              </w:rPr>
            </w:pPr>
            <w:r>
              <w:rPr>
                <w:rFonts w:hint="eastAsia"/>
                <w:sz w:val="21"/>
                <w:szCs w:val="21"/>
                <w:highlight w:val="none"/>
              </w:rPr>
              <w:t>居住</w:t>
            </w:r>
          </w:p>
        </w:tc>
      </w:tr>
      <w:tr w14:paraId="35A2BF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79260D4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21</w:t>
            </w:r>
          </w:p>
        </w:tc>
        <w:tc>
          <w:tcPr>
            <w:tcW w:w="3254" w:type="dxa"/>
            <w:vAlign w:val="center"/>
          </w:tcPr>
          <w:p w14:paraId="4C2B553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廖娘娘村</w:t>
            </w:r>
          </w:p>
        </w:tc>
        <w:tc>
          <w:tcPr>
            <w:tcW w:w="1614" w:type="dxa"/>
            <w:vAlign w:val="center"/>
          </w:tcPr>
          <w:p w14:paraId="0E5767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北</w:t>
            </w:r>
          </w:p>
        </w:tc>
        <w:tc>
          <w:tcPr>
            <w:tcW w:w="2511" w:type="dxa"/>
            <w:vAlign w:val="center"/>
          </w:tcPr>
          <w:p w14:paraId="2A25F5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10</w:t>
            </w:r>
          </w:p>
        </w:tc>
        <w:tc>
          <w:tcPr>
            <w:tcW w:w="1818" w:type="dxa"/>
            <w:vAlign w:val="center"/>
          </w:tcPr>
          <w:p w14:paraId="3CDE06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sz w:val="21"/>
                <w:szCs w:val="21"/>
                <w:highlight w:val="none"/>
              </w:rPr>
              <w:t>居住</w:t>
            </w:r>
          </w:p>
        </w:tc>
      </w:tr>
      <w:tr w14:paraId="7DF0CB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06B4E5B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22</w:t>
            </w:r>
          </w:p>
        </w:tc>
        <w:tc>
          <w:tcPr>
            <w:tcW w:w="3254" w:type="dxa"/>
            <w:vAlign w:val="center"/>
          </w:tcPr>
          <w:p w14:paraId="6457D23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李华驿</w:t>
            </w:r>
          </w:p>
        </w:tc>
        <w:tc>
          <w:tcPr>
            <w:tcW w:w="1614" w:type="dxa"/>
            <w:vAlign w:val="center"/>
          </w:tcPr>
          <w:p w14:paraId="229E1B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北</w:t>
            </w:r>
          </w:p>
        </w:tc>
        <w:tc>
          <w:tcPr>
            <w:tcW w:w="2511" w:type="dxa"/>
            <w:vAlign w:val="center"/>
          </w:tcPr>
          <w:p w14:paraId="3FAA79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150</w:t>
            </w:r>
          </w:p>
        </w:tc>
        <w:tc>
          <w:tcPr>
            <w:tcW w:w="1818" w:type="dxa"/>
            <w:vAlign w:val="center"/>
          </w:tcPr>
          <w:p w14:paraId="1ECAEC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sz w:val="21"/>
                <w:szCs w:val="21"/>
                <w:highlight w:val="none"/>
                <w:vertAlign w:val="baseline"/>
                <w:lang w:val="en-US" w:eastAsia="zh-CN"/>
              </w:rPr>
            </w:pPr>
            <w:r>
              <w:rPr>
                <w:rFonts w:hint="eastAsia"/>
                <w:sz w:val="21"/>
                <w:szCs w:val="21"/>
                <w:highlight w:val="none"/>
              </w:rPr>
              <w:t>居住</w:t>
            </w:r>
          </w:p>
        </w:tc>
      </w:tr>
      <w:tr w14:paraId="7F843A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60B27D5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23</w:t>
            </w:r>
          </w:p>
        </w:tc>
        <w:tc>
          <w:tcPr>
            <w:tcW w:w="3254" w:type="dxa"/>
            <w:vAlign w:val="center"/>
          </w:tcPr>
          <w:p w14:paraId="7C335B6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韩家畈</w:t>
            </w:r>
          </w:p>
        </w:tc>
        <w:tc>
          <w:tcPr>
            <w:tcW w:w="1614" w:type="dxa"/>
            <w:vAlign w:val="center"/>
          </w:tcPr>
          <w:p w14:paraId="7B5C10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北</w:t>
            </w:r>
          </w:p>
        </w:tc>
        <w:tc>
          <w:tcPr>
            <w:tcW w:w="2511" w:type="dxa"/>
            <w:vAlign w:val="center"/>
          </w:tcPr>
          <w:p w14:paraId="3A36CB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80</w:t>
            </w:r>
          </w:p>
        </w:tc>
        <w:tc>
          <w:tcPr>
            <w:tcW w:w="1818" w:type="dxa"/>
            <w:vAlign w:val="center"/>
          </w:tcPr>
          <w:p w14:paraId="08030F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sz w:val="21"/>
                <w:szCs w:val="21"/>
                <w:highlight w:val="none"/>
                <w:vertAlign w:val="baseline"/>
                <w:lang w:val="en-US" w:eastAsia="zh-CN"/>
              </w:rPr>
            </w:pPr>
            <w:r>
              <w:rPr>
                <w:rFonts w:hint="eastAsia"/>
                <w:sz w:val="21"/>
                <w:szCs w:val="21"/>
                <w:highlight w:val="none"/>
              </w:rPr>
              <w:t>居住</w:t>
            </w:r>
          </w:p>
        </w:tc>
      </w:tr>
      <w:tr w14:paraId="2A4EF3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161953F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24</w:t>
            </w:r>
          </w:p>
        </w:tc>
        <w:tc>
          <w:tcPr>
            <w:tcW w:w="3254" w:type="dxa"/>
            <w:vAlign w:val="center"/>
          </w:tcPr>
          <w:p w14:paraId="11C082C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韩畈村</w:t>
            </w:r>
          </w:p>
        </w:tc>
        <w:tc>
          <w:tcPr>
            <w:tcW w:w="1614" w:type="dxa"/>
            <w:vAlign w:val="center"/>
          </w:tcPr>
          <w:p w14:paraId="5F8262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北</w:t>
            </w:r>
          </w:p>
        </w:tc>
        <w:tc>
          <w:tcPr>
            <w:tcW w:w="2511" w:type="dxa"/>
            <w:vAlign w:val="center"/>
          </w:tcPr>
          <w:p w14:paraId="1F8944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0</w:t>
            </w:r>
          </w:p>
        </w:tc>
        <w:tc>
          <w:tcPr>
            <w:tcW w:w="1818" w:type="dxa"/>
            <w:vAlign w:val="center"/>
          </w:tcPr>
          <w:p w14:paraId="589E63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sz w:val="21"/>
                <w:szCs w:val="21"/>
                <w:highlight w:val="none"/>
                <w:vertAlign w:val="baseline"/>
                <w:lang w:val="en-US" w:eastAsia="zh-CN"/>
              </w:rPr>
            </w:pPr>
            <w:r>
              <w:rPr>
                <w:rFonts w:hint="eastAsia"/>
                <w:sz w:val="21"/>
                <w:szCs w:val="21"/>
                <w:highlight w:val="none"/>
              </w:rPr>
              <w:t>居住</w:t>
            </w:r>
          </w:p>
        </w:tc>
      </w:tr>
      <w:tr w14:paraId="692223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374514F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25</w:t>
            </w:r>
          </w:p>
        </w:tc>
        <w:tc>
          <w:tcPr>
            <w:tcW w:w="3254" w:type="dxa"/>
            <w:vAlign w:val="center"/>
          </w:tcPr>
          <w:p w14:paraId="63A89E4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罗家廖</w:t>
            </w:r>
          </w:p>
        </w:tc>
        <w:tc>
          <w:tcPr>
            <w:tcW w:w="1614" w:type="dxa"/>
            <w:vAlign w:val="center"/>
          </w:tcPr>
          <w:p w14:paraId="351EAB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北</w:t>
            </w:r>
          </w:p>
        </w:tc>
        <w:tc>
          <w:tcPr>
            <w:tcW w:w="2511" w:type="dxa"/>
            <w:vAlign w:val="center"/>
          </w:tcPr>
          <w:p w14:paraId="7685E0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0</w:t>
            </w:r>
          </w:p>
        </w:tc>
        <w:tc>
          <w:tcPr>
            <w:tcW w:w="1818" w:type="dxa"/>
            <w:vAlign w:val="center"/>
          </w:tcPr>
          <w:p w14:paraId="324476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sz w:val="21"/>
                <w:szCs w:val="21"/>
                <w:highlight w:val="none"/>
              </w:rPr>
              <w:t>居住</w:t>
            </w:r>
          </w:p>
        </w:tc>
      </w:tr>
      <w:tr w14:paraId="79CB68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7AE06A0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26</w:t>
            </w:r>
          </w:p>
        </w:tc>
        <w:tc>
          <w:tcPr>
            <w:tcW w:w="3254" w:type="dxa"/>
            <w:vAlign w:val="center"/>
          </w:tcPr>
          <w:p w14:paraId="0EE297B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宋吕</w:t>
            </w:r>
          </w:p>
        </w:tc>
        <w:tc>
          <w:tcPr>
            <w:tcW w:w="1614" w:type="dxa"/>
            <w:vAlign w:val="center"/>
          </w:tcPr>
          <w:p w14:paraId="17ACC7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北</w:t>
            </w:r>
          </w:p>
        </w:tc>
        <w:tc>
          <w:tcPr>
            <w:tcW w:w="2511" w:type="dxa"/>
            <w:vAlign w:val="center"/>
          </w:tcPr>
          <w:p w14:paraId="3F392C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300</w:t>
            </w:r>
          </w:p>
        </w:tc>
        <w:tc>
          <w:tcPr>
            <w:tcW w:w="1818" w:type="dxa"/>
            <w:vAlign w:val="center"/>
          </w:tcPr>
          <w:p w14:paraId="0B3579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sz w:val="21"/>
                <w:szCs w:val="21"/>
                <w:highlight w:val="none"/>
              </w:rPr>
              <w:t>居住</w:t>
            </w:r>
          </w:p>
        </w:tc>
      </w:tr>
      <w:tr w14:paraId="040D55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1B36271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27</w:t>
            </w:r>
          </w:p>
        </w:tc>
        <w:tc>
          <w:tcPr>
            <w:tcW w:w="3254" w:type="dxa"/>
            <w:vAlign w:val="center"/>
          </w:tcPr>
          <w:p w14:paraId="54927AB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土地树</w:t>
            </w:r>
          </w:p>
        </w:tc>
        <w:tc>
          <w:tcPr>
            <w:tcW w:w="1614" w:type="dxa"/>
            <w:vAlign w:val="center"/>
          </w:tcPr>
          <w:p w14:paraId="063310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北</w:t>
            </w:r>
          </w:p>
        </w:tc>
        <w:tc>
          <w:tcPr>
            <w:tcW w:w="2511" w:type="dxa"/>
            <w:vAlign w:val="center"/>
          </w:tcPr>
          <w:p w14:paraId="07DAE2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0</w:t>
            </w:r>
          </w:p>
        </w:tc>
        <w:tc>
          <w:tcPr>
            <w:tcW w:w="1818" w:type="dxa"/>
            <w:vAlign w:val="center"/>
          </w:tcPr>
          <w:p w14:paraId="5042B6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sz w:val="21"/>
                <w:szCs w:val="21"/>
                <w:highlight w:val="none"/>
              </w:rPr>
              <w:t>居住</w:t>
            </w:r>
          </w:p>
        </w:tc>
      </w:tr>
      <w:tr w14:paraId="235031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38F6A4B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28</w:t>
            </w:r>
          </w:p>
        </w:tc>
        <w:tc>
          <w:tcPr>
            <w:tcW w:w="3254" w:type="dxa"/>
            <w:vAlign w:val="center"/>
          </w:tcPr>
          <w:p w14:paraId="17F383D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腊村塘</w:t>
            </w:r>
          </w:p>
        </w:tc>
        <w:tc>
          <w:tcPr>
            <w:tcW w:w="1614" w:type="dxa"/>
            <w:vAlign w:val="center"/>
          </w:tcPr>
          <w:p w14:paraId="019472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北</w:t>
            </w:r>
          </w:p>
        </w:tc>
        <w:tc>
          <w:tcPr>
            <w:tcW w:w="2511" w:type="dxa"/>
            <w:vAlign w:val="center"/>
          </w:tcPr>
          <w:p w14:paraId="18BFB8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0</w:t>
            </w:r>
          </w:p>
        </w:tc>
        <w:tc>
          <w:tcPr>
            <w:tcW w:w="1818" w:type="dxa"/>
            <w:vAlign w:val="center"/>
          </w:tcPr>
          <w:p w14:paraId="37D241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sz w:val="21"/>
                <w:szCs w:val="21"/>
                <w:highlight w:val="none"/>
              </w:rPr>
              <w:t>居住</w:t>
            </w:r>
          </w:p>
        </w:tc>
      </w:tr>
      <w:tr w14:paraId="056F78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15BE9F7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29</w:t>
            </w:r>
          </w:p>
        </w:tc>
        <w:tc>
          <w:tcPr>
            <w:tcW w:w="3254" w:type="dxa"/>
            <w:vAlign w:val="center"/>
          </w:tcPr>
          <w:p w14:paraId="5135FA3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童家</w:t>
            </w:r>
          </w:p>
        </w:tc>
        <w:tc>
          <w:tcPr>
            <w:tcW w:w="1614" w:type="dxa"/>
            <w:vAlign w:val="center"/>
          </w:tcPr>
          <w:p w14:paraId="1BEA1B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北</w:t>
            </w:r>
          </w:p>
        </w:tc>
        <w:tc>
          <w:tcPr>
            <w:tcW w:w="2511" w:type="dxa"/>
            <w:vAlign w:val="center"/>
          </w:tcPr>
          <w:p w14:paraId="6F7F6D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250</w:t>
            </w:r>
          </w:p>
        </w:tc>
        <w:tc>
          <w:tcPr>
            <w:tcW w:w="1818" w:type="dxa"/>
            <w:vAlign w:val="center"/>
          </w:tcPr>
          <w:p w14:paraId="4A24D0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sz w:val="21"/>
                <w:szCs w:val="21"/>
                <w:highlight w:val="none"/>
              </w:rPr>
              <w:t>居住</w:t>
            </w:r>
          </w:p>
        </w:tc>
      </w:tr>
      <w:tr w14:paraId="29F3D3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7" w:type="dxa"/>
            <w:vAlign w:val="center"/>
          </w:tcPr>
          <w:p w14:paraId="4267B56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30</w:t>
            </w:r>
          </w:p>
        </w:tc>
        <w:tc>
          <w:tcPr>
            <w:tcW w:w="3254" w:type="dxa"/>
            <w:vAlign w:val="center"/>
          </w:tcPr>
          <w:p w14:paraId="317F821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肖叶村</w:t>
            </w:r>
          </w:p>
        </w:tc>
        <w:tc>
          <w:tcPr>
            <w:tcW w:w="1614" w:type="dxa"/>
            <w:vAlign w:val="center"/>
          </w:tcPr>
          <w:p w14:paraId="599841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北</w:t>
            </w:r>
          </w:p>
        </w:tc>
        <w:tc>
          <w:tcPr>
            <w:tcW w:w="2511" w:type="dxa"/>
            <w:vAlign w:val="center"/>
          </w:tcPr>
          <w:p w14:paraId="7C4C7E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350</w:t>
            </w:r>
          </w:p>
        </w:tc>
        <w:tc>
          <w:tcPr>
            <w:tcW w:w="1818" w:type="dxa"/>
            <w:vAlign w:val="center"/>
          </w:tcPr>
          <w:p w14:paraId="1EEA6B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sz w:val="21"/>
                <w:szCs w:val="21"/>
                <w:highlight w:val="none"/>
                <w:lang w:val="en-US"/>
              </w:rPr>
              <w:t>居住</w:t>
            </w:r>
          </w:p>
        </w:tc>
      </w:tr>
    </w:tbl>
    <w:p w14:paraId="5E82451E">
      <w:pPr>
        <w:pStyle w:val="5"/>
        <w:bidi w:val="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规划定位</w:t>
      </w:r>
    </w:p>
    <w:p w14:paraId="48CC53D5">
      <w:pPr>
        <w:spacing w:line="360" w:lineRule="auto"/>
        <w:ind w:firstLine="480" w:firstLineChars="200"/>
        <w:rPr>
          <w:rFonts w:hint="default" w:ascii="Times New Roman" w:hAnsi="Times New Roman"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根据《鄂州市城乡总体规划》（2011-2020），鄂州市通过多条通道的联接，形成西联东湖高新区、北湖化工区，东接黄石老工业基地的葛店开发区、华容创业园、三江港经济区、鄂州经济开发区、城东产业园区（鄂城新区）、花湖开发区“一线串六园区”的沿江综合产业走廊。其中，华容创业园重点发展钢铁建材、机械制造业。</w:t>
      </w:r>
    </w:p>
    <w:p w14:paraId="11642115">
      <w:pPr>
        <w:spacing w:line="360" w:lineRule="auto"/>
        <w:ind w:firstLine="480" w:firstLineChars="200"/>
        <w:rPr>
          <w:rFonts w:hint="default" w:ascii="Times New Roman" w:hAnsi="Times New Roman" w:cs="Times New Roman"/>
          <w:highlight w:val="none"/>
          <w:lang w:val="en-US" w:eastAsia="zh-CN"/>
        </w:rPr>
      </w:pP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鄂州市远景城乡产业结构图见附图3。</w:t>
      </w:r>
      <w:r>
        <w:rPr>
          <w:rFonts w:hint="eastAsia" w:cs="Times New Roman"/>
          <w:color w:val="000000" w:themeColor="text1"/>
          <w:kern w:val="0"/>
          <w:sz w:val="24"/>
          <w:highlight w:val="none"/>
          <w:lang w:val="en-US" w:eastAsia="zh-CN"/>
          <w14:textFill>
            <w14:solidFill>
              <w14:schemeClr w14:val="tx1"/>
            </w14:solidFill>
          </w14:textFill>
        </w:rPr>
        <w:t>华容城区控制性详规图</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见附图4。</w:t>
      </w:r>
    </w:p>
    <w:p w14:paraId="05C0E0DB">
      <w:pPr>
        <w:pStyle w:val="5"/>
        <w:bidi w:val="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园区土地利用现状</w:t>
      </w:r>
    </w:p>
    <w:p w14:paraId="58B83CC6">
      <w:pPr>
        <w:spacing w:line="360" w:lineRule="auto"/>
        <w:ind w:firstLine="480" w:firstLineChars="200"/>
        <w:rPr>
          <w:rFonts w:hint="default" w:ascii="Times New Roman" w:hAnsi="Times New Roman"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根据现场踏勘和谷歌卫片图，园区西部、东部已建成企业居多，园区中部主要为华容镇城区，北部和南部主要为</w:t>
      </w:r>
      <w:r>
        <w:rPr>
          <w:rFonts w:hint="eastAsia" w:cs="Times New Roman"/>
          <w:color w:val="000000" w:themeColor="text1"/>
          <w:kern w:val="0"/>
          <w:sz w:val="24"/>
          <w:highlight w:val="none"/>
          <w:lang w:val="en-US" w:eastAsia="zh-CN"/>
          <w14:textFill>
            <w14:solidFill>
              <w14:schemeClr w14:val="tx1"/>
            </w14:solidFill>
          </w14:textFill>
        </w:rPr>
        <w:t>未开发利用的</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村落、农田。已建成企业聚集区内主要企业情况如下表</w:t>
      </w:r>
      <w:r>
        <w:rPr>
          <w:rFonts w:hint="eastAsia" w:cs="Times New Roman"/>
          <w:color w:val="000000" w:themeColor="text1"/>
          <w:kern w:val="0"/>
          <w:sz w:val="24"/>
          <w:highlight w:val="none"/>
          <w:lang w:val="en-US" w:eastAsia="zh-CN"/>
          <w14:textFill>
            <w14:solidFill>
              <w14:schemeClr w14:val="tx1"/>
            </w14:solidFill>
          </w14:textFill>
        </w:rPr>
        <w:t>2-2-2</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所示，已建成企业分布图见附图5。</w:t>
      </w:r>
    </w:p>
    <w:p w14:paraId="4A518187">
      <w:pPr>
        <w:spacing w:before="157" w:beforeLines="50" w:after="0" w:afterLines="0" w:line="240" w:lineRule="auto"/>
        <w:jc w:val="center"/>
        <w:rPr>
          <w:rFonts w:hint="default" w:ascii="Times New Roman" w:hAnsi="Times New Roman" w:eastAsia="黑体" w:cs="Times New Roman"/>
          <w:b/>
          <w:sz w:val="24"/>
          <w:highlight w:val="none"/>
          <w:lang w:val="en-US" w:eastAsia="zh-CN"/>
        </w:rPr>
      </w:pPr>
      <w:r>
        <w:rPr>
          <w:rFonts w:hint="default" w:ascii="Times New Roman" w:hAnsi="Times New Roman" w:eastAsia="黑体" w:cs="Times New Roman"/>
          <w:b/>
          <w:sz w:val="24"/>
          <w:highlight w:val="none"/>
          <w:lang w:val="en-US" w:eastAsia="zh-CN"/>
        </w:rPr>
        <w:t xml:space="preserve">表2-2-2 </w:t>
      </w:r>
      <w:r>
        <w:rPr>
          <w:rFonts w:hint="eastAsia" w:eastAsia="黑体"/>
          <w:b/>
          <w:highlight w:val="none"/>
          <w:lang w:bidi="ar"/>
        </w:rPr>
        <w:t>园区内主要已建成企业情况一览表</w:t>
      </w:r>
    </w:p>
    <w:tbl>
      <w:tblPr>
        <w:tblStyle w:val="22"/>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2531"/>
        <w:gridCol w:w="2584"/>
        <w:gridCol w:w="4044"/>
      </w:tblGrid>
      <w:tr w14:paraId="044DFB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tblHeader/>
        </w:trPr>
        <w:tc>
          <w:tcPr>
            <w:tcW w:w="351" w:type="pct"/>
            <w:tcBorders>
              <w:bottom w:val="single" w:color="auto" w:sz="12" w:space="0"/>
            </w:tcBorders>
            <w:vAlign w:val="center"/>
          </w:tcPr>
          <w:p w14:paraId="20B879B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编号</w:t>
            </w:r>
          </w:p>
        </w:tc>
        <w:tc>
          <w:tcPr>
            <w:tcW w:w="1284" w:type="pct"/>
            <w:tcBorders>
              <w:bottom w:val="single" w:color="auto" w:sz="12" w:space="0"/>
            </w:tcBorders>
            <w:vAlign w:val="center"/>
          </w:tcPr>
          <w:p w14:paraId="6B56F87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主要企业名称</w:t>
            </w:r>
          </w:p>
        </w:tc>
        <w:tc>
          <w:tcPr>
            <w:tcW w:w="1311" w:type="pct"/>
            <w:tcBorders>
              <w:bottom w:val="single" w:color="auto" w:sz="12" w:space="0"/>
            </w:tcBorders>
            <w:vAlign w:val="center"/>
          </w:tcPr>
          <w:p w14:paraId="0DE0743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企业位置</w:t>
            </w:r>
            <w:r>
              <w:rPr>
                <w:rFonts w:hint="eastAsia" w:cs="Times New Roman"/>
                <w:b/>
                <w:bCs/>
                <w:sz w:val="21"/>
                <w:szCs w:val="21"/>
                <w:highlight w:val="none"/>
                <w:vertAlign w:val="baseline"/>
                <w:lang w:val="en-US" w:eastAsia="zh-CN"/>
              </w:rPr>
              <w:t>①</w:t>
            </w:r>
          </w:p>
        </w:tc>
        <w:tc>
          <w:tcPr>
            <w:tcW w:w="2052" w:type="pct"/>
            <w:tcBorders>
              <w:bottom w:val="single" w:color="auto" w:sz="12" w:space="0"/>
            </w:tcBorders>
            <w:vAlign w:val="center"/>
          </w:tcPr>
          <w:p w14:paraId="57AAC59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主要经营范围</w:t>
            </w:r>
            <w:r>
              <w:rPr>
                <w:rFonts w:hint="eastAsia" w:cs="Times New Roman"/>
                <w:b/>
                <w:bCs/>
                <w:sz w:val="21"/>
                <w:szCs w:val="21"/>
                <w:highlight w:val="none"/>
                <w:vertAlign w:val="baseline"/>
                <w:lang w:val="en-US" w:eastAsia="zh-CN"/>
              </w:rPr>
              <w:t>①</w:t>
            </w:r>
          </w:p>
        </w:tc>
      </w:tr>
      <w:tr w14:paraId="7502A2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tcBorders>
              <w:top w:val="single" w:color="auto" w:sz="12" w:space="0"/>
            </w:tcBorders>
            <w:vAlign w:val="center"/>
          </w:tcPr>
          <w:p w14:paraId="69ABFB3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1</w:t>
            </w:r>
          </w:p>
        </w:tc>
        <w:tc>
          <w:tcPr>
            <w:tcW w:w="1284" w:type="pct"/>
            <w:tcBorders>
              <w:top w:val="single" w:color="auto" w:sz="12" w:space="0"/>
            </w:tcBorders>
            <w:vAlign w:val="center"/>
          </w:tcPr>
          <w:p w14:paraId="14119A6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武汉盛大长青建材鄂州有限公司</w:t>
            </w:r>
          </w:p>
        </w:tc>
        <w:tc>
          <w:tcPr>
            <w:tcW w:w="1311" w:type="pct"/>
            <w:tcBorders>
              <w:top w:val="single" w:color="auto" w:sz="12" w:space="0"/>
            </w:tcBorders>
            <w:vAlign w:val="center"/>
          </w:tcPr>
          <w:p w14:paraId="69D1562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鄂州葛店开发区北八号路东侧</w:t>
            </w:r>
          </w:p>
        </w:tc>
        <w:tc>
          <w:tcPr>
            <w:tcW w:w="2052" w:type="pct"/>
            <w:tcBorders>
              <w:top w:val="single" w:color="auto" w:sz="12" w:space="0"/>
            </w:tcBorders>
            <w:vAlign w:val="center"/>
          </w:tcPr>
          <w:p w14:paraId="13D90A4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混凝土、透水混凝土、生态混凝土、彩色混凝土；透水砖、防水材料、建筑材料</w:t>
            </w:r>
          </w:p>
        </w:tc>
      </w:tr>
      <w:tr w14:paraId="3A0260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029AC70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2</w:t>
            </w:r>
          </w:p>
        </w:tc>
        <w:tc>
          <w:tcPr>
            <w:tcW w:w="1284" w:type="pct"/>
            <w:vAlign w:val="center"/>
          </w:tcPr>
          <w:p w14:paraId="3691401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鄂州富晶电子技术有限公司</w:t>
            </w:r>
          </w:p>
        </w:tc>
        <w:tc>
          <w:tcPr>
            <w:tcW w:w="1311" w:type="pct"/>
            <w:vAlign w:val="center"/>
          </w:tcPr>
          <w:p w14:paraId="4F3A073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鄂州市华容区华容镇丁桥村丁桥街159号</w:t>
            </w:r>
          </w:p>
        </w:tc>
        <w:tc>
          <w:tcPr>
            <w:tcW w:w="2052" w:type="pct"/>
            <w:vAlign w:val="center"/>
          </w:tcPr>
          <w:p w14:paraId="28ABA23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通信设备制造销售</w:t>
            </w:r>
          </w:p>
        </w:tc>
      </w:tr>
      <w:tr w14:paraId="3BB88A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45DF4A2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3</w:t>
            </w:r>
          </w:p>
        </w:tc>
        <w:tc>
          <w:tcPr>
            <w:tcW w:w="1284" w:type="pct"/>
            <w:vAlign w:val="center"/>
          </w:tcPr>
          <w:p w14:paraId="07483A6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武汉市盟华门窗有限公司</w:t>
            </w:r>
          </w:p>
        </w:tc>
        <w:tc>
          <w:tcPr>
            <w:tcW w:w="1311" w:type="pct"/>
            <w:vAlign w:val="center"/>
          </w:tcPr>
          <w:p w14:paraId="55C0EF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湖北省鄂州市华容创业园</w:t>
            </w:r>
          </w:p>
        </w:tc>
        <w:tc>
          <w:tcPr>
            <w:tcW w:w="2052" w:type="pct"/>
            <w:vAlign w:val="center"/>
          </w:tcPr>
          <w:p w14:paraId="61D7FDC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铝合金门窗设计、制造、安装；建筑材料销售</w:t>
            </w:r>
          </w:p>
        </w:tc>
      </w:tr>
      <w:tr w14:paraId="634303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47CC368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4</w:t>
            </w:r>
          </w:p>
        </w:tc>
        <w:tc>
          <w:tcPr>
            <w:tcW w:w="1284" w:type="pct"/>
            <w:vAlign w:val="center"/>
          </w:tcPr>
          <w:p w14:paraId="2DA3654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 xml:space="preserve">鄂州市华容区龙腾墙体材料厂 </w:t>
            </w:r>
          </w:p>
        </w:tc>
        <w:tc>
          <w:tcPr>
            <w:tcW w:w="1311" w:type="pct"/>
            <w:vAlign w:val="center"/>
          </w:tcPr>
          <w:p w14:paraId="57C491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鄂州市华容区华容镇汀桥村6组</w:t>
            </w:r>
          </w:p>
        </w:tc>
        <w:tc>
          <w:tcPr>
            <w:tcW w:w="2052" w:type="pct"/>
            <w:vAlign w:val="center"/>
          </w:tcPr>
          <w:p w14:paraId="69EB0D3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灰砂砖、砌块砖</w:t>
            </w:r>
          </w:p>
        </w:tc>
      </w:tr>
      <w:tr w14:paraId="6CA001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shd w:val="clear" w:color="auto" w:fill="D7D7D7" w:themeFill="background1" w:themeFillShade="D8"/>
            <w:vAlign w:val="center"/>
          </w:tcPr>
          <w:p w14:paraId="54C0ECD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i w:val="0"/>
                <w:iCs w:val="0"/>
                <w:sz w:val="21"/>
                <w:szCs w:val="21"/>
                <w:highlight w:val="none"/>
                <w:vertAlign w:val="baseline"/>
                <w:lang w:val="en-US" w:eastAsia="zh-CN"/>
              </w:rPr>
            </w:pPr>
            <w:r>
              <w:rPr>
                <w:rFonts w:hint="default" w:ascii="Times New Roman" w:hAnsi="Times New Roman" w:cs="Times New Roman"/>
                <w:b w:val="0"/>
                <w:bCs w:val="0"/>
                <w:i w:val="0"/>
                <w:iCs w:val="0"/>
                <w:sz w:val="21"/>
                <w:szCs w:val="21"/>
                <w:highlight w:val="none"/>
                <w:vertAlign w:val="baseline"/>
                <w:lang w:val="en-US" w:eastAsia="zh-CN"/>
              </w:rPr>
              <w:t>5</w:t>
            </w:r>
          </w:p>
        </w:tc>
        <w:tc>
          <w:tcPr>
            <w:tcW w:w="1284" w:type="pct"/>
            <w:shd w:val="clear" w:color="auto" w:fill="D7D7D7" w:themeFill="background1" w:themeFillShade="D8"/>
            <w:vAlign w:val="center"/>
          </w:tcPr>
          <w:p w14:paraId="68030E0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i w:val="0"/>
                <w:iCs w:val="0"/>
                <w:sz w:val="21"/>
                <w:szCs w:val="21"/>
                <w:highlight w:val="none"/>
                <w:vertAlign w:val="baseline"/>
                <w:lang w:val="en-US" w:eastAsia="zh-CN"/>
              </w:rPr>
            </w:pPr>
            <w:r>
              <w:rPr>
                <w:rFonts w:hint="default" w:ascii="Times New Roman" w:hAnsi="Times New Roman" w:cs="Times New Roman"/>
                <w:b w:val="0"/>
                <w:bCs w:val="0"/>
                <w:i w:val="0"/>
                <w:iCs w:val="0"/>
                <w:sz w:val="21"/>
                <w:szCs w:val="21"/>
                <w:highlight w:val="none"/>
                <w:vertAlign w:val="baseline"/>
                <w:lang w:val="en-US" w:eastAsia="zh-CN"/>
              </w:rPr>
              <w:t>武汉科贝科技股份有限公司</w:t>
            </w:r>
          </w:p>
        </w:tc>
        <w:tc>
          <w:tcPr>
            <w:tcW w:w="1311" w:type="pct"/>
            <w:shd w:val="clear" w:color="auto" w:fill="D7D7D7" w:themeFill="background1" w:themeFillShade="D8"/>
            <w:vAlign w:val="center"/>
          </w:tcPr>
          <w:p w14:paraId="3E1C7A9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i w:val="0"/>
                <w:iCs w:val="0"/>
                <w:sz w:val="21"/>
                <w:szCs w:val="21"/>
                <w:highlight w:val="none"/>
                <w:vertAlign w:val="baseline"/>
                <w:lang w:val="en-US" w:eastAsia="zh-CN"/>
              </w:rPr>
            </w:pPr>
            <w:r>
              <w:rPr>
                <w:rFonts w:hint="default" w:ascii="Times New Roman" w:hAnsi="Times New Roman" w:cs="Times New Roman"/>
                <w:b w:val="0"/>
                <w:bCs w:val="0"/>
                <w:i w:val="0"/>
                <w:iCs w:val="0"/>
                <w:sz w:val="21"/>
                <w:szCs w:val="21"/>
                <w:highlight w:val="none"/>
                <w:vertAlign w:val="baseline"/>
                <w:lang w:val="en-US" w:eastAsia="zh-CN"/>
              </w:rPr>
              <w:t>湖北省鄂州市华容区</w:t>
            </w:r>
          </w:p>
        </w:tc>
        <w:tc>
          <w:tcPr>
            <w:tcW w:w="2052" w:type="pct"/>
            <w:shd w:val="clear" w:color="auto" w:fill="D7D7D7" w:themeFill="background1" w:themeFillShade="D8"/>
            <w:vAlign w:val="center"/>
          </w:tcPr>
          <w:p w14:paraId="2AA4318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i w:val="0"/>
                <w:iCs w:val="0"/>
                <w:sz w:val="21"/>
                <w:szCs w:val="21"/>
                <w:highlight w:val="none"/>
                <w:vertAlign w:val="baseline"/>
                <w:lang w:val="en-US" w:eastAsia="zh-CN"/>
              </w:rPr>
            </w:pPr>
            <w:r>
              <w:rPr>
                <w:rFonts w:hint="default" w:ascii="Times New Roman" w:hAnsi="Times New Roman" w:cs="Times New Roman"/>
                <w:b w:val="0"/>
                <w:bCs w:val="0"/>
                <w:i w:val="0"/>
                <w:iCs w:val="0"/>
                <w:sz w:val="21"/>
                <w:szCs w:val="21"/>
                <w:highlight w:val="none"/>
                <w:vertAlign w:val="baseline"/>
                <w:lang w:val="en-US" w:eastAsia="zh-CN"/>
              </w:rPr>
              <w:t>实验室整体规划设计；环保设备研发、制造及销售；环保工程、消防设施工程及钢结构工程专业承包；一、二、三类医疗器械设备等的制造、安装及销售；机电一体化产品、激光设备的研发、制造及销售</w:t>
            </w:r>
          </w:p>
        </w:tc>
      </w:tr>
      <w:tr w14:paraId="3DB5C1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10ADB0B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6</w:t>
            </w:r>
          </w:p>
        </w:tc>
        <w:tc>
          <w:tcPr>
            <w:tcW w:w="1284" w:type="pct"/>
            <w:vAlign w:val="center"/>
          </w:tcPr>
          <w:p w14:paraId="2A228DF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葛店开发区污水处理厂</w:t>
            </w:r>
          </w:p>
        </w:tc>
        <w:tc>
          <w:tcPr>
            <w:tcW w:w="1311" w:type="pct"/>
            <w:vAlign w:val="center"/>
          </w:tcPr>
          <w:p w14:paraId="4C4CF8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湖北省鄂州市葛店开发区</w:t>
            </w:r>
          </w:p>
        </w:tc>
        <w:tc>
          <w:tcPr>
            <w:tcW w:w="2052" w:type="pct"/>
            <w:vAlign w:val="center"/>
          </w:tcPr>
          <w:p w14:paraId="2BDA3F1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w:t>
            </w:r>
          </w:p>
        </w:tc>
      </w:tr>
      <w:tr w14:paraId="6779B1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73376BF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7</w:t>
            </w:r>
          </w:p>
        </w:tc>
        <w:tc>
          <w:tcPr>
            <w:tcW w:w="1284" w:type="pct"/>
            <w:vAlign w:val="center"/>
          </w:tcPr>
          <w:p w14:paraId="39658D9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鄂州市林达工贸有限公司</w:t>
            </w:r>
          </w:p>
        </w:tc>
        <w:tc>
          <w:tcPr>
            <w:tcW w:w="1311" w:type="pct"/>
            <w:vAlign w:val="center"/>
          </w:tcPr>
          <w:p w14:paraId="766F22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鄂州市华容镇武全路北</w:t>
            </w:r>
          </w:p>
        </w:tc>
        <w:tc>
          <w:tcPr>
            <w:tcW w:w="2052" w:type="pct"/>
            <w:vAlign w:val="center"/>
          </w:tcPr>
          <w:p w14:paraId="6DECAFE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制造、销售：服装及原辅材料、纺织制成品、污染快速监测仪；销售：金属材料、建筑材料、矿产品、五金、交电、生活日用品、服装、工艺品</w:t>
            </w:r>
          </w:p>
        </w:tc>
      </w:tr>
      <w:tr w14:paraId="0F182B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73834A7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8</w:t>
            </w:r>
          </w:p>
        </w:tc>
        <w:tc>
          <w:tcPr>
            <w:tcW w:w="1284" w:type="pct"/>
            <w:vAlign w:val="center"/>
          </w:tcPr>
          <w:p w14:paraId="4E75219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武汉实佳机床制造有限公司</w:t>
            </w:r>
          </w:p>
        </w:tc>
        <w:tc>
          <w:tcPr>
            <w:tcW w:w="1311" w:type="pct"/>
            <w:vAlign w:val="center"/>
          </w:tcPr>
          <w:p w14:paraId="73AC60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鄂州市华容创业园</w:t>
            </w:r>
          </w:p>
        </w:tc>
        <w:tc>
          <w:tcPr>
            <w:tcW w:w="2052" w:type="pct"/>
            <w:vAlign w:val="center"/>
          </w:tcPr>
          <w:p w14:paraId="35C2C0E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机床制造；设备改造；机床修理安装；机械加工</w:t>
            </w:r>
          </w:p>
        </w:tc>
      </w:tr>
      <w:tr w14:paraId="2477E0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59C8C68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9</w:t>
            </w:r>
          </w:p>
        </w:tc>
        <w:tc>
          <w:tcPr>
            <w:tcW w:w="1284" w:type="pct"/>
            <w:vAlign w:val="center"/>
          </w:tcPr>
          <w:p w14:paraId="73F3AD2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鄂州市凯峰建材有限公司</w:t>
            </w:r>
          </w:p>
        </w:tc>
        <w:tc>
          <w:tcPr>
            <w:tcW w:w="1311" w:type="pct"/>
            <w:vAlign w:val="center"/>
          </w:tcPr>
          <w:p w14:paraId="1B0DB6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鄂州市华容区华容镇金熊村六组</w:t>
            </w:r>
          </w:p>
        </w:tc>
        <w:tc>
          <w:tcPr>
            <w:tcW w:w="2052" w:type="pct"/>
            <w:vAlign w:val="center"/>
          </w:tcPr>
          <w:p w14:paraId="1AAF252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生产、销售：粉煤灰加气砼；销售：灰砂砖</w:t>
            </w:r>
          </w:p>
        </w:tc>
      </w:tr>
      <w:tr w14:paraId="73609A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5DED499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10</w:t>
            </w:r>
          </w:p>
        </w:tc>
        <w:tc>
          <w:tcPr>
            <w:tcW w:w="1284" w:type="pct"/>
            <w:vAlign w:val="center"/>
          </w:tcPr>
          <w:p w14:paraId="157BBD6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武汉宏良机电设备有限公司</w:t>
            </w:r>
          </w:p>
        </w:tc>
        <w:tc>
          <w:tcPr>
            <w:tcW w:w="1311" w:type="pct"/>
            <w:vAlign w:val="center"/>
          </w:tcPr>
          <w:p w14:paraId="49CF73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鄂州市华容创业园</w:t>
            </w:r>
          </w:p>
        </w:tc>
        <w:tc>
          <w:tcPr>
            <w:tcW w:w="2052" w:type="pct"/>
            <w:vAlign w:val="center"/>
          </w:tcPr>
          <w:p w14:paraId="06782D6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金属结构制造；通用零部件制造及机械修理；机械设备、五金交电及电子产品、金属材料、建材及其其他化工产品（不含危险化学品）、其他耐火材料、纺织、服装及日用品销售</w:t>
            </w:r>
          </w:p>
        </w:tc>
      </w:tr>
      <w:tr w14:paraId="7B99EC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45908AB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11</w:t>
            </w:r>
          </w:p>
        </w:tc>
        <w:tc>
          <w:tcPr>
            <w:tcW w:w="1284" w:type="pct"/>
            <w:vAlign w:val="center"/>
          </w:tcPr>
          <w:p w14:paraId="0411480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 xml:space="preserve">武汉市安特邦建材有限公司 </w:t>
            </w:r>
          </w:p>
        </w:tc>
        <w:tc>
          <w:tcPr>
            <w:tcW w:w="1311" w:type="pct"/>
            <w:vAlign w:val="center"/>
          </w:tcPr>
          <w:p w14:paraId="7D71EA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鄂州市华容区创业园九号路东侧</w:t>
            </w:r>
          </w:p>
        </w:tc>
        <w:tc>
          <w:tcPr>
            <w:tcW w:w="2052" w:type="pct"/>
            <w:vAlign w:val="center"/>
          </w:tcPr>
          <w:p w14:paraId="7C70D28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建筑材料、混凝土外加剂（不含危险化学品）、机械零配件、机械设备、五金交电、电子产品、其他化工产品（不含危险化学品）的技术研究、开发、生产、销售、技术咨询服务</w:t>
            </w:r>
          </w:p>
        </w:tc>
      </w:tr>
      <w:tr w14:paraId="05032F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7E7B42D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12</w:t>
            </w:r>
          </w:p>
        </w:tc>
        <w:tc>
          <w:tcPr>
            <w:tcW w:w="1284" w:type="pct"/>
            <w:vAlign w:val="center"/>
          </w:tcPr>
          <w:p w14:paraId="6F20234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 xml:space="preserve">鄂州市玖鑫商砼有限公司 </w:t>
            </w:r>
          </w:p>
        </w:tc>
        <w:tc>
          <w:tcPr>
            <w:tcW w:w="1311" w:type="pct"/>
            <w:vAlign w:val="center"/>
          </w:tcPr>
          <w:p w14:paraId="524550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鄂州市华容创业园9号路特1号</w:t>
            </w:r>
          </w:p>
        </w:tc>
        <w:tc>
          <w:tcPr>
            <w:tcW w:w="2052" w:type="pct"/>
            <w:vAlign w:val="center"/>
          </w:tcPr>
          <w:p w14:paraId="655698C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加工、销售：商品混凝土；销售：建筑材料</w:t>
            </w:r>
          </w:p>
        </w:tc>
      </w:tr>
      <w:tr w14:paraId="43C96F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0223165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13</w:t>
            </w:r>
          </w:p>
        </w:tc>
        <w:tc>
          <w:tcPr>
            <w:tcW w:w="1284" w:type="pct"/>
            <w:vAlign w:val="center"/>
          </w:tcPr>
          <w:p w14:paraId="5255904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湖北通益电气有限公司</w:t>
            </w:r>
          </w:p>
        </w:tc>
        <w:tc>
          <w:tcPr>
            <w:tcW w:w="1311" w:type="pct"/>
            <w:vAlign w:val="center"/>
          </w:tcPr>
          <w:p w14:paraId="50E4D6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鄂州市华容区华容创业园</w:t>
            </w:r>
          </w:p>
        </w:tc>
        <w:tc>
          <w:tcPr>
            <w:tcW w:w="2052" w:type="pct"/>
            <w:vAlign w:val="center"/>
          </w:tcPr>
          <w:p w14:paraId="460160F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电力系统设备、电器设备、电工器材、节能产品、控制系统的技术开发、技术服务、系统集成及施工、生产制造、安装、调试、销售</w:t>
            </w:r>
          </w:p>
        </w:tc>
      </w:tr>
      <w:tr w14:paraId="0B83FC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5E1664A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14</w:t>
            </w:r>
          </w:p>
        </w:tc>
        <w:tc>
          <w:tcPr>
            <w:tcW w:w="1284" w:type="pct"/>
            <w:vAlign w:val="center"/>
          </w:tcPr>
          <w:p w14:paraId="138E6AA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武汉千叶鞋业有限公司</w:t>
            </w:r>
          </w:p>
        </w:tc>
        <w:tc>
          <w:tcPr>
            <w:tcW w:w="1311" w:type="pct"/>
            <w:vAlign w:val="center"/>
          </w:tcPr>
          <w:p w14:paraId="681D48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鄂州市华容创业园（316国道南侧）</w:t>
            </w:r>
          </w:p>
        </w:tc>
        <w:tc>
          <w:tcPr>
            <w:tcW w:w="2052" w:type="pct"/>
            <w:vAlign w:val="center"/>
          </w:tcPr>
          <w:p w14:paraId="20B9BA1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加工、销售鞋类；鞋类产品开发</w:t>
            </w:r>
          </w:p>
        </w:tc>
      </w:tr>
      <w:tr w14:paraId="0EB406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54DD9C6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15</w:t>
            </w:r>
          </w:p>
        </w:tc>
        <w:tc>
          <w:tcPr>
            <w:tcW w:w="1284" w:type="pct"/>
            <w:vAlign w:val="center"/>
          </w:tcPr>
          <w:p w14:paraId="1D01AFB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 xml:space="preserve">鄂州市钜华建材有限公司 </w:t>
            </w:r>
          </w:p>
        </w:tc>
        <w:tc>
          <w:tcPr>
            <w:tcW w:w="1311" w:type="pct"/>
            <w:vAlign w:val="center"/>
          </w:tcPr>
          <w:p w14:paraId="37A417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鄂州市华容区工业园</w:t>
            </w:r>
          </w:p>
        </w:tc>
        <w:tc>
          <w:tcPr>
            <w:tcW w:w="2052" w:type="pct"/>
            <w:vAlign w:val="center"/>
          </w:tcPr>
          <w:p w14:paraId="6FA5299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生产、销售：加气砖；销售：建筑材料</w:t>
            </w:r>
          </w:p>
        </w:tc>
      </w:tr>
      <w:tr w14:paraId="4BA76F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0994FC1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16</w:t>
            </w:r>
          </w:p>
        </w:tc>
        <w:tc>
          <w:tcPr>
            <w:tcW w:w="1284" w:type="pct"/>
            <w:vAlign w:val="center"/>
          </w:tcPr>
          <w:p w14:paraId="48F68C9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 xml:space="preserve">湖北永祥新型建材有限公司 </w:t>
            </w:r>
          </w:p>
        </w:tc>
        <w:tc>
          <w:tcPr>
            <w:tcW w:w="1311" w:type="pct"/>
            <w:vAlign w:val="center"/>
          </w:tcPr>
          <w:p w14:paraId="7064A3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鄂州市华容区华容镇金熊村八组</w:t>
            </w:r>
          </w:p>
        </w:tc>
        <w:tc>
          <w:tcPr>
            <w:tcW w:w="2052" w:type="pct"/>
            <w:vAlign w:val="center"/>
          </w:tcPr>
          <w:p w14:paraId="2BA5A1F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生产及销售保温材料、干混砂浆、混凝土；混凝土加工</w:t>
            </w:r>
          </w:p>
        </w:tc>
      </w:tr>
      <w:tr w14:paraId="73FF32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1DE1A1F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17</w:t>
            </w:r>
          </w:p>
        </w:tc>
        <w:tc>
          <w:tcPr>
            <w:tcW w:w="1284" w:type="pct"/>
            <w:vAlign w:val="center"/>
          </w:tcPr>
          <w:p w14:paraId="62AB59D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 xml:space="preserve">武汉敏锐机械有限公司 </w:t>
            </w:r>
          </w:p>
        </w:tc>
        <w:tc>
          <w:tcPr>
            <w:tcW w:w="1311" w:type="pct"/>
            <w:vAlign w:val="center"/>
          </w:tcPr>
          <w:p w14:paraId="056287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鄂州市华容区华容创业园</w:t>
            </w:r>
          </w:p>
        </w:tc>
        <w:tc>
          <w:tcPr>
            <w:tcW w:w="2052" w:type="pct"/>
            <w:vAlign w:val="center"/>
          </w:tcPr>
          <w:p w14:paraId="5E80EC8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空调压缩机及配件生产、销售</w:t>
            </w:r>
          </w:p>
        </w:tc>
      </w:tr>
      <w:tr w14:paraId="1CEFEA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71CD9CB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18</w:t>
            </w:r>
          </w:p>
        </w:tc>
        <w:tc>
          <w:tcPr>
            <w:tcW w:w="1284" w:type="pct"/>
            <w:vAlign w:val="center"/>
          </w:tcPr>
          <w:p w14:paraId="6D32417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 xml:space="preserve">鄂州中都建材有限公司 </w:t>
            </w:r>
          </w:p>
        </w:tc>
        <w:tc>
          <w:tcPr>
            <w:tcW w:w="1311" w:type="pct"/>
            <w:vAlign w:val="center"/>
          </w:tcPr>
          <w:p w14:paraId="480E61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鄂州市华容区创业园3号路特1号</w:t>
            </w:r>
          </w:p>
        </w:tc>
        <w:tc>
          <w:tcPr>
            <w:tcW w:w="2052" w:type="pct"/>
            <w:vAlign w:val="center"/>
          </w:tcPr>
          <w:p w14:paraId="0A8849B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预拌、构件制作、销售；商品混凝土加工、销售；预拌砂浆加工、销售</w:t>
            </w:r>
          </w:p>
        </w:tc>
      </w:tr>
      <w:tr w14:paraId="57CE5A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112A7DE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19</w:t>
            </w:r>
          </w:p>
        </w:tc>
        <w:tc>
          <w:tcPr>
            <w:tcW w:w="1284" w:type="pct"/>
            <w:vAlign w:val="center"/>
          </w:tcPr>
          <w:p w14:paraId="6E9DD03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湖北富奈塑业有限公司</w:t>
            </w:r>
          </w:p>
        </w:tc>
        <w:tc>
          <w:tcPr>
            <w:tcW w:w="1311" w:type="pct"/>
            <w:vAlign w:val="center"/>
          </w:tcPr>
          <w:p w14:paraId="7834DD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鄂州市华容区华容镇华容创业园3号</w:t>
            </w:r>
          </w:p>
        </w:tc>
        <w:tc>
          <w:tcPr>
            <w:tcW w:w="2052" w:type="pct"/>
            <w:vAlign w:val="center"/>
          </w:tcPr>
          <w:p w14:paraId="1EEA2B2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塑料桶、铝制品的生产及销售</w:t>
            </w:r>
          </w:p>
        </w:tc>
      </w:tr>
      <w:tr w14:paraId="444ABC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0A29892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20</w:t>
            </w:r>
          </w:p>
        </w:tc>
        <w:tc>
          <w:tcPr>
            <w:tcW w:w="1284" w:type="pct"/>
            <w:vAlign w:val="center"/>
          </w:tcPr>
          <w:p w14:paraId="3DDC5B7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武汉永利鹏冶金辅料有限公司</w:t>
            </w:r>
          </w:p>
        </w:tc>
        <w:tc>
          <w:tcPr>
            <w:tcW w:w="1311" w:type="pct"/>
            <w:vAlign w:val="center"/>
          </w:tcPr>
          <w:p w14:paraId="0EF34C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鄂州市华容区华容创业园</w:t>
            </w:r>
          </w:p>
        </w:tc>
        <w:tc>
          <w:tcPr>
            <w:tcW w:w="2052" w:type="pct"/>
            <w:vAlign w:val="center"/>
          </w:tcPr>
          <w:p w14:paraId="671A182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冶金材料生产、加工；金属结构、通用零配件加工制造；生产、制造、销售：玻璃钢制品；销售：塑料制品、模具。</w:t>
            </w:r>
          </w:p>
        </w:tc>
      </w:tr>
      <w:tr w14:paraId="2DFFF8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3CE7D6F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21</w:t>
            </w:r>
          </w:p>
        </w:tc>
        <w:tc>
          <w:tcPr>
            <w:tcW w:w="1284" w:type="pct"/>
            <w:vAlign w:val="center"/>
          </w:tcPr>
          <w:p w14:paraId="572E43B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武汉齐越新材料有限公司</w:t>
            </w:r>
          </w:p>
        </w:tc>
        <w:tc>
          <w:tcPr>
            <w:tcW w:w="1311" w:type="pct"/>
            <w:vAlign w:val="center"/>
          </w:tcPr>
          <w:p w14:paraId="1921A9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鄂州市华容区创业园3号楼（武汉永利鹏冶金辅料有限公司厂房）</w:t>
            </w:r>
          </w:p>
        </w:tc>
        <w:tc>
          <w:tcPr>
            <w:tcW w:w="2052" w:type="pct"/>
            <w:vAlign w:val="center"/>
          </w:tcPr>
          <w:p w14:paraId="2813E16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粉末涂料的生产、销售与技术咨询服务；静电喷涂；铝、塑门窗加工、安装及销售；销售：喷涂设备、金属表面处理剂、五金交电、机电产品、钢材、建筑材料</w:t>
            </w:r>
          </w:p>
        </w:tc>
      </w:tr>
      <w:tr w14:paraId="2347D3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43DB2E9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22</w:t>
            </w:r>
          </w:p>
        </w:tc>
        <w:tc>
          <w:tcPr>
            <w:tcW w:w="1284" w:type="pct"/>
            <w:vAlign w:val="center"/>
          </w:tcPr>
          <w:p w14:paraId="31317B0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武汉石胜建材有限公司</w:t>
            </w:r>
          </w:p>
        </w:tc>
        <w:tc>
          <w:tcPr>
            <w:tcW w:w="1311" w:type="pct"/>
            <w:vAlign w:val="center"/>
          </w:tcPr>
          <w:p w14:paraId="6C4EDE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鄂州市华容区华容镇凉亭村</w:t>
            </w:r>
          </w:p>
        </w:tc>
        <w:tc>
          <w:tcPr>
            <w:tcW w:w="2052" w:type="pct"/>
            <w:vAlign w:val="center"/>
          </w:tcPr>
          <w:p w14:paraId="7DF2799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制造销售：蒸压加气混凝土砌块、蒸压煤灰砖</w:t>
            </w:r>
          </w:p>
        </w:tc>
      </w:tr>
      <w:tr w14:paraId="55D473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4643AB2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23</w:t>
            </w:r>
          </w:p>
        </w:tc>
        <w:tc>
          <w:tcPr>
            <w:tcW w:w="1284" w:type="pct"/>
            <w:vAlign w:val="center"/>
          </w:tcPr>
          <w:p w14:paraId="01A3571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湖北德道纸业有限公司</w:t>
            </w:r>
          </w:p>
        </w:tc>
        <w:tc>
          <w:tcPr>
            <w:tcW w:w="1311" w:type="pct"/>
            <w:vAlign w:val="center"/>
          </w:tcPr>
          <w:p w14:paraId="706940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鄂州市华容区楚藩大道356号</w:t>
            </w:r>
          </w:p>
        </w:tc>
        <w:tc>
          <w:tcPr>
            <w:tcW w:w="2052" w:type="pct"/>
            <w:vAlign w:val="center"/>
          </w:tcPr>
          <w:p w14:paraId="01AA4B9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彩喷纸、高光相纸、不干胶、PET膜、RC相纸、不防水相纸、铜版纸、激光打印纸加工及销售</w:t>
            </w:r>
          </w:p>
        </w:tc>
      </w:tr>
      <w:tr w14:paraId="636D79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4BE1BC3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24</w:t>
            </w:r>
          </w:p>
        </w:tc>
        <w:tc>
          <w:tcPr>
            <w:tcW w:w="1284" w:type="pct"/>
            <w:vAlign w:val="center"/>
          </w:tcPr>
          <w:p w14:paraId="157F332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湖北天际纸塑有限公司</w:t>
            </w:r>
          </w:p>
        </w:tc>
        <w:tc>
          <w:tcPr>
            <w:tcW w:w="1311" w:type="pct"/>
            <w:vAlign w:val="center"/>
          </w:tcPr>
          <w:p w14:paraId="1446AD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鄂州市华容区楚藩大道6号</w:t>
            </w:r>
          </w:p>
        </w:tc>
        <w:tc>
          <w:tcPr>
            <w:tcW w:w="2052" w:type="pct"/>
            <w:vAlign w:val="center"/>
          </w:tcPr>
          <w:p w14:paraId="1B9C44E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加工、销售：纸塑制品、一次性日用品、不干胶；包装装潢印刷品印刷、其他印刷品印刷；普通机械制造；销售：装饰材料</w:t>
            </w:r>
          </w:p>
        </w:tc>
      </w:tr>
      <w:tr w14:paraId="76CC08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2A233A0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25</w:t>
            </w:r>
          </w:p>
        </w:tc>
        <w:tc>
          <w:tcPr>
            <w:tcW w:w="1284" w:type="pct"/>
            <w:vAlign w:val="center"/>
          </w:tcPr>
          <w:p w14:paraId="3552F04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鄂州市毅力再生资源有限公司</w:t>
            </w:r>
          </w:p>
        </w:tc>
        <w:tc>
          <w:tcPr>
            <w:tcW w:w="1311" w:type="pct"/>
            <w:vAlign w:val="center"/>
          </w:tcPr>
          <w:p w14:paraId="0B4468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鄂州市华容区华容正街135号</w:t>
            </w:r>
          </w:p>
        </w:tc>
        <w:tc>
          <w:tcPr>
            <w:tcW w:w="2052" w:type="pct"/>
            <w:vAlign w:val="center"/>
          </w:tcPr>
          <w:p w14:paraId="6EF8EA0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废品物资回收（不含危险废弃物）、销售</w:t>
            </w:r>
          </w:p>
        </w:tc>
      </w:tr>
      <w:tr w14:paraId="7AB6E2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586BA2B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26</w:t>
            </w:r>
          </w:p>
        </w:tc>
        <w:tc>
          <w:tcPr>
            <w:tcW w:w="1284" w:type="pct"/>
            <w:vAlign w:val="center"/>
          </w:tcPr>
          <w:p w14:paraId="38EE78C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湖北军益服装有限公司</w:t>
            </w:r>
          </w:p>
        </w:tc>
        <w:tc>
          <w:tcPr>
            <w:tcW w:w="1311" w:type="pct"/>
            <w:vAlign w:val="center"/>
          </w:tcPr>
          <w:p w14:paraId="042250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鄂州市华容镇楚藩北路</w:t>
            </w:r>
          </w:p>
        </w:tc>
        <w:tc>
          <w:tcPr>
            <w:tcW w:w="2052" w:type="pct"/>
            <w:vAlign w:val="center"/>
          </w:tcPr>
          <w:p w14:paraId="5D956DC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制造、销售：服装</w:t>
            </w:r>
          </w:p>
        </w:tc>
      </w:tr>
      <w:tr w14:paraId="7C7A16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1B5CBF1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27</w:t>
            </w:r>
          </w:p>
        </w:tc>
        <w:tc>
          <w:tcPr>
            <w:tcW w:w="1284" w:type="pct"/>
            <w:vAlign w:val="center"/>
          </w:tcPr>
          <w:p w14:paraId="7E08709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鄂州市佳诺工业气体充装有限责任公司</w:t>
            </w:r>
          </w:p>
        </w:tc>
        <w:tc>
          <w:tcPr>
            <w:tcW w:w="1311" w:type="pct"/>
            <w:vAlign w:val="center"/>
          </w:tcPr>
          <w:p w14:paraId="340010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鄂州市华容区楚藩路</w:t>
            </w:r>
          </w:p>
        </w:tc>
        <w:tc>
          <w:tcPr>
            <w:tcW w:w="2052" w:type="pct"/>
            <w:vAlign w:val="center"/>
          </w:tcPr>
          <w:p w14:paraId="28670FA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i w:val="0"/>
                <w:iCs w:val="0"/>
                <w:sz w:val="21"/>
                <w:szCs w:val="21"/>
                <w:highlight w:val="none"/>
                <w:vertAlign w:val="baseline"/>
                <w:lang w:val="en-US" w:eastAsia="zh-CN"/>
              </w:rPr>
            </w:pPr>
            <w:r>
              <w:rPr>
                <w:rFonts w:hint="default" w:ascii="Times New Roman" w:hAnsi="Times New Roman" w:cs="Times New Roman"/>
                <w:b w:val="0"/>
                <w:bCs w:val="0"/>
                <w:i w:val="0"/>
                <w:iCs w:val="0"/>
                <w:sz w:val="21"/>
                <w:szCs w:val="21"/>
                <w:highlight w:val="none"/>
                <w:vertAlign w:val="baseline"/>
                <w:lang w:val="en-US" w:eastAsia="zh-CN"/>
              </w:rPr>
              <w:t>氧气、氩气、二氧化碳充装；零售：液氧、氧气、氩气、二氧化碳、氮气、液氩</w:t>
            </w:r>
          </w:p>
        </w:tc>
      </w:tr>
      <w:tr w14:paraId="53BFF8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058382F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28</w:t>
            </w:r>
          </w:p>
        </w:tc>
        <w:tc>
          <w:tcPr>
            <w:tcW w:w="1284" w:type="pct"/>
            <w:vAlign w:val="center"/>
          </w:tcPr>
          <w:p w14:paraId="0F7D676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鄂州市华容机械制造厂</w:t>
            </w:r>
          </w:p>
        </w:tc>
        <w:tc>
          <w:tcPr>
            <w:tcW w:w="1311" w:type="pct"/>
            <w:vAlign w:val="center"/>
          </w:tcPr>
          <w:p w14:paraId="18416E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鄂州市华容区华容镇龙华路50号</w:t>
            </w:r>
          </w:p>
        </w:tc>
        <w:tc>
          <w:tcPr>
            <w:tcW w:w="2052" w:type="pct"/>
            <w:vAlign w:val="center"/>
          </w:tcPr>
          <w:p w14:paraId="0113FA3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冶金机械铸造、加工、修理；五金、机电设备、钢结构制作及设备安装</w:t>
            </w:r>
          </w:p>
        </w:tc>
      </w:tr>
      <w:tr w14:paraId="58DEFF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00755A0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29</w:t>
            </w:r>
          </w:p>
        </w:tc>
        <w:tc>
          <w:tcPr>
            <w:tcW w:w="1284" w:type="pct"/>
            <w:vAlign w:val="center"/>
          </w:tcPr>
          <w:p w14:paraId="2CC1E8E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湖北军山水泥有限公司</w:t>
            </w:r>
          </w:p>
        </w:tc>
        <w:tc>
          <w:tcPr>
            <w:tcW w:w="1311" w:type="pct"/>
            <w:vAlign w:val="center"/>
          </w:tcPr>
          <w:p w14:paraId="6B541A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鄂州市华容镇周汤村</w:t>
            </w:r>
          </w:p>
        </w:tc>
        <w:tc>
          <w:tcPr>
            <w:tcW w:w="2052" w:type="pct"/>
            <w:vAlign w:val="center"/>
          </w:tcPr>
          <w:p w14:paraId="60BB058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粉磨加工水泥；销售：水泥、矿渣微粉</w:t>
            </w:r>
          </w:p>
        </w:tc>
      </w:tr>
      <w:tr w14:paraId="1795AE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519EB10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30</w:t>
            </w:r>
          </w:p>
        </w:tc>
        <w:tc>
          <w:tcPr>
            <w:tcW w:w="1284" w:type="pct"/>
            <w:vAlign w:val="center"/>
          </w:tcPr>
          <w:p w14:paraId="3190214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 xml:space="preserve"> 鄂州市华利建材有限公司</w:t>
            </w:r>
          </w:p>
        </w:tc>
        <w:tc>
          <w:tcPr>
            <w:tcW w:w="1311" w:type="pct"/>
            <w:vAlign w:val="center"/>
          </w:tcPr>
          <w:p w14:paraId="1E20EB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鄂州市华容区车站路178号</w:t>
            </w:r>
          </w:p>
        </w:tc>
        <w:tc>
          <w:tcPr>
            <w:tcW w:w="2052" w:type="pct"/>
            <w:vAlign w:val="center"/>
          </w:tcPr>
          <w:p w14:paraId="0229532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灰砂砖</w:t>
            </w:r>
          </w:p>
        </w:tc>
      </w:tr>
      <w:tr w14:paraId="52B8C9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0CFB715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31</w:t>
            </w:r>
          </w:p>
        </w:tc>
        <w:tc>
          <w:tcPr>
            <w:tcW w:w="1284" w:type="pct"/>
            <w:vAlign w:val="center"/>
          </w:tcPr>
          <w:p w14:paraId="1734021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鄂州市飞云金塑包装有限公司</w:t>
            </w:r>
          </w:p>
        </w:tc>
        <w:tc>
          <w:tcPr>
            <w:tcW w:w="1311" w:type="pct"/>
            <w:vAlign w:val="center"/>
          </w:tcPr>
          <w:p w14:paraId="4625B4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鄂州市华容镇龙华路</w:t>
            </w:r>
          </w:p>
        </w:tc>
        <w:tc>
          <w:tcPr>
            <w:tcW w:w="2052" w:type="pct"/>
            <w:vAlign w:val="center"/>
          </w:tcPr>
          <w:p w14:paraId="623B55A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塑料薄膜袋加工、销售；塑料桶生产、销售；金属包装制品加工、销售</w:t>
            </w:r>
          </w:p>
        </w:tc>
      </w:tr>
      <w:tr w14:paraId="01F51F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3AA8193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32</w:t>
            </w:r>
          </w:p>
        </w:tc>
        <w:tc>
          <w:tcPr>
            <w:tcW w:w="1284" w:type="pct"/>
            <w:vAlign w:val="center"/>
          </w:tcPr>
          <w:p w14:paraId="785D74B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 xml:space="preserve">武汉双卓冶金建材设备制造有限公司 </w:t>
            </w:r>
          </w:p>
        </w:tc>
        <w:tc>
          <w:tcPr>
            <w:tcW w:w="1311" w:type="pct"/>
            <w:vAlign w:val="center"/>
          </w:tcPr>
          <w:p w14:paraId="640FC4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鄂州市华容区华容镇楚藩大道交警队西侧</w:t>
            </w:r>
          </w:p>
        </w:tc>
        <w:tc>
          <w:tcPr>
            <w:tcW w:w="2052" w:type="pct"/>
            <w:vAlign w:val="center"/>
          </w:tcPr>
          <w:p w14:paraId="0AC334D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冶金建材设备及机械加工、检修、维护、保养、安装（不含特种设备）及销售</w:t>
            </w:r>
          </w:p>
        </w:tc>
      </w:tr>
      <w:tr w14:paraId="01FA22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4743090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33</w:t>
            </w:r>
          </w:p>
        </w:tc>
        <w:tc>
          <w:tcPr>
            <w:tcW w:w="1284" w:type="pct"/>
            <w:vAlign w:val="center"/>
          </w:tcPr>
          <w:p w14:paraId="0067EF0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 xml:space="preserve">鄂州市凯光水电安装工程有限公司 </w:t>
            </w:r>
          </w:p>
        </w:tc>
        <w:tc>
          <w:tcPr>
            <w:tcW w:w="1311" w:type="pct"/>
            <w:vAlign w:val="center"/>
          </w:tcPr>
          <w:p w14:paraId="2029AC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鄂州市华容区华容镇车站路27号</w:t>
            </w:r>
          </w:p>
        </w:tc>
        <w:tc>
          <w:tcPr>
            <w:tcW w:w="2052" w:type="pct"/>
            <w:vAlign w:val="center"/>
          </w:tcPr>
          <w:p w14:paraId="5FB1FE7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水暖器材及低压变电品销售、安装、维修；销售：电力水利机械设备、金属材料、建筑材料、木材、五金交电、矿产品、化工产品</w:t>
            </w:r>
          </w:p>
        </w:tc>
      </w:tr>
      <w:tr w14:paraId="1127F5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5C4F2B7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34</w:t>
            </w:r>
          </w:p>
        </w:tc>
        <w:tc>
          <w:tcPr>
            <w:tcW w:w="1284" w:type="pct"/>
            <w:vAlign w:val="center"/>
          </w:tcPr>
          <w:p w14:paraId="02959A2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鄂州鸿泰钢铁有限公司</w:t>
            </w:r>
          </w:p>
        </w:tc>
        <w:tc>
          <w:tcPr>
            <w:tcW w:w="1311" w:type="pct"/>
            <w:vAlign w:val="center"/>
          </w:tcPr>
          <w:p w14:paraId="0CF9FA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鄂州市华容镇楚藩大道1号</w:t>
            </w:r>
          </w:p>
        </w:tc>
        <w:tc>
          <w:tcPr>
            <w:tcW w:w="2052" w:type="pct"/>
            <w:vAlign w:val="center"/>
          </w:tcPr>
          <w:p w14:paraId="34CC412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冶炼；铸造钢材、轧材；热轧带肋钢筋的制造、加工、销售；废旧金属加工、收购</w:t>
            </w:r>
          </w:p>
        </w:tc>
      </w:tr>
      <w:tr w14:paraId="24CC33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6EB1164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highlight w:val="none"/>
                <w:vertAlign w:val="baseline"/>
                <w:lang w:val="en-US" w:eastAsia="zh-CN"/>
              </w:rPr>
            </w:pPr>
            <w:r>
              <w:rPr>
                <w:rFonts w:hint="default" w:ascii="Times New Roman" w:hAnsi="Times New Roman" w:cs="Times New Roman"/>
                <w:b w:val="0"/>
                <w:bCs w:val="0"/>
                <w:sz w:val="21"/>
                <w:szCs w:val="21"/>
                <w:highlight w:val="none"/>
                <w:vertAlign w:val="baseline"/>
                <w:lang w:val="en-US" w:eastAsia="zh-CN"/>
              </w:rPr>
              <w:t>35</w:t>
            </w:r>
          </w:p>
        </w:tc>
        <w:tc>
          <w:tcPr>
            <w:tcW w:w="1284" w:type="pct"/>
            <w:vAlign w:val="center"/>
          </w:tcPr>
          <w:p w14:paraId="4B6536F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highlight w:val="none"/>
                <w:vertAlign w:val="baseline"/>
                <w:lang w:val="en-US" w:eastAsia="zh-CN"/>
              </w:rPr>
            </w:pPr>
            <w:r>
              <w:rPr>
                <w:rFonts w:hint="default" w:ascii="Times New Roman" w:hAnsi="Times New Roman" w:cs="Times New Roman"/>
                <w:b w:val="0"/>
                <w:bCs w:val="0"/>
                <w:sz w:val="21"/>
                <w:szCs w:val="21"/>
                <w:highlight w:val="none"/>
                <w:vertAlign w:val="baseline"/>
                <w:lang w:val="en-US" w:eastAsia="zh-CN"/>
              </w:rPr>
              <w:t>湖北恒福节能科技有限公司</w:t>
            </w:r>
          </w:p>
        </w:tc>
        <w:tc>
          <w:tcPr>
            <w:tcW w:w="1311" w:type="pct"/>
            <w:vAlign w:val="center"/>
          </w:tcPr>
          <w:p w14:paraId="4EC85B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鄂州市华容区华蒲路中段</w:t>
            </w:r>
          </w:p>
        </w:tc>
        <w:tc>
          <w:tcPr>
            <w:tcW w:w="2052" w:type="pct"/>
            <w:vAlign w:val="center"/>
          </w:tcPr>
          <w:p w14:paraId="578A181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新型节能建材的技术研发与推广；生产、销售：装配式预制构件及建筑、桥梁构件、地铁管片、高透水砖、高透水混凝土、全轻混凝土、普通干混砂浆、特种干混砂浆、预拌混凝土</w:t>
            </w:r>
          </w:p>
        </w:tc>
      </w:tr>
      <w:tr w14:paraId="7EFA45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1C08DCC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highlight w:val="none"/>
                <w:vertAlign w:val="baseline"/>
                <w:lang w:val="en-US" w:eastAsia="zh-CN"/>
              </w:rPr>
            </w:pPr>
            <w:r>
              <w:rPr>
                <w:rFonts w:hint="default" w:ascii="Times New Roman" w:hAnsi="Times New Roman" w:cs="Times New Roman"/>
                <w:b w:val="0"/>
                <w:bCs w:val="0"/>
                <w:sz w:val="21"/>
                <w:szCs w:val="21"/>
                <w:highlight w:val="none"/>
                <w:vertAlign w:val="baseline"/>
                <w:lang w:val="en-US" w:eastAsia="zh-CN"/>
              </w:rPr>
              <w:t>36</w:t>
            </w:r>
          </w:p>
        </w:tc>
        <w:tc>
          <w:tcPr>
            <w:tcW w:w="1284" w:type="pct"/>
            <w:vAlign w:val="center"/>
          </w:tcPr>
          <w:p w14:paraId="536C256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highlight w:val="none"/>
                <w:vertAlign w:val="baseline"/>
                <w:lang w:val="en-US" w:eastAsia="zh-CN"/>
              </w:rPr>
            </w:pPr>
            <w:r>
              <w:rPr>
                <w:rFonts w:hint="default" w:ascii="Times New Roman" w:hAnsi="Times New Roman" w:cs="Times New Roman"/>
                <w:b w:val="0"/>
                <w:bCs w:val="0"/>
                <w:sz w:val="21"/>
                <w:szCs w:val="21"/>
                <w:highlight w:val="none"/>
                <w:vertAlign w:val="baseline"/>
                <w:lang w:val="en-US" w:eastAsia="zh-CN"/>
              </w:rPr>
              <w:t xml:space="preserve">鄂州市海昶新型环保材料有限公司 </w:t>
            </w:r>
          </w:p>
        </w:tc>
        <w:tc>
          <w:tcPr>
            <w:tcW w:w="1311" w:type="pct"/>
            <w:vAlign w:val="center"/>
          </w:tcPr>
          <w:p w14:paraId="389BAB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鄂州市华容区华容镇杨巷村十组</w:t>
            </w:r>
          </w:p>
        </w:tc>
        <w:tc>
          <w:tcPr>
            <w:tcW w:w="2052" w:type="pct"/>
            <w:vAlign w:val="center"/>
          </w:tcPr>
          <w:p w14:paraId="5088A03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水泥发泡板生产、销售；销售：保温材料、水泥、粉煤灰、砌块、灰砂砖</w:t>
            </w:r>
          </w:p>
        </w:tc>
      </w:tr>
      <w:tr w14:paraId="758C8C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4D4D044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highlight w:val="none"/>
                <w:vertAlign w:val="baseline"/>
                <w:lang w:val="en-US" w:eastAsia="zh-CN"/>
              </w:rPr>
            </w:pPr>
            <w:r>
              <w:rPr>
                <w:rFonts w:hint="default" w:ascii="Times New Roman" w:hAnsi="Times New Roman" w:cs="Times New Roman"/>
                <w:b w:val="0"/>
                <w:bCs w:val="0"/>
                <w:sz w:val="21"/>
                <w:szCs w:val="21"/>
                <w:highlight w:val="none"/>
                <w:vertAlign w:val="baseline"/>
                <w:lang w:val="en-US" w:eastAsia="zh-CN"/>
              </w:rPr>
              <w:t>37</w:t>
            </w:r>
          </w:p>
        </w:tc>
        <w:tc>
          <w:tcPr>
            <w:tcW w:w="1284" w:type="pct"/>
            <w:vAlign w:val="center"/>
          </w:tcPr>
          <w:p w14:paraId="466C8C4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sz w:val="21"/>
                <w:szCs w:val="21"/>
                <w:highlight w:val="none"/>
                <w:vertAlign w:val="baseline"/>
                <w:lang w:val="en-US" w:eastAsia="zh-CN"/>
              </w:rPr>
            </w:pPr>
            <w:r>
              <w:rPr>
                <w:rFonts w:hint="default" w:ascii="Times New Roman" w:hAnsi="Times New Roman" w:cs="Times New Roman"/>
                <w:b w:val="0"/>
                <w:bCs w:val="0"/>
                <w:sz w:val="21"/>
                <w:szCs w:val="21"/>
                <w:highlight w:val="none"/>
                <w:vertAlign w:val="baseline"/>
                <w:lang w:val="en-US" w:eastAsia="zh-CN"/>
              </w:rPr>
              <w:t>鄂州市宏光建材制品有限责任公司</w:t>
            </w:r>
          </w:p>
        </w:tc>
        <w:tc>
          <w:tcPr>
            <w:tcW w:w="1311" w:type="pct"/>
            <w:vAlign w:val="center"/>
          </w:tcPr>
          <w:p w14:paraId="0FA2BB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鄂州市华容区华容镇楚潘路</w:t>
            </w:r>
          </w:p>
        </w:tc>
        <w:tc>
          <w:tcPr>
            <w:tcW w:w="2052" w:type="pct"/>
            <w:vAlign w:val="center"/>
          </w:tcPr>
          <w:p w14:paraId="1BB97D3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制造、销售：粉煤灰加气砼；销售建材材料</w:t>
            </w:r>
          </w:p>
        </w:tc>
      </w:tr>
    </w:tbl>
    <w:p w14:paraId="04ED5F72">
      <w:pPr>
        <w:keepNext/>
        <w:keepLines/>
        <w:tabs>
          <w:tab w:val="left" w:pos="425"/>
        </w:tabs>
        <w:spacing w:line="240" w:lineRule="auto"/>
        <w:rPr>
          <w:b/>
          <w:bCs/>
          <w:color w:val="000000" w:themeColor="text1"/>
          <w:sz w:val="18"/>
          <w:szCs w:val="18"/>
          <w:highlight w:val="none"/>
          <w14:textFill>
            <w14:solidFill>
              <w14:schemeClr w14:val="tx1"/>
            </w14:solidFill>
          </w14:textFill>
        </w:rPr>
      </w:pPr>
      <w:r>
        <w:rPr>
          <w:b/>
          <w:bCs/>
          <w:color w:val="000000" w:themeColor="text1"/>
          <w:sz w:val="18"/>
          <w:szCs w:val="18"/>
          <w:highlight w:val="none"/>
          <w14:textFill>
            <w14:solidFill>
              <w14:schemeClr w14:val="tx1"/>
            </w14:solidFill>
          </w14:textFill>
        </w:rPr>
        <w:t>注：</w:t>
      </w:r>
      <w:r>
        <w:rPr>
          <w:rFonts w:hint="eastAsia"/>
          <w:b/>
          <w:bCs/>
          <w:color w:val="000000" w:themeColor="text1"/>
          <w:sz w:val="18"/>
          <w:szCs w:val="18"/>
          <w:highlight w:val="none"/>
          <w14:textFill>
            <w14:solidFill>
              <w14:schemeClr w14:val="tx1"/>
            </w14:solidFill>
          </w14:textFill>
        </w:rPr>
        <w:t>①</w:t>
      </w:r>
      <w:r>
        <w:rPr>
          <w:b/>
          <w:bCs/>
          <w:color w:val="000000" w:themeColor="text1"/>
          <w:sz w:val="18"/>
          <w:szCs w:val="18"/>
          <w:highlight w:val="none"/>
          <w14:textFill>
            <w14:solidFill>
              <w14:schemeClr w14:val="tx1"/>
            </w14:solidFill>
          </w14:textFill>
        </w:rPr>
        <w:t>企业位置和主要经营范围</w:t>
      </w:r>
      <w:r>
        <w:rPr>
          <w:rFonts w:hint="eastAsia"/>
          <w:b/>
          <w:bCs/>
          <w:color w:val="000000" w:themeColor="text1"/>
          <w:sz w:val="18"/>
          <w:szCs w:val="18"/>
          <w:highlight w:val="none"/>
          <w14:textFill>
            <w14:solidFill>
              <w14:schemeClr w14:val="tx1"/>
            </w14:solidFill>
          </w14:textFill>
        </w:rPr>
        <w:t>结合现场踏勘情况及</w:t>
      </w:r>
      <w:r>
        <w:rPr>
          <w:b/>
          <w:bCs/>
          <w:color w:val="000000" w:themeColor="text1"/>
          <w:sz w:val="18"/>
          <w:szCs w:val="18"/>
          <w:highlight w:val="none"/>
          <w14:textFill>
            <w14:solidFill>
              <w14:schemeClr w14:val="tx1"/>
            </w14:solidFill>
          </w14:textFill>
        </w:rPr>
        <w:t>国家企业信用信息系统</w:t>
      </w:r>
      <w:r>
        <w:rPr>
          <w:rFonts w:hint="eastAsia"/>
          <w:b/>
          <w:bCs/>
          <w:color w:val="000000" w:themeColor="text1"/>
          <w:sz w:val="18"/>
          <w:szCs w:val="18"/>
          <w:highlight w:val="none"/>
          <w14:textFill>
            <w14:solidFill>
              <w14:schemeClr w14:val="tx1"/>
            </w14:solidFill>
          </w14:textFill>
        </w:rPr>
        <w:t>（http://www.gsxt.gov.cn/index.html）</w:t>
      </w:r>
      <w:r>
        <w:rPr>
          <w:b/>
          <w:bCs/>
          <w:color w:val="000000" w:themeColor="text1"/>
          <w:sz w:val="18"/>
          <w:szCs w:val="18"/>
          <w:highlight w:val="none"/>
          <w14:textFill>
            <w14:solidFill>
              <w14:schemeClr w14:val="tx1"/>
            </w14:solidFill>
          </w14:textFill>
        </w:rPr>
        <w:t>查询得到；</w:t>
      </w:r>
    </w:p>
    <w:p w14:paraId="79319AA8">
      <w:pPr>
        <w:keepNext/>
        <w:keepLines/>
        <w:tabs>
          <w:tab w:val="left" w:pos="425"/>
        </w:tabs>
        <w:spacing w:line="240" w:lineRule="auto"/>
        <w:ind w:firstLine="361" w:firstLineChars="200"/>
        <w:rPr>
          <w:b/>
          <w:bCs/>
          <w:color w:val="000000" w:themeColor="text1"/>
          <w:sz w:val="18"/>
          <w:szCs w:val="18"/>
          <w:highlight w:val="none"/>
          <w14:textFill>
            <w14:solidFill>
              <w14:schemeClr w14:val="tx1"/>
            </w14:solidFill>
          </w14:textFill>
        </w:rPr>
      </w:pPr>
      <w:r>
        <w:rPr>
          <w:rFonts w:hint="eastAsia"/>
          <w:b/>
          <w:bCs/>
          <w:color w:val="000000" w:themeColor="text1"/>
          <w:sz w:val="18"/>
          <w:szCs w:val="18"/>
          <w:highlight w:val="none"/>
          <w14:textFill>
            <w14:solidFill>
              <w14:schemeClr w14:val="tx1"/>
            </w14:solidFill>
          </w14:textFill>
        </w:rPr>
        <w:t>②</w:t>
      </w:r>
      <w:r>
        <w:rPr>
          <w:b/>
          <w:bCs/>
          <w:color w:val="000000" w:themeColor="text1"/>
          <w:sz w:val="18"/>
          <w:szCs w:val="18"/>
          <w:highlight w:val="none"/>
          <w14:textFill>
            <w14:solidFill>
              <w14:schemeClr w14:val="tx1"/>
            </w14:solidFill>
          </w14:textFill>
        </w:rPr>
        <w:t>加粗企业为土壤污染重点行业类别及土壤污染重点企业</w:t>
      </w:r>
      <w:r>
        <w:rPr>
          <w:rFonts w:hint="eastAsia"/>
          <w:b/>
          <w:bCs/>
          <w:color w:val="000000" w:themeColor="text1"/>
          <w:sz w:val="18"/>
          <w:szCs w:val="18"/>
          <w:highlight w:val="none"/>
          <w14:textFill>
            <w14:solidFill>
              <w14:schemeClr w14:val="tx1"/>
            </w14:solidFill>
          </w14:textFill>
        </w:rPr>
        <w:t>（简称“重点行业企业”）</w:t>
      </w:r>
      <w:r>
        <w:rPr>
          <w:b/>
          <w:bCs/>
          <w:color w:val="000000" w:themeColor="text1"/>
          <w:sz w:val="18"/>
          <w:szCs w:val="18"/>
          <w:highlight w:val="none"/>
          <w14:textFill>
            <w14:solidFill>
              <w14:schemeClr w14:val="tx1"/>
            </w14:solidFill>
          </w14:textFill>
        </w:rPr>
        <w:t>，基本信息来源于重点行业企业用地调查信息管理系统</w:t>
      </w:r>
      <w:r>
        <w:rPr>
          <w:rFonts w:hint="eastAsia"/>
          <w:b/>
          <w:bCs/>
          <w:color w:val="000000" w:themeColor="text1"/>
          <w:sz w:val="18"/>
          <w:szCs w:val="18"/>
          <w:highlight w:val="none"/>
          <w14:textFill>
            <w14:solidFill>
              <w14:schemeClr w14:val="tx1"/>
            </w14:solidFill>
          </w14:textFill>
        </w:rPr>
        <w:t>；</w:t>
      </w:r>
    </w:p>
    <w:p w14:paraId="26B3150D">
      <w:pPr>
        <w:keepNext/>
        <w:keepLines/>
        <w:tabs>
          <w:tab w:val="left" w:pos="425"/>
        </w:tabs>
        <w:spacing w:line="240" w:lineRule="auto"/>
        <w:ind w:firstLine="361" w:firstLineChars="200"/>
        <w:rPr>
          <w:b/>
          <w:bCs/>
          <w:color w:val="000000" w:themeColor="text1"/>
          <w:sz w:val="18"/>
          <w:szCs w:val="18"/>
          <w:highlight w:val="none"/>
          <w14:textFill>
            <w14:solidFill>
              <w14:schemeClr w14:val="tx1"/>
            </w14:solidFill>
          </w14:textFill>
        </w:rPr>
      </w:pPr>
      <w:r>
        <w:rPr>
          <w:rFonts w:hint="eastAsia"/>
          <w:b/>
          <w:bCs/>
          <w:color w:val="000000" w:themeColor="text1"/>
          <w:sz w:val="18"/>
          <w:szCs w:val="18"/>
          <w:highlight w:val="none"/>
          <w14:textFill>
            <w14:solidFill>
              <w14:schemeClr w14:val="tx1"/>
            </w14:solidFill>
          </w14:textFill>
        </w:rPr>
        <w:t>③阴影企业为已取得排污许可证企业（截</w:t>
      </w:r>
      <w:r>
        <w:rPr>
          <w:rFonts w:hint="eastAsia"/>
          <w:b/>
          <w:bCs/>
          <w:color w:val="000000" w:themeColor="text1"/>
          <w:sz w:val="18"/>
          <w:szCs w:val="18"/>
          <w:highlight w:val="none"/>
          <w:lang w:val="en-US" w:eastAsia="zh-CN"/>
          <w14:textFill>
            <w14:solidFill>
              <w14:schemeClr w14:val="tx1"/>
            </w14:solidFill>
          </w14:textFill>
        </w:rPr>
        <w:t>至</w:t>
      </w:r>
      <w:bookmarkStart w:id="57" w:name="_GoBack"/>
      <w:bookmarkEnd w:id="57"/>
      <w:r>
        <w:rPr>
          <w:rFonts w:hint="eastAsia"/>
          <w:b/>
          <w:bCs/>
          <w:color w:val="000000" w:themeColor="text1"/>
          <w:sz w:val="18"/>
          <w:szCs w:val="18"/>
          <w:highlight w:val="none"/>
          <w14:textFill>
            <w14:solidFill>
              <w14:schemeClr w14:val="tx1"/>
            </w14:solidFill>
          </w14:textFill>
        </w:rPr>
        <w:t>2020年12月），基本信息来源于全国排污许可证管理信息平台 公开端（http://permit.mee.gov.cn/）。</w:t>
      </w:r>
    </w:p>
    <w:p w14:paraId="1D3BA881">
      <w:pPr>
        <w:spacing w:line="360" w:lineRule="auto"/>
        <w:ind w:firstLine="480" w:firstLineChars="200"/>
        <w:rPr>
          <w:rFonts w:hint="default" w:ascii="Times New Roman" w:hAnsi="Times New Roman" w:cs="Times New Roman"/>
          <w:b/>
          <w:bCs/>
          <w:highlight w:val="none"/>
          <w:vertAlign w:val="baseline"/>
          <w:lang w:val="en-US" w:eastAsia="zh-CN"/>
        </w:rPr>
      </w:pP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综上，</w:t>
      </w:r>
      <w:r>
        <w:rPr>
          <w:rFonts w:hint="eastAsia" w:cs="Times New Roman"/>
          <w:color w:val="000000" w:themeColor="text1"/>
          <w:kern w:val="0"/>
          <w:sz w:val="24"/>
          <w:highlight w:val="none"/>
          <w:lang w:val="en-US" w:eastAsia="zh-CN"/>
          <w14:textFill>
            <w14:solidFill>
              <w14:schemeClr w14:val="tx1"/>
            </w14:solidFill>
          </w14:textFill>
        </w:rPr>
        <w:t>各主要企业经营范围与园区产业定位基本一致</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w:t>
      </w:r>
      <w:r>
        <w:rPr>
          <w:rFonts w:hint="eastAsia" w:cs="Times New Roman"/>
          <w:color w:val="000000" w:themeColor="text1"/>
          <w:kern w:val="0"/>
          <w:sz w:val="24"/>
          <w:highlight w:val="none"/>
          <w:lang w:val="en-US" w:eastAsia="zh-CN"/>
          <w14:textFill>
            <w14:solidFill>
              <w14:schemeClr w14:val="tx1"/>
            </w14:solidFill>
          </w14:textFill>
        </w:rPr>
        <w:t>其中，重点行业企业3家，分别为</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鄂州富晶电子技术有限公司、武汉市安特邦建材有限公司 、鄂州鸿泰钢铁有限公司</w:t>
      </w:r>
      <w:r>
        <w:rPr>
          <w:rFonts w:hint="eastAsia" w:cs="Times New Roman"/>
          <w:color w:val="000000" w:themeColor="text1"/>
          <w:kern w:val="0"/>
          <w:sz w:val="24"/>
          <w:highlight w:val="none"/>
          <w:lang w:val="en-US" w:eastAsia="zh-CN"/>
          <w14:textFill>
            <w14:solidFill>
              <w14:schemeClr w14:val="tx1"/>
            </w14:solidFill>
          </w14:textFill>
        </w:rPr>
        <w:t>；已取得排污许可证企业1家</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w:t>
      </w:r>
      <w:r>
        <w:rPr>
          <w:rFonts w:hint="eastAsia" w:cs="Times New Roman"/>
          <w:color w:val="000000" w:themeColor="text1"/>
          <w:kern w:val="0"/>
          <w:sz w:val="24"/>
          <w:highlight w:val="none"/>
          <w:lang w:val="en-US" w:eastAsia="zh-CN"/>
          <w14:textFill>
            <w14:solidFill>
              <w14:schemeClr w14:val="tx1"/>
            </w14:solidFill>
          </w14:textFill>
        </w:rPr>
        <w:t>为</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武汉科贝科技股份有限公司</w:t>
      </w:r>
      <w:r>
        <w:rPr>
          <w:rFonts w:hint="eastAsia" w:cs="Times New Roman"/>
          <w:color w:val="000000" w:themeColor="text1"/>
          <w:kern w:val="0"/>
          <w:sz w:val="24"/>
          <w:highlight w:val="none"/>
          <w:lang w:val="en-US" w:eastAsia="zh-CN"/>
          <w14:textFill>
            <w14:solidFill>
              <w14:schemeClr w14:val="tx1"/>
            </w14:solidFill>
          </w14:textFill>
        </w:rPr>
        <w:t>；湖北省土壤重点监管企业2家，分别为</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鄂州富晶电子技术有限公司</w:t>
      </w:r>
      <w:r>
        <w:rPr>
          <w:rFonts w:hint="eastAsia" w:cs="Times New Roman"/>
          <w:color w:val="000000" w:themeColor="text1"/>
          <w:kern w:val="0"/>
          <w:sz w:val="24"/>
          <w:highlight w:val="none"/>
          <w:lang w:val="en-US" w:eastAsia="zh-CN"/>
          <w14:textFill>
            <w14:solidFill>
              <w14:schemeClr w14:val="tx1"/>
            </w14:solidFill>
          </w14:textFill>
        </w:rPr>
        <w:t>、</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鄂州鸿泰钢铁有限公司</w:t>
      </w:r>
      <w:r>
        <w:rPr>
          <w:rFonts w:hint="eastAsia" w:cs="Times New Roman"/>
          <w:color w:val="000000" w:themeColor="text1"/>
          <w:kern w:val="0"/>
          <w:sz w:val="24"/>
          <w:highlight w:val="none"/>
          <w:lang w:val="en-US" w:eastAsia="zh-CN"/>
          <w14:textFill>
            <w14:solidFill>
              <w14:schemeClr w14:val="tx1"/>
            </w14:solidFill>
          </w14:textFill>
        </w:rPr>
        <w:t>；另外</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，鄂州鸿泰钢铁有限公司为重点行业企业详查布点采样地块</w:t>
      </w:r>
      <w:r>
        <w:rPr>
          <w:rFonts w:hint="eastAsia" w:cs="Times New Roman"/>
          <w:color w:val="000000" w:themeColor="text1"/>
          <w:kern w:val="0"/>
          <w:sz w:val="24"/>
          <w:highlight w:val="none"/>
          <w:lang w:val="en-US" w:eastAsia="zh-CN"/>
          <w14:textFill>
            <w14:solidFill>
              <w14:schemeClr w14:val="tx1"/>
            </w14:solidFill>
          </w14:textFill>
        </w:rPr>
        <w:t>。</w:t>
      </w:r>
    </w:p>
    <w:p w14:paraId="3422F2F1">
      <w:pPr>
        <w:pStyle w:val="4"/>
        <w:tabs>
          <w:tab w:val="clear" w:pos="567"/>
        </w:tabs>
        <w:rPr>
          <w:rFonts w:hint="default" w:ascii="Times New Roman" w:hAnsi="Times New Roman" w:cs="Times New Roman"/>
          <w:color w:val="000000" w:themeColor="text1"/>
          <w:highlight w:val="none"/>
          <w14:textFill>
            <w14:solidFill>
              <w14:schemeClr w14:val="tx1"/>
            </w14:solidFill>
          </w14:textFill>
        </w:rPr>
      </w:pPr>
      <w:bookmarkStart w:id="13" w:name="_Toc8815"/>
      <w:r>
        <w:rPr>
          <w:rFonts w:hint="default" w:ascii="Times New Roman" w:hAnsi="Times New Roman" w:cs="Times New Roman"/>
          <w:color w:val="000000" w:themeColor="text1"/>
          <w:highlight w:val="none"/>
          <w:lang w:eastAsia="zh-CN"/>
          <w14:textFill>
            <w14:solidFill>
              <w14:schemeClr w14:val="tx1"/>
            </w14:solidFill>
          </w14:textFill>
        </w:rPr>
        <w:t>园区</w:t>
      </w:r>
      <w:r>
        <w:rPr>
          <w:rFonts w:hint="default" w:ascii="Times New Roman" w:hAnsi="Times New Roman" w:cs="Times New Roman"/>
          <w:color w:val="000000" w:themeColor="text1"/>
          <w:highlight w:val="none"/>
          <w14:textFill>
            <w14:solidFill>
              <w14:schemeClr w14:val="tx1"/>
            </w14:solidFill>
          </w14:textFill>
        </w:rPr>
        <w:t>污染源分析</w:t>
      </w:r>
      <w:bookmarkEnd w:id="13"/>
    </w:p>
    <w:p w14:paraId="034D40DD">
      <w:pPr>
        <w:spacing w:line="360" w:lineRule="auto"/>
        <w:ind w:firstLine="480" w:firstLineChars="200"/>
        <w:rPr>
          <w:rFonts w:hint="default" w:ascii="Times New Roman" w:hAnsi="Times New Roman"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4"/>
          <w:highlight w:val="none"/>
          <w:lang w:val="en-US" w:eastAsia="zh-CN"/>
          <w14:textFill>
            <w14:solidFill>
              <w14:schemeClr w14:val="tx1"/>
            </w14:solidFill>
          </w14:textFill>
        </w:rPr>
        <w:t>园区特征</w:t>
      </w:r>
      <w:r>
        <w:rPr>
          <w:rFonts w:hint="eastAsia" w:cs="Times New Roman"/>
          <w:b w:val="0"/>
          <w:bCs w:val="0"/>
          <w:color w:val="000000" w:themeColor="text1"/>
          <w:kern w:val="0"/>
          <w:sz w:val="24"/>
          <w:highlight w:val="none"/>
          <w:lang w:val="en-US" w:eastAsia="zh-CN"/>
          <w14:textFill>
            <w14:solidFill>
              <w14:schemeClr w14:val="tx1"/>
            </w14:solidFill>
          </w14:textFill>
        </w:rPr>
        <w:t>污染源识别</w:t>
      </w:r>
      <w:r>
        <w:rPr>
          <w:rFonts w:hint="default" w:ascii="Times New Roman" w:hAnsi="Times New Roman" w:cs="Times New Roman"/>
          <w:b w:val="0"/>
          <w:bCs w:val="0"/>
          <w:color w:val="000000" w:themeColor="text1"/>
          <w:kern w:val="0"/>
          <w:sz w:val="24"/>
          <w:highlight w:val="none"/>
          <w:lang w:val="en-US" w:eastAsia="zh-CN"/>
          <w14:textFill>
            <w14:solidFill>
              <w14:schemeClr w14:val="tx1"/>
            </w14:solidFill>
          </w14:textFill>
        </w:rPr>
        <w:t>主要依据园区规划产业定位确定，并根据重点行业企业用地调查信息管理系统、全国排污许可证管理信息平台公开端补充典型企业污染因子</w:t>
      </w:r>
      <w:r>
        <w:rPr>
          <w:rFonts w:hint="eastAsia" w:cs="Times New Roman"/>
          <w:b w:val="0"/>
          <w:bCs w:val="0"/>
          <w:color w:val="000000" w:themeColor="text1"/>
          <w:kern w:val="0"/>
          <w:sz w:val="24"/>
          <w:highlight w:val="none"/>
          <w:lang w:val="en-US" w:eastAsia="zh-CN"/>
          <w14:textFill>
            <w14:solidFill>
              <w14:schemeClr w14:val="tx1"/>
            </w14:solidFill>
          </w14:textFill>
        </w:rPr>
        <w:t>。</w:t>
      </w:r>
    </w:p>
    <w:p w14:paraId="24AFEA9A">
      <w:pPr>
        <w:spacing w:line="360" w:lineRule="auto"/>
        <w:ind w:firstLine="480" w:firstLineChars="200"/>
        <w:rPr>
          <w:rFonts w:hint="default" w:ascii="Times New Roman" w:hAnsi="Times New Roman"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4"/>
          <w:highlight w:val="none"/>
          <w:lang w:val="en-US" w:eastAsia="zh-CN"/>
          <w14:textFill>
            <w14:solidFill>
              <w14:schemeClr w14:val="tx1"/>
            </w14:solidFill>
          </w14:textFill>
        </w:rPr>
        <w:t>华容创业园重点发展钢铁建材、机械制造业</w:t>
      </w:r>
      <w:r>
        <w:rPr>
          <w:rFonts w:hint="eastAsia" w:cs="Times New Roman"/>
          <w:b w:val="0"/>
          <w:bCs w:val="0"/>
          <w:color w:val="000000" w:themeColor="text1"/>
          <w:kern w:val="0"/>
          <w:sz w:val="24"/>
          <w:highlight w:val="none"/>
          <w:lang w:val="en-US" w:eastAsia="zh-CN"/>
          <w14:textFill>
            <w14:solidFill>
              <w14:schemeClr w14:val="tx1"/>
            </w14:solidFill>
          </w14:textFill>
        </w:rPr>
        <w:t>：</w:t>
      </w:r>
    </w:p>
    <w:p w14:paraId="49C5BADC">
      <w:pPr>
        <w:spacing w:line="360" w:lineRule="auto"/>
        <w:ind w:firstLine="482" w:firstLineChars="200"/>
        <w:rPr>
          <w:rFonts w:hint="default" w:cs="Times New Roman"/>
          <w:b w:val="0"/>
          <w:bCs w:val="0"/>
          <w:color w:val="000000" w:themeColor="text1"/>
          <w:kern w:val="0"/>
          <w:sz w:val="24"/>
          <w:highlight w:val="none"/>
          <w:lang w:val="en-US" w:eastAsia="zh-CN"/>
          <w14:textFill>
            <w14:solidFill>
              <w14:schemeClr w14:val="tx1"/>
            </w14:solidFill>
          </w14:textFill>
        </w:rPr>
      </w:pPr>
      <w:r>
        <w:rPr>
          <w:rFonts w:hint="eastAsia" w:ascii="Times New Roman" w:hAnsi="Times New Roman" w:cs="Times New Roman"/>
          <w:b/>
          <w:bCs/>
          <w:color w:val="000000" w:themeColor="text1"/>
          <w:kern w:val="0"/>
          <w:sz w:val="24"/>
          <w:highlight w:val="none"/>
          <w:lang w:val="en-US" w:eastAsia="zh-CN"/>
          <w14:textFill>
            <w14:solidFill>
              <w14:schemeClr w14:val="tx1"/>
            </w14:solidFill>
          </w14:textFill>
        </w:rPr>
        <w:t>钢铁：</w:t>
      </w:r>
      <w:r>
        <w:rPr>
          <w:rFonts w:hint="eastAsia" w:cs="Times New Roman"/>
          <w:b w:val="0"/>
          <w:bCs w:val="0"/>
          <w:color w:val="000000" w:themeColor="text1"/>
          <w:kern w:val="0"/>
          <w:sz w:val="24"/>
          <w:highlight w:val="none"/>
          <w:lang w:val="en-US" w:eastAsia="zh-CN"/>
          <w14:textFill>
            <w14:solidFill>
              <w14:schemeClr w14:val="tx1"/>
            </w14:solidFill>
          </w14:textFill>
        </w:rPr>
        <w:t>主要的污染源有高炉炼铁、</w:t>
      </w:r>
      <w:r>
        <w:rPr>
          <w:rFonts w:hint="default" w:ascii="Times New Roman" w:hAnsi="Times New Roman" w:cs="Times New Roman"/>
          <w:sz w:val="21"/>
          <w:szCs w:val="21"/>
          <w:highlight w:val="none"/>
          <w:vertAlign w:val="baseline"/>
          <w:lang w:val="en-US" w:eastAsia="zh-CN"/>
        </w:rPr>
        <w:t>转炉、电炉</w:t>
      </w:r>
      <w:r>
        <w:rPr>
          <w:rFonts w:hint="eastAsia" w:cs="Times New Roman"/>
          <w:b w:val="0"/>
          <w:bCs w:val="0"/>
          <w:color w:val="000000" w:themeColor="text1"/>
          <w:kern w:val="0"/>
          <w:sz w:val="24"/>
          <w:highlight w:val="none"/>
          <w:lang w:val="en-US" w:eastAsia="zh-CN"/>
          <w14:textFill>
            <w14:solidFill>
              <w14:schemeClr w14:val="tx1"/>
            </w14:solidFill>
          </w14:textFill>
        </w:rPr>
        <w:t>产生的废气，水冲渣、煤气净化水、连铸废水，以及产生的废油、钢渣等固废。</w:t>
      </w:r>
    </w:p>
    <w:p w14:paraId="246B996E">
      <w:pPr>
        <w:spacing w:line="360" w:lineRule="auto"/>
        <w:ind w:firstLine="482" w:firstLineChars="200"/>
        <w:rPr>
          <w:rFonts w:hint="eastAsia" w:cs="Times New Roman"/>
          <w:b w:val="0"/>
          <w:bCs w:val="0"/>
          <w:color w:val="000000" w:themeColor="text1"/>
          <w:kern w:val="0"/>
          <w:sz w:val="24"/>
          <w:highlight w:val="none"/>
          <w:lang w:val="en-US" w:eastAsia="zh-CN"/>
          <w14:textFill>
            <w14:solidFill>
              <w14:schemeClr w14:val="tx1"/>
            </w14:solidFill>
          </w14:textFill>
        </w:rPr>
      </w:pPr>
      <w:r>
        <w:rPr>
          <w:rFonts w:hint="eastAsia" w:ascii="Times New Roman" w:hAnsi="Times New Roman" w:cs="Times New Roman"/>
          <w:b/>
          <w:bCs/>
          <w:color w:val="000000" w:themeColor="text1"/>
          <w:kern w:val="0"/>
          <w:sz w:val="24"/>
          <w:highlight w:val="none"/>
          <w:lang w:val="en-US" w:eastAsia="zh-CN"/>
          <w14:textFill>
            <w14:solidFill>
              <w14:schemeClr w14:val="tx1"/>
            </w14:solidFill>
          </w14:textFill>
        </w:rPr>
        <w:t>建材：</w:t>
      </w:r>
      <w:r>
        <w:rPr>
          <w:rFonts w:hint="eastAsia" w:cs="Times New Roman"/>
          <w:b w:val="0"/>
          <w:bCs w:val="0"/>
          <w:color w:val="000000" w:themeColor="text1"/>
          <w:kern w:val="0"/>
          <w:sz w:val="24"/>
          <w:highlight w:val="none"/>
          <w:lang w:val="en-US" w:eastAsia="zh-CN"/>
          <w14:textFill>
            <w14:solidFill>
              <w14:schemeClr w14:val="tx1"/>
            </w14:solidFill>
          </w14:textFill>
        </w:rPr>
        <w:t>主要的污染源有生产过程中产生的工业粉尘、少数砖瓦厂产生的含氟废气，噪声、工业固废。</w:t>
      </w:r>
    </w:p>
    <w:p w14:paraId="5F829F28">
      <w:pPr>
        <w:spacing w:line="360" w:lineRule="auto"/>
        <w:ind w:firstLine="482" w:firstLineChars="200"/>
        <w:rPr>
          <w:rFonts w:hint="default" w:cs="Times New Roman"/>
          <w:b w:val="0"/>
          <w:bCs w:val="0"/>
          <w:color w:val="000000" w:themeColor="text1"/>
          <w:kern w:val="0"/>
          <w:sz w:val="24"/>
          <w:highlight w:val="none"/>
          <w:lang w:val="en-US" w:eastAsia="zh-CN"/>
          <w14:textFill>
            <w14:solidFill>
              <w14:schemeClr w14:val="tx1"/>
            </w14:solidFill>
          </w14:textFill>
        </w:rPr>
      </w:pPr>
      <w:r>
        <w:rPr>
          <w:rFonts w:hint="eastAsia" w:ascii="Times New Roman" w:hAnsi="Times New Roman" w:cs="Times New Roman"/>
          <w:b/>
          <w:bCs/>
          <w:color w:val="000000" w:themeColor="text1"/>
          <w:kern w:val="0"/>
          <w:sz w:val="24"/>
          <w:highlight w:val="none"/>
          <w:lang w:val="en-US" w:eastAsia="zh-CN"/>
          <w14:textFill>
            <w14:solidFill>
              <w14:schemeClr w14:val="tx1"/>
            </w14:solidFill>
          </w14:textFill>
        </w:rPr>
        <w:t>机械制造：</w:t>
      </w:r>
      <w:r>
        <w:rPr>
          <w:rFonts w:hint="eastAsia" w:cs="Times New Roman"/>
          <w:b w:val="0"/>
          <w:bCs w:val="0"/>
          <w:color w:val="000000" w:themeColor="text1"/>
          <w:kern w:val="0"/>
          <w:sz w:val="24"/>
          <w:highlight w:val="none"/>
          <w:lang w:val="en-US" w:eastAsia="zh-CN"/>
          <w14:textFill>
            <w14:solidFill>
              <w14:schemeClr w14:val="tx1"/>
            </w14:solidFill>
          </w14:textFill>
        </w:rPr>
        <w:t>主要的污染源有铸造、锻压、焊接、热处理等过程产生的粉尘、锰尘、含氟废气，电镀过程中产生的含重金属废水、切削加工过程中产生的切削液清洗液等，以及熔炼炉渣、浇注废渣、热处理熔渣、焊接废渣、电镀废渣、锻造氧化皮等固废。</w:t>
      </w:r>
    </w:p>
    <w:p w14:paraId="32EB1250">
      <w:pPr>
        <w:spacing w:line="360" w:lineRule="auto"/>
        <w:ind w:firstLine="480" w:firstLineChars="200"/>
        <w:rPr>
          <w:rFonts w:hint="eastAsia"/>
          <w:highlight w:val="none"/>
          <w:lang w:val="en-US" w:eastAsia="zh-CN"/>
        </w:rPr>
      </w:pPr>
      <w:r>
        <w:rPr>
          <w:rFonts w:hint="eastAsia" w:cs="Times New Roman"/>
          <w:b w:val="0"/>
          <w:bCs w:val="0"/>
          <w:color w:val="000000" w:themeColor="text1"/>
          <w:kern w:val="0"/>
          <w:sz w:val="24"/>
          <w:highlight w:val="none"/>
          <w:lang w:val="en-US" w:eastAsia="zh-CN"/>
          <w14:textFill>
            <w14:solidFill>
              <w14:schemeClr w14:val="tx1"/>
            </w14:solidFill>
          </w14:textFill>
        </w:rPr>
        <w:t>其中，园区内典型企业包括</w:t>
      </w:r>
      <w:r>
        <w:rPr>
          <w:rFonts w:hint="default" w:ascii="Times New Roman" w:hAnsi="Times New Roman" w:cs="Times New Roman"/>
          <w:b w:val="0"/>
          <w:bCs w:val="0"/>
          <w:color w:val="000000" w:themeColor="text1"/>
          <w:kern w:val="0"/>
          <w:sz w:val="24"/>
          <w:highlight w:val="none"/>
          <w:lang w:val="en-US" w:eastAsia="zh-CN"/>
          <w14:textFill>
            <w14:solidFill>
              <w14:schemeClr w14:val="tx1"/>
            </w14:solidFill>
          </w14:textFill>
        </w:rPr>
        <w:t>重点行业企业</w:t>
      </w:r>
      <w:r>
        <w:rPr>
          <w:rFonts w:hint="eastAsia" w:cs="Times New Roman"/>
          <w:b w:val="0"/>
          <w:bCs w:val="0"/>
          <w:color w:val="000000" w:themeColor="text1"/>
          <w:kern w:val="0"/>
          <w:sz w:val="24"/>
          <w:highlight w:val="none"/>
          <w:lang w:val="en-US" w:eastAsia="zh-CN"/>
          <w14:textFill>
            <w14:solidFill>
              <w14:schemeClr w14:val="tx1"/>
            </w14:solidFill>
          </w14:textFill>
        </w:rPr>
        <w:t>和已取得排污许可证企业等，涉及的主要污染因子如下表2-2-3：</w:t>
      </w:r>
    </w:p>
    <w:p w14:paraId="3482AE74">
      <w:pPr>
        <w:spacing w:line="360" w:lineRule="auto"/>
        <w:jc w:val="center"/>
        <w:rPr>
          <w:rFonts w:hint="default" w:ascii="Times New Roman" w:hAnsi="Times New Roman" w:eastAsia="黑体" w:cs="Times New Roman"/>
          <w:b/>
          <w:sz w:val="24"/>
          <w:highlight w:val="none"/>
          <w:lang w:val="en-US" w:eastAsia="zh-CN"/>
        </w:rPr>
      </w:pPr>
    </w:p>
    <w:p w14:paraId="3D15B31F">
      <w:pPr>
        <w:spacing w:line="360" w:lineRule="auto"/>
        <w:jc w:val="center"/>
        <w:rPr>
          <w:rFonts w:hint="default" w:ascii="Times New Roman" w:hAnsi="Times New Roman" w:eastAsia="黑体" w:cs="Times New Roman"/>
          <w:b/>
          <w:sz w:val="24"/>
          <w:highlight w:val="none"/>
          <w:lang w:val="en-US" w:eastAsia="zh-CN"/>
        </w:rPr>
      </w:pPr>
    </w:p>
    <w:p w14:paraId="0E8E8570">
      <w:pPr>
        <w:spacing w:before="157" w:beforeLines="50" w:line="240" w:lineRule="auto"/>
        <w:jc w:val="center"/>
        <w:rPr>
          <w:rFonts w:hint="default" w:ascii="Times New Roman" w:hAnsi="Times New Roman" w:eastAsia="黑体" w:cs="Times New Roman"/>
          <w:b/>
          <w:sz w:val="24"/>
          <w:highlight w:val="none"/>
          <w:lang w:val="en-US" w:eastAsia="zh-CN"/>
        </w:rPr>
      </w:pPr>
      <w:r>
        <w:rPr>
          <w:rFonts w:hint="default" w:ascii="Times New Roman" w:hAnsi="Times New Roman" w:eastAsia="黑体" w:cs="Times New Roman"/>
          <w:b/>
          <w:sz w:val="24"/>
          <w:highlight w:val="none"/>
          <w:lang w:val="en-US" w:eastAsia="zh-CN"/>
        </w:rPr>
        <w:t xml:space="preserve">表2-2-3 </w:t>
      </w:r>
      <w:r>
        <w:rPr>
          <w:rFonts w:hint="eastAsia" w:eastAsia="黑体" w:cs="Times New Roman"/>
          <w:b/>
          <w:sz w:val="24"/>
          <w:highlight w:val="none"/>
          <w:lang w:val="en-US" w:eastAsia="zh-CN"/>
        </w:rPr>
        <w:t>园区内典型企业</w:t>
      </w:r>
      <w:r>
        <w:rPr>
          <w:rFonts w:hint="default" w:ascii="Times New Roman" w:hAnsi="Times New Roman" w:eastAsia="黑体" w:cs="Times New Roman"/>
          <w:b/>
          <w:sz w:val="24"/>
          <w:highlight w:val="none"/>
          <w:lang w:val="en-US" w:eastAsia="zh-CN"/>
        </w:rPr>
        <w:t>污染因子及影响途径</w:t>
      </w:r>
    </w:p>
    <w:tbl>
      <w:tblPr>
        <w:tblStyle w:val="22"/>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1328"/>
        <w:gridCol w:w="1328"/>
        <w:gridCol w:w="2312"/>
        <w:gridCol w:w="2089"/>
        <w:gridCol w:w="2227"/>
      </w:tblGrid>
      <w:tr w14:paraId="178FCB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285" w:type="pct"/>
            <w:tcBorders>
              <w:bottom w:val="single" w:color="auto" w:sz="12" w:space="0"/>
            </w:tcBorders>
            <w:vAlign w:val="center"/>
          </w:tcPr>
          <w:p w14:paraId="231654C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编号</w:t>
            </w:r>
          </w:p>
        </w:tc>
        <w:tc>
          <w:tcPr>
            <w:tcW w:w="674" w:type="pct"/>
            <w:tcBorders>
              <w:bottom w:val="single" w:color="auto" w:sz="12" w:space="0"/>
            </w:tcBorders>
            <w:vAlign w:val="center"/>
          </w:tcPr>
          <w:p w14:paraId="0F37B65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bCs/>
                <w:sz w:val="21"/>
                <w:szCs w:val="21"/>
                <w:highlight w:val="none"/>
                <w:vertAlign w:val="baseline"/>
                <w:lang w:val="en-US" w:eastAsia="zh-CN"/>
              </w:rPr>
            </w:pPr>
            <w:r>
              <w:rPr>
                <w:rFonts w:hint="eastAsia" w:cs="Times New Roman"/>
                <w:b/>
                <w:bCs/>
                <w:sz w:val="21"/>
                <w:szCs w:val="21"/>
                <w:highlight w:val="none"/>
                <w:vertAlign w:val="baseline"/>
                <w:lang w:val="en-US" w:eastAsia="zh-CN"/>
              </w:rPr>
              <w:t>典型企业</w:t>
            </w:r>
          </w:p>
        </w:tc>
        <w:tc>
          <w:tcPr>
            <w:tcW w:w="674" w:type="pct"/>
            <w:tcBorders>
              <w:bottom w:val="single" w:color="auto" w:sz="12" w:space="0"/>
            </w:tcBorders>
            <w:vAlign w:val="center"/>
          </w:tcPr>
          <w:p w14:paraId="166353E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eastAsia" w:cs="Times New Roman"/>
                <w:b/>
                <w:bCs/>
                <w:sz w:val="21"/>
                <w:szCs w:val="21"/>
                <w:highlight w:val="none"/>
                <w:vertAlign w:val="baseline"/>
                <w:lang w:val="en-US" w:eastAsia="zh-CN"/>
              </w:rPr>
              <w:t>主要行业类别</w:t>
            </w:r>
          </w:p>
        </w:tc>
        <w:tc>
          <w:tcPr>
            <w:tcW w:w="1173" w:type="pct"/>
            <w:tcBorders>
              <w:bottom w:val="single" w:color="auto" w:sz="12" w:space="0"/>
            </w:tcBorders>
            <w:vAlign w:val="center"/>
          </w:tcPr>
          <w:p w14:paraId="14BB0E5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主要污染因子</w:t>
            </w:r>
          </w:p>
        </w:tc>
        <w:tc>
          <w:tcPr>
            <w:tcW w:w="1060" w:type="pct"/>
            <w:tcBorders>
              <w:bottom w:val="single" w:color="auto" w:sz="12" w:space="0"/>
            </w:tcBorders>
            <w:vAlign w:val="center"/>
          </w:tcPr>
          <w:p w14:paraId="0362E9E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影响环节</w:t>
            </w:r>
          </w:p>
        </w:tc>
        <w:tc>
          <w:tcPr>
            <w:tcW w:w="1130" w:type="pct"/>
            <w:tcBorders>
              <w:bottom w:val="single" w:color="auto" w:sz="12" w:space="0"/>
            </w:tcBorders>
            <w:vAlign w:val="center"/>
          </w:tcPr>
          <w:p w14:paraId="61E9EB6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highlight w:val="none"/>
                <w:vertAlign w:val="baseline"/>
                <w:lang w:val="en-US" w:eastAsia="zh-CN"/>
              </w:rPr>
            </w:pPr>
            <w:r>
              <w:rPr>
                <w:rFonts w:hint="eastAsia" w:cs="Times New Roman"/>
                <w:b/>
                <w:bCs/>
                <w:sz w:val="21"/>
                <w:szCs w:val="21"/>
                <w:highlight w:val="none"/>
                <w:vertAlign w:val="baseline"/>
                <w:lang w:val="en-US" w:eastAsia="zh-CN"/>
              </w:rPr>
              <w:t>备注</w:t>
            </w:r>
          </w:p>
        </w:tc>
      </w:tr>
      <w:tr w14:paraId="592815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285" w:type="pct"/>
            <w:tcBorders>
              <w:top w:val="single" w:color="auto" w:sz="12" w:space="0"/>
            </w:tcBorders>
            <w:vAlign w:val="center"/>
          </w:tcPr>
          <w:p w14:paraId="3D6F2A1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1</w:t>
            </w:r>
          </w:p>
        </w:tc>
        <w:tc>
          <w:tcPr>
            <w:tcW w:w="674" w:type="pct"/>
            <w:tcBorders>
              <w:top w:val="single" w:color="auto" w:sz="12" w:space="0"/>
            </w:tcBorders>
            <w:vAlign w:val="center"/>
          </w:tcPr>
          <w:p w14:paraId="38ABD8C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鄂州富晶电子技术有限公司</w:t>
            </w:r>
          </w:p>
        </w:tc>
        <w:tc>
          <w:tcPr>
            <w:tcW w:w="674" w:type="pct"/>
            <w:tcBorders>
              <w:top w:val="single" w:color="auto" w:sz="12" w:space="0"/>
            </w:tcBorders>
            <w:vAlign w:val="center"/>
          </w:tcPr>
          <w:p w14:paraId="3CC20C8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C3360金属表面处理及热处理加工</w:t>
            </w:r>
          </w:p>
        </w:tc>
        <w:tc>
          <w:tcPr>
            <w:tcW w:w="1173" w:type="pct"/>
            <w:tcBorders>
              <w:top w:val="single" w:color="auto" w:sz="12" w:space="0"/>
            </w:tcBorders>
            <w:vAlign w:val="center"/>
          </w:tcPr>
          <w:p w14:paraId="45FD40A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 xml:space="preserve">pH、 氰化物、 </w:t>
            </w:r>
            <w:r>
              <w:rPr>
                <w:rFonts w:hint="eastAsia" w:cs="Times New Roman"/>
                <w:sz w:val="21"/>
                <w:szCs w:val="21"/>
                <w:highlight w:val="none"/>
                <w:vertAlign w:val="baseline"/>
                <w:lang w:val="en-US" w:eastAsia="zh-CN"/>
              </w:rPr>
              <w:t>氟化物</w:t>
            </w:r>
            <w:r>
              <w:rPr>
                <w:rFonts w:hint="default" w:ascii="Times New Roman" w:hAnsi="Times New Roman" w:cs="Times New Roman"/>
                <w:sz w:val="21"/>
                <w:szCs w:val="21"/>
                <w:highlight w:val="none"/>
                <w:vertAlign w:val="baseline"/>
                <w:lang w:val="en-US" w:eastAsia="zh-CN"/>
              </w:rPr>
              <w:t>、 重金属（铬、铜、镍、镉、锌、 铅、 汞）</w:t>
            </w:r>
          </w:p>
        </w:tc>
        <w:tc>
          <w:tcPr>
            <w:tcW w:w="1060" w:type="pct"/>
            <w:tcBorders>
              <w:top w:val="single" w:color="auto" w:sz="12" w:space="0"/>
            </w:tcBorders>
            <w:vAlign w:val="center"/>
          </w:tcPr>
          <w:p w14:paraId="758DE2E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废水：前处理、电镀、后处理工序</w:t>
            </w:r>
          </w:p>
          <w:p w14:paraId="3EE2284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废气： 镀铬、 氰化电镀工序</w:t>
            </w:r>
          </w:p>
        </w:tc>
        <w:tc>
          <w:tcPr>
            <w:tcW w:w="1130" w:type="pct"/>
            <w:tcBorders>
              <w:top w:val="single" w:color="auto" w:sz="12" w:space="0"/>
            </w:tcBorders>
            <w:vAlign w:val="center"/>
          </w:tcPr>
          <w:p w14:paraId="4264CF6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重点行业企业</w:t>
            </w:r>
            <w:r>
              <w:rPr>
                <w:rFonts w:hint="eastAsia" w:cs="Times New Roman"/>
                <w:sz w:val="21"/>
                <w:szCs w:val="21"/>
                <w:highlight w:val="none"/>
                <w:vertAlign w:val="baseline"/>
                <w:lang w:val="en-US" w:eastAsia="zh-CN"/>
              </w:rPr>
              <w:t>、湖北省土壤重点监管企业</w:t>
            </w:r>
          </w:p>
        </w:tc>
      </w:tr>
      <w:tr w14:paraId="3896F5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285" w:type="pct"/>
            <w:vAlign w:val="center"/>
          </w:tcPr>
          <w:p w14:paraId="46DFCB3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2</w:t>
            </w:r>
          </w:p>
        </w:tc>
        <w:tc>
          <w:tcPr>
            <w:tcW w:w="674" w:type="pct"/>
            <w:vAlign w:val="center"/>
          </w:tcPr>
          <w:p w14:paraId="23735CA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武汉市安特邦建材有限公司</w:t>
            </w:r>
          </w:p>
        </w:tc>
        <w:tc>
          <w:tcPr>
            <w:tcW w:w="674" w:type="pct"/>
            <w:vAlign w:val="center"/>
          </w:tcPr>
          <w:p w14:paraId="4EE2AF6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C2661化学试剂和助剂制造</w:t>
            </w:r>
          </w:p>
        </w:tc>
        <w:tc>
          <w:tcPr>
            <w:tcW w:w="1173" w:type="pct"/>
            <w:vAlign w:val="center"/>
          </w:tcPr>
          <w:p w14:paraId="3590625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丙烯酸、巯基乙酸、2-巯基丙酸</w:t>
            </w:r>
          </w:p>
        </w:tc>
        <w:tc>
          <w:tcPr>
            <w:tcW w:w="1060" w:type="pct"/>
            <w:vAlign w:val="center"/>
          </w:tcPr>
          <w:p w14:paraId="7346E3B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废气：车间丙烯酸挥发</w:t>
            </w:r>
          </w:p>
        </w:tc>
        <w:tc>
          <w:tcPr>
            <w:tcW w:w="1130" w:type="pct"/>
            <w:vAlign w:val="center"/>
          </w:tcPr>
          <w:p w14:paraId="7F90DF9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重点行业企业</w:t>
            </w:r>
          </w:p>
        </w:tc>
      </w:tr>
      <w:tr w14:paraId="074659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285" w:type="pct"/>
            <w:vAlign w:val="center"/>
          </w:tcPr>
          <w:p w14:paraId="4423E75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3</w:t>
            </w:r>
          </w:p>
        </w:tc>
        <w:tc>
          <w:tcPr>
            <w:tcW w:w="674" w:type="pct"/>
            <w:vAlign w:val="center"/>
          </w:tcPr>
          <w:p w14:paraId="53C342D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鄂州鸿泰钢铁有限公司</w:t>
            </w:r>
          </w:p>
        </w:tc>
        <w:tc>
          <w:tcPr>
            <w:tcW w:w="674" w:type="pct"/>
            <w:vAlign w:val="center"/>
          </w:tcPr>
          <w:p w14:paraId="2E24CB8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C3110炼铁</w:t>
            </w:r>
            <w:r>
              <w:rPr>
                <w:rFonts w:hint="eastAsia" w:cs="Times New Roman"/>
                <w:sz w:val="21"/>
                <w:szCs w:val="21"/>
                <w:highlight w:val="none"/>
                <w:vertAlign w:val="baseline"/>
                <w:lang w:val="en-US" w:eastAsia="zh-CN"/>
              </w:rPr>
              <w:t>、</w:t>
            </w:r>
            <w:r>
              <w:rPr>
                <w:rFonts w:hint="default" w:ascii="Times New Roman" w:hAnsi="Times New Roman" w:cs="Times New Roman"/>
                <w:sz w:val="21"/>
                <w:szCs w:val="21"/>
                <w:highlight w:val="none"/>
                <w:vertAlign w:val="baseline"/>
                <w:lang w:val="en-US" w:eastAsia="zh-CN"/>
              </w:rPr>
              <w:t>C3120炼钢</w:t>
            </w:r>
          </w:p>
        </w:tc>
        <w:tc>
          <w:tcPr>
            <w:tcW w:w="1173" w:type="pct"/>
            <w:vAlign w:val="center"/>
          </w:tcPr>
          <w:p w14:paraId="1554379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重金属（铅、砷、镉、铬、</w:t>
            </w:r>
          </w:p>
          <w:p w14:paraId="6D8B8BE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汞、镍等）、氰化物、二噁英、多氯联苯、苯酚、2-甲基苯酚、4-甲基苯酚</w:t>
            </w:r>
            <w:r>
              <w:rPr>
                <w:rFonts w:hint="eastAsia" w:cs="Times New Roman"/>
                <w:sz w:val="21"/>
                <w:szCs w:val="21"/>
                <w:highlight w:val="none"/>
                <w:vertAlign w:val="baseline"/>
                <w:lang w:val="en-US" w:eastAsia="zh-CN"/>
              </w:rPr>
              <w:t>、石油类</w:t>
            </w:r>
          </w:p>
        </w:tc>
        <w:tc>
          <w:tcPr>
            <w:tcW w:w="1060" w:type="pct"/>
            <w:vAlign w:val="center"/>
          </w:tcPr>
          <w:p w14:paraId="0BFD7DF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废气：高炉炼铁</w:t>
            </w:r>
            <w:r>
              <w:rPr>
                <w:rFonts w:hint="eastAsia" w:cs="Times New Roman"/>
                <w:sz w:val="21"/>
                <w:szCs w:val="21"/>
                <w:highlight w:val="none"/>
                <w:vertAlign w:val="baseline"/>
                <w:lang w:val="en-US" w:eastAsia="zh-CN"/>
              </w:rPr>
              <w:t>、</w:t>
            </w:r>
            <w:r>
              <w:rPr>
                <w:rFonts w:hint="default" w:ascii="Times New Roman" w:hAnsi="Times New Roman" w:cs="Times New Roman"/>
                <w:sz w:val="21"/>
                <w:szCs w:val="21"/>
                <w:highlight w:val="none"/>
                <w:vertAlign w:val="baseline"/>
                <w:lang w:val="en-US" w:eastAsia="zh-CN"/>
              </w:rPr>
              <w:t>转炉、电炉</w:t>
            </w:r>
          </w:p>
          <w:p w14:paraId="5ADA07E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废水：水冲渣、煤气净化水、连铸废水</w:t>
            </w:r>
          </w:p>
          <w:p w14:paraId="2F2D220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固废： 废油、钢渣</w:t>
            </w:r>
          </w:p>
        </w:tc>
        <w:tc>
          <w:tcPr>
            <w:tcW w:w="1130" w:type="pct"/>
            <w:vAlign w:val="center"/>
          </w:tcPr>
          <w:p w14:paraId="09084FB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重点行业企业详查布点采样地块</w:t>
            </w:r>
            <w:r>
              <w:rPr>
                <w:rFonts w:hint="eastAsia" w:cs="Times New Roman"/>
                <w:sz w:val="21"/>
                <w:szCs w:val="21"/>
                <w:highlight w:val="none"/>
                <w:vertAlign w:val="baseline"/>
                <w:lang w:val="en-US" w:eastAsia="zh-CN"/>
              </w:rPr>
              <w:t>、湖北省土壤重点监管企业</w:t>
            </w:r>
          </w:p>
        </w:tc>
      </w:tr>
      <w:tr w14:paraId="209C08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285" w:type="pct"/>
            <w:vAlign w:val="center"/>
          </w:tcPr>
          <w:p w14:paraId="7F61DFC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4</w:t>
            </w:r>
          </w:p>
        </w:tc>
        <w:tc>
          <w:tcPr>
            <w:tcW w:w="674" w:type="pct"/>
            <w:vAlign w:val="center"/>
          </w:tcPr>
          <w:p w14:paraId="0C66F28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武汉科贝科技股份有限公司</w:t>
            </w:r>
          </w:p>
        </w:tc>
        <w:tc>
          <w:tcPr>
            <w:tcW w:w="674" w:type="pct"/>
            <w:vAlign w:val="center"/>
          </w:tcPr>
          <w:p w14:paraId="361CF67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C3499</w:t>
            </w:r>
            <w:r>
              <w:rPr>
                <w:rFonts w:hint="eastAsia" w:ascii="Times New Roman" w:hAnsi="Times New Roman" w:cs="Times New Roman"/>
                <w:sz w:val="21"/>
                <w:szCs w:val="21"/>
                <w:highlight w:val="none"/>
                <w:vertAlign w:val="baseline"/>
                <w:lang w:val="en-US" w:eastAsia="zh-CN"/>
              </w:rPr>
              <w:t>其他未列明通用设备制造业</w:t>
            </w:r>
          </w:p>
        </w:tc>
        <w:tc>
          <w:tcPr>
            <w:tcW w:w="1173" w:type="pct"/>
            <w:vAlign w:val="center"/>
          </w:tcPr>
          <w:p w14:paraId="06CC241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非甲烷总烃、二甲苯、石油类</w:t>
            </w:r>
          </w:p>
        </w:tc>
        <w:tc>
          <w:tcPr>
            <w:tcW w:w="1060" w:type="pct"/>
            <w:vAlign w:val="center"/>
          </w:tcPr>
          <w:p w14:paraId="544910B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废气：切割、焊接、下料工序、打磨工序、喷漆</w:t>
            </w:r>
          </w:p>
          <w:p w14:paraId="3F73C61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废水：水膜除尘、喷涂水洗</w:t>
            </w:r>
          </w:p>
          <w:p w14:paraId="03D72D7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固废：废油漆桶、废固化剂桶、漆渣、废润滑油、废活性炭、污泥</w:t>
            </w:r>
          </w:p>
        </w:tc>
        <w:tc>
          <w:tcPr>
            <w:tcW w:w="1130" w:type="pct"/>
            <w:vAlign w:val="center"/>
          </w:tcPr>
          <w:p w14:paraId="42E08F2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已取得排污许可证企业</w:t>
            </w:r>
          </w:p>
        </w:tc>
      </w:tr>
    </w:tbl>
    <w:p w14:paraId="32053DA4">
      <w:pPr>
        <w:spacing w:line="360" w:lineRule="auto"/>
        <w:ind w:firstLine="480" w:firstLineChars="200"/>
        <w:rPr>
          <w:rFonts w:hint="default" w:ascii="Times New Roman" w:hAnsi="Times New Roman" w:cs="Times New Roman"/>
          <w:b w:val="0"/>
          <w:bCs w:val="0"/>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综上，</w:t>
      </w:r>
      <w:r>
        <w:rPr>
          <w:rFonts w:hint="default" w:ascii="Times New Roman" w:hAnsi="Times New Roman" w:cs="Times New Roman"/>
          <w:b w:val="0"/>
          <w:bCs w:val="0"/>
          <w:color w:val="000000" w:themeColor="text1"/>
          <w:kern w:val="0"/>
          <w:sz w:val="24"/>
          <w:highlight w:val="none"/>
          <w:lang w:val="en-US" w:eastAsia="zh-CN"/>
          <w14:textFill>
            <w14:solidFill>
              <w14:schemeClr w14:val="tx1"/>
            </w14:solidFill>
          </w14:textFill>
        </w:rPr>
        <w:t>参考</w:t>
      </w:r>
      <w:r>
        <w:rPr>
          <w:rFonts w:hint="eastAsia" w:ascii="Times New Roman" w:hAnsi="Times New Roman" w:eastAsia="宋体" w:cs="Times New Roman"/>
          <w:color w:val="000000"/>
          <w:sz w:val="24"/>
          <w:szCs w:val="24"/>
          <w:highlight w:val="none"/>
          <w:lang w:val="en-US" w:eastAsia="zh-CN" w:bidi="ar"/>
        </w:rPr>
        <w:t>《省级土壤污染状况详查实施方案编制指南》（环办土壤函[2017]1023号）</w:t>
      </w:r>
      <w:r>
        <w:rPr>
          <w:rFonts w:hint="eastAsia" w:cs="Times New Roman"/>
          <w:color w:val="000000"/>
          <w:sz w:val="24"/>
          <w:szCs w:val="24"/>
          <w:highlight w:val="none"/>
          <w:lang w:val="en-US" w:eastAsia="zh-CN" w:bidi="ar"/>
        </w:rPr>
        <w:t>附件</w:t>
      </w:r>
      <w:r>
        <w:rPr>
          <w:rFonts w:hint="default" w:ascii="Times New Roman" w:hAnsi="Times New Roman" w:cs="Times New Roman"/>
          <w:b w:val="0"/>
          <w:bCs w:val="0"/>
          <w:color w:val="000000" w:themeColor="text1"/>
          <w:kern w:val="0"/>
          <w:sz w:val="24"/>
          <w:highlight w:val="none"/>
          <w:lang w:val="en-US" w:eastAsia="zh-CN"/>
          <w14:textFill>
            <w14:solidFill>
              <w14:schemeClr w14:val="tx1"/>
            </w14:solidFill>
          </w14:textFill>
        </w:rPr>
        <w:t>《</w:t>
      </w:r>
      <w:r>
        <w:rPr>
          <w:rFonts w:hint="default" w:ascii="Times New Roman" w:hAnsi="Times New Roman" w:cs="Times New Roman"/>
          <w:b w:val="0"/>
          <w:bCs w:val="0"/>
          <w:sz w:val="24"/>
          <w:highlight w:val="none"/>
          <w:lang w:eastAsia="zh-CN"/>
        </w:rPr>
        <w:t>全国土壤污染状况详查分析测试项目</w:t>
      </w:r>
      <w:r>
        <w:rPr>
          <w:rFonts w:hint="default" w:ascii="Times New Roman" w:hAnsi="Times New Roman" w:cs="Times New Roman"/>
          <w:b w:val="0"/>
          <w:bCs w:val="0"/>
          <w:color w:val="000000" w:themeColor="text1"/>
          <w:kern w:val="0"/>
          <w:sz w:val="24"/>
          <w:highlight w:val="none"/>
          <w:lang w:val="en-US" w:eastAsia="zh-CN"/>
          <w14:textFill>
            <w14:solidFill>
              <w14:schemeClr w14:val="tx1"/>
            </w14:solidFill>
          </w14:textFill>
        </w:rPr>
        <w:t>》，</w:t>
      </w:r>
      <w:r>
        <w:rPr>
          <w:rFonts w:hint="eastAsia" w:cs="Times New Roman"/>
          <w:b w:val="0"/>
          <w:bCs w:val="0"/>
          <w:color w:val="000000" w:themeColor="text1"/>
          <w:kern w:val="0"/>
          <w:sz w:val="24"/>
          <w:highlight w:val="none"/>
          <w:lang w:val="en-US" w:eastAsia="zh-CN"/>
          <w14:textFill>
            <w14:solidFill>
              <w14:schemeClr w14:val="tx1"/>
            </w14:solidFill>
          </w14:textFill>
        </w:rPr>
        <w:t>根据园区产业定位，主要</w:t>
      </w:r>
      <w:r>
        <w:rPr>
          <w:rFonts w:hint="default" w:ascii="Times New Roman" w:hAnsi="Times New Roman" w:cs="Times New Roman"/>
          <w:b w:val="0"/>
          <w:bCs w:val="0"/>
          <w:color w:val="000000" w:themeColor="text1"/>
          <w:kern w:val="0"/>
          <w:sz w:val="24"/>
          <w:highlight w:val="none"/>
          <w:lang w:val="en-US" w:eastAsia="zh-CN"/>
          <w14:textFill>
            <w14:solidFill>
              <w14:schemeClr w14:val="tx1"/>
            </w14:solidFill>
          </w14:textFill>
        </w:rPr>
        <w:t>涉及重金属（铅、砷、镉、铬、汞、镍、钴）、石油类、</w:t>
      </w:r>
      <w:r>
        <w:rPr>
          <w:rFonts w:hint="eastAsia" w:cs="Times New Roman"/>
          <w:b w:val="0"/>
          <w:bCs w:val="0"/>
          <w:color w:val="000000" w:themeColor="text1"/>
          <w:kern w:val="0"/>
          <w:sz w:val="24"/>
          <w:highlight w:val="none"/>
          <w:lang w:val="en-US" w:eastAsia="zh-CN"/>
          <w14:textFill>
            <w14:solidFill>
              <w14:schemeClr w14:val="tx1"/>
            </w14:solidFill>
          </w14:textFill>
        </w:rPr>
        <w:t>氟化物</w:t>
      </w:r>
      <w:r>
        <w:rPr>
          <w:rFonts w:hint="default" w:ascii="Times New Roman" w:hAnsi="Times New Roman" w:cs="Times New Roman"/>
          <w:b w:val="0"/>
          <w:bCs w:val="0"/>
          <w:color w:val="000000" w:themeColor="text1"/>
          <w:kern w:val="0"/>
          <w:sz w:val="24"/>
          <w:highlight w:val="none"/>
          <w:lang w:val="en-US" w:eastAsia="zh-CN"/>
          <w14:textFill>
            <w14:solidFill>
              <w14:schemeClr w14:val="tx1"/>
            </w14:solidFill>
          </w14:textFill>
        </w:rPr>
        <w:t>等</w:t>
      </w:r>
      <w:r>
        <w:rPr>
          <w:rFonts w:hint="eastAsia" w:cs="Times New Roman"/>
          <w:b w:val="0"/>
          <w:bCs w:val="0"/>
          <w:color w:val="000000" w:themeColor="text1"/>
          <w:kern w:val="0"/>
          <w:sz w:val="24"/>
          <w:highlight w:val="none"/>
          <w:lang w:val="en-US" w:eastAsia="zh-CN"/>
          <w14:textFill>
            <w14:solidFill>
              <w14:schemeClr w14:val="tx1"/>
            </w14:solidFill>
          </w14:textFill>
        </w:rPr>
        <w:t>。部分典型企业涉及的污染因子还包括：二噁英、氰化物、二甲苯、丙烯酸、巯基乙酸、2-巯基丙酸、多氯联苯、苯酚、2-甲基苯酚、4-甲基苯酚等。</w:t>
      </w:r>
    </w:p>
    <w:p w14:paraId="3DF6D589">
      <w:pPr>
        <w:spacing w:line="360" w:lineRule="auto"/>
        <w:ind w:firstLine="480" w:firstLineChars="200"/>
        <w:rPr>
          <w:rFonts w:hint="default" w:ascii="Times New Roman" w:hAnsi="Times New Roman" w:cs="Times New Roman"/>
          <w:b w:val="0"/>
          <w:bCs w:val="0"/>
          <w:color w:val="000000" w:themeColor="text1"/>
          <w:kern w:val="0"/>
          <w:sz w:val="24"/>
          <w:highlight w:val="none"/>
          <w:lang w:val="en-US" w:eastAsia="zh-CN"/>
          <w14:textFill>
            <w14:solidFill>
              <w14:schemeClr w14:val="tx1"/>
            </w14:solidFill>
          </w14:textFill>
        </w:rPr>
      </w:pPr>
    </w:p>
    <w:p w14:paraId="71B1EF35">
      <w:pPr>
        <w:rPr>
          <w:rFonts w:hint="default" w:ascii="Times New Roman" w:hAnsi="Times New Roman" w:eastAsia="宋体" w:cs="Times New Roman"/>
          <w:highlight w:val="none"/>
          <w:lang w:eastAsia="zh-CN"/>
        </w:rPr>
        <w:sectPr>
          <w:headerReference r:id="rId10" w:type="default"/>
          <w:pgSz w:w="11906" w:h="16838"/>
          <w:pgMar w:top="1134" w:right="1134" w:bottom="1134" w:left="1134"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176971FC">
      <w:pPr>
        <w:pStyle w:val="3"/>
        <w:numPr>
          <w:ilvl w:val="0"/>
          <w:numId w:val="1"/>
        </w:numPr>
        <w:tabs>
          <w:tab w:val="clear" w:pos="425"/>
        </w:tabs>
        <w:rPr>
          <w:rFonts w:hint="default" w:ascii="Times New Roman" w:hAnsi="Times New Roman" w:cs="Times New Roman"/>
          <w:highlight w:val="none"/>
        </w:rPr>
      </w:pPr>
      <w:bookmarkStart w:id="14" w:name="_Toc31070"/>
      <w:r>
        <w:rPr>
          <w:rFonts w:hint="default" w:ascii="Times New Roman" w:hAnsi="Times New Roman" w:cs="Times New Roman"/>
          <w:highlight w:val="none"/>
          <w:lang w:eastAsia="zh-CN"/>
        </w:rPr>
        <w:t>调查工作方案</w:t>
      </w:r>
      <w:bookmarkEnd w:id="14"/>
    </w:p>
    <w:p w14:paraId="013E1784">
      <w:pPr>
        <w:pStyle w:val="4"/>
        <w:tabs>
          <w:tab w:val="clear" w:pos="425"/>
        </w:tabs>
        <w:rPr>
          <w:rFonts w:hint="default" w:ascii="Times New Roman" w:hAnsi="Times New Roman" w:cs="Times New Roman"/>
          <w:highlight w:val="none"/>
        </w:rPr>
      </w:pPr>
      <w:bookmarkStart w:id="15" w:name="_Toc55399870"/>
      <w:bookmarkStart w:id="16" w:name="_Toc19824"/>
      <w:r>
        <w:rPr>
          <w:rFonts w:hint="default" w:ascii="Times New Roman" w:hAnsi="Times New Roman" w:cs="Times New Roman"/>
          <w:highlight w:val="none"/>
          <w:lang w:eastAsia="zh-CN"/>
        </w:rPr>
        <w:t>土壤</w:t>
      </w:r>
      <w:r>
        <w:rPr>
          <w:rFonts w:hint="default" w:ascii="Times New Roman" w:hAnsi="Times New Roman" w:cs="Times New Roman"/>
          <w:highlight w:val="none"/>
        </w:rPr>
        <w:t>布点方案</w:t>
      </w:r>
      <w:bookmarkEnd w:id="15"/>
      <w:bookmarkEnd w:id="16"/>
    </w:p>
    <w:p w14:paraId="2A559AF1">
      <w:pPr>
        <w:pStyle w:val="5"/>
        <w:tabs>
          <w:tab w:val="left" w:pos="425"/>
        </w:tabs>
        <w:rPr>
          <w:rFonts w:hint="default" w:ascii="Times New Roman" w:hAnsi="Times New Roman" w:cs="Times New Roman"/>
          <w:highlight w:val="none"/>
        </w:rPr>
      </w:pPr>
      <w:r>
        <w:rPr>
          <w:rFonts w:hint="default" w:ascii="Times New Roman" w:hAnsi="Times New Roman" w:cs="Times New Roman"/>
          <w:highlight w:val="none"/>
        </w:rPr>
        <w:t>布点原则</w:t>
      </w:r>
    </w:p>
    <w:p w14:paraId="47948C89">
      <w:pPr>
        <w:spacing w:line="360" w:lineRule="auto"/>
        <w:ind w:firstLine="480" w:firstLineChars="200"/>
        <w:rPr>
          <w:rFonts w:hint="default" w:ascii="Times New Roman" w:hAnsi="Times New Roman"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园区布点工作参考《关于开展重点区域土壤环境质量监测风险点位布设工作的通知》附件一《重点区域土壤环境质量监测风险点位布设方法》</w:t>
      </w:r>
      <w:r>
        <w:rPr>
          <w:rFonts w:hint="default" w:ascii="Times New Roman" w:hAnsi="Times New Roman" w:cs="Times New Roman"/>
          <w:color w:val="000000" w:themeColor="text1"/>
          <w:kern w:val="0"/>
          <w:sz w:val="24"/>
          <w:highlight w:val="none"/>
          <w:lang w:eastAsia="zh-CN"/>
          <w14:textFill>
            <w14:solidFill>
              <w14:schemeClr w14:val="tx1"/>
            </w14:solidFill>
          </w14:textFill>
        </w:rPr>
        <w:t>（环办监测函（</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2016</w:t>
      </w:r>
      <w:r>
        <w:rPr>
          <w:rFonts w:hint="default" w:ascii="Times New Roman" w:hAnsi="Times New Roman" w:cs="Times New Roman"/>
          <w:color w:val="000000" w:themeColor="text1"/>
          <w:kern w:val="0"/>
          <w:sz w:val="24"/>
          <w:highlight w:val="none"/>
          <w:lang w:eastAsia="zh-CN"/>
          <w14:textFill>
            <w14:solidFill>
              <w14:schemeClr w14:val="tx1"/>
            </w14:solidFill>
          </w14:textFill>
        </w:rPr>
        <w:t>）</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1号</w:t>
      </w:r>
      <w:r>
        <w:rPr>
          <w:rFonts w:hint="default" w:ascii="Times New Roman" w:hAnsi="Times New Roman" w:cs="Times New Roman"/>
          <w:color w:val="000000" w:themeColor="text1"/>
          <w:kern w:val="0"/>
          <w:sz w:val="24"/>
          <w:highlight w:val="none"/>
          <w:lang w:eastAsia="zh-CN"/>
          <w14:textFill>
            <w14:solidFill>
              <w14:schemeClr w14:val="tx1"/>
            </w14:solidFill>
          </w14:textFill>
        </w:rPr>
        <w:t>）</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和《四川省土壤污染重点监管单位和工业园区周边土壤环境监督性监测工作方案》</w:t>
      </w:r>
      <w:r>
        <w:rPr>
          <w:rFonts w:hint="default" w:ascii="Times New Roman" w:hAnsi="Times New Roman" w:eastAsia="宋体" w:cs="Times New Roman"/>
          <w:i w:val="0"/>
          <w:caps w:val="0"/>
          <w:color w:val="333333"/>
          <w:spacing w:val="0"/>
          <w:sz w:val="24"/>
          <w:szCs w:val="24"/>
          <w:highlight w:val="none"/>
          <w:shd w:val="clear" w:fill="FFFFFF"/>
        </w:rPr>
        <w:t>（川环办函〔2018〕547号）</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，根据《建设用地土壤污染状况调查技术导则》（HJ 25.1-2019）、《建设用地土壤环境调查评估技术指南》（环保部公告2017年第72号）、《建设用地土壤污染风险管控和修复监测技术导则》（HJ 25.2-2019）等相关技术规范，具体布点原则如下：</w:t>
      </w:r>
    </w:p>
    <w:p w14:paraId="71576306">
      <w:pPr>
        <w:spacing w:line="360" w:lineRule="auto"/>
        <w:ind w:firstLine="480" w:firstLineChars="200"/>
        <w:rPr>
          <w:rFonts w:hint="default" w:ascii="Times New Roman" w:hAnsi="Times New Roman"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4"/>
          <w:highlight w:val="none"/>
          <w:lang w:val="en-US" w:eastAsia="zh-CN"/>
          <w14:textFill>
            <w14:solidFill>
              <w14:schemeClr w14:val="tx1"/>
            </w14:solidFill>
          </w14:textFill>
        </w:rPr>
        <w:t>（1）园区周边点位布设：在</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园区主导风向的下风向（</w:t>
      </w:r>
      <w:r>
        <w:rPr>
          <w:rFonts w:hint="eastAsia"/>
          <w:highlight w:val="none"/>
          <w:lang w:val="en-US" w:eastAsia="zh-CN"/>
        </w:rPr>
        <w:t>园区南侧、西侧</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）距园区边界区75m、200m、400m三处裸露土壤布设监测点，并于园区主导风向</w:t>
      </w:r>
      <w:r>
        <w:rPr>
          <w:rFonts w:hint="eastAsia" w:cs="Times New Roman"/>
          <w:color w:val="000000" w:themeColor="text1"/>
          <w:kern w:val="0"/>
          <w:sz w:val="24"/>
          <w:highlight w:val="none"/>
          <w:lang w:val="en-US" w:eastAsia="zh-CN"/>
          <w14:textFill>
            <w14:solidFill>
              <w14:schemeClr w14:val="tx1"/>
            </w14:solidFill>
          </w14:textFill>
        </w:rPr>
        <w:t>上风向</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w:t>
      </w:r>
      <w:r>
        <w:rPr>
          <w:rFonts w:hint="eastAsia"/>
          <w:highlight w:val="none"/>
          <w:lang w:val="en-US" w:eastAsia="zh-CN"/>
        </w:rPr>
        <w:t>园区北侧、东侧</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w:t>
      </w:r>
      <w:r>
        <w:rPr>
          <w:rFonts w:hint="eastAsia"/>
          <w:highlight w:val="none"/>
          <w:lang w:val="en-US" w:eastAsia="zh-CN"/>
        </w:rPr>
        <w:t>至少设置一个点位</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w:t>
      </w:r>
    </w:p>
    <w:p w14:paraId="6E83D365">
      <w:pPr>
        <w:spacing w:line="360" w:lineRule="auto"/>
        <w:ind w:firstLine="480" w:firstLineChars="200"/>
        <w:rPr>
          <w:rFonts w:hint="default" w:ascii="Times New Roman" w:hAnsi="Times New Roman"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（2）</w:t>
      </w:r>
      <w:r>
        <w:rPr>
          <w:rFonts w:hint="default" w:ascii="Times New Roman" w:hAnsi="Times New Roman" w:cs="Times New Roman"/>
          <w:color w:val="auto"/>
          <w:kern w:val="0"/>
          <w:sz w:val="24"/>
          <w:highlight w:val="none"/>
          <w:lang w:val="en-US" w:eastAsia="zh-CN"/>
        </w:rPr>
        <w:t>园区内已建成企业聚集区点位布设</w:t>
      </w:r>
      <w:r>
        <w:rPr>
          <w:rFonts w:hint="eastAsia" w:cs="Times New Roman"/>
          <w:color w:val="auto"/>
          <w:kern w:val="0"/>
          <w:sz w:val="24"/>
          <w:highlight w:val="none"/>
          <w:lang w:val="en-US" w:eastAsia="zh-CN"/>
        </w:rPr>
        <w:t>：</w:t>
      </w:r>
      <w:r>
        <w:rPr>
          <w:rFonts w:hint="default" w:ascii="Times New Roman" w:hAnsi="Times New Roman" w:cs="Times New Roman"/>
          <w:color w:val="auto"/>
          <w:kern w:val="0"/>
          <w:sz w:val="24"/>
          <w:highlight w:val="none"/>
          <w:lang w:val="en-US" w:eastAsia="zh-CN"/>
        </w:rPr>
        <w:t>在已建成企业聚集区域边界外的裸露土壤处布设监测点，于聚集区外每隔3公里布设一个点位</w:t>
      </w:r>
      <w:r>
        <w:rPr>
          <w:rFonts w:hint="default" w:cs="Times New Roman"/>
          <w:color w:val="auto"/>
          <w:kern w:val="0"/>
          <w:sz w:val="24"/>
          <w:highlight w:val="none"/>
          <w:lang w:eastAsia="zh-CN"/>
        </w:rPr>
        <w:t>；</w:t>
      </w:r>
      <w:r>
        <w:rPr>
          <w:rFonts w:hint="default" w:ascii="Times New Roman" w:hAnsi="Times New Roman" w:cs="Times New Roman"/>
          <w:color w:val="000000" w:themeColor="text1"/>
          <w:kern w:val="0"/>
          <w:highlight w:val="none"/>
          <w:lang w:val="en-US" w:eastAsia="zh-CN"/>
          <w14:textFill>
            <w14:solidFill>
              <w14:schemeClr w14:val="tx1"/>
            </w14:solidFill>
          </w14:textFill>
        </w:rPr>
        <w:t>对于临近园区边界的</w:t>
      </w:r>
      <w:r>
        <w:rPr>
          <w:rFonts w:hint="default" w:ascii="Times New Roman" w:hAnsi="Times New Roman" w:cs="Times New Roman"/>
          <w:color w:val="000000" w:themeColor="text1"/>
          <w:kern w:val="0"/>
          <w:highlight w:val="none"/>
          <w14:textFill>
            <w14:solidFill>
              <w14:schemeClr w14:val="tx1"/>
            </w14:solidFill>
          </w14:textFill>
        </w:rPr>
        <w:t>已建成企业聚集区</w:t>
      </w:r>
      <w:r>
        <w:rPr>
          <w:rFonts w:hint="default" w:ascii="Times New Roman" w:hAnsi="Times New Roman" w:cs="Times New Roman"/>
          <w:color w:val="000000" w:themeColor="text1"/>
          <w:kern w:val="0"/>
          <w:highlight w:val="none"/>
          <w:lang w:val="en-US" w:eastAsia="zh-CN"/>
          <w14:textFill>
            <w14:solidFill>
              <w14:schemeClr w14:val="tx1"/>
            </w14:solidFill>
          </w14:textFill>
        </w:rPr>
        <w:t>，既有园区周边点位附近不另设</w:t>
      </w:r>
      <w:r>
        <w:rPr>
          <w:rFonts w:hint="default" w:ascii="Times New Roman" w:hAnsi="Times New Roman" w:cs="Times New Roman"/>
          <w:color w:val="000000" w:themeColor="text1"/>
          <w:kern w:val="0"/>
          <w:highlight w:val="none"/>
          <w14:textFill>
            <w14:solidFill>
              <w14:schemeClr w14:val="tx1"/>
            </w14:solidFill>
          </w14:textFill>
        </w:rPr>
        <w:t>已建成企业聚集区</w:t>
      </w:r>
      <w:r>
        <w:rPr>
          <w:rFonts w:hint="default" w:ascii="Times New Roman" w:hAnsi="Times New Roman" w:cs="Times New Roman"/>
          <w:color w:val="000000" w:themeColor="text1"/>
          <w:kern w:val="0"/>
          <w:highlight w:val="none"/>
          <w:lang w:val="en-US" w:eastAsia="zh-CN"/>
          <w14:textFill>
            <w14:solidFill>
              <w14:schemeClr w14:val="tx1"/>
            </w14:solidFill>
          </w14:textFill>
        </w:rPr>
        <w:t>点位</w:t>
      </w:r>
      <w:r>
        <w:rPr>
          <w:rFonts w:hint="default" w:ascii="Times New Roman" w:hAnsi="Times New Roman" w:cs="Times New Roman"/>
          <w:color w:val="auto"/>
          <w:kern w:val="0"/>
          <w:sz w:val="24"/>
          <w:highlight w:val="none"/>
          <w:lang w:val="en-US" w:eastAsia="zh-CN"/>
        </w:rPr>
        <w:t>；</w:t>
      </w:r>
      <w:r>
        <w:rPr>
          <w:rFonts w:hint="eastAsia" w:cs="Times New Roman"/>
          <w:color w:val="auto"/>
          <w:kern w:val="0"/>
          <w:sz w:val="24"/>
          <w:highlight w:val="none"/>
          <w:lang w:val="en-US" w:eastAsia="zh-CN"/>
        </w:rPr>
        <w:t>若</w:t>
      </w:r>
      <w:r>
        <w:rPr>
          <w:rFonts w:hint="default" w:cs="Times New Roman"/>
          <w:color w:val="auto"/>
          <w:kern w:val="0"/>
          <w:sz w:val="24"/>
          <w:highlight w:val="none"/>
          <w:lang w:eastAsia="zh-CN"/>
        </w:rPr>
        <w:t>已建成企业聚集区</w:t>
      </w:r>
      <w:r>
        <w:rPr>
          <w:rFonts w:hint="default" w:ascii="Times New Roman" w:hAnsi="Times New Roman" w:cs="Times New Roman"/>
          <w:color w:val="auto"/>
          <w:kern w:val="0"/>
          <w:sz w:val="24"/>
          <w:highlight w:val="none"/>
          <w:lang w:val="en-US" w:eastAsia="zh-CN"/>
        </w:rPr>
        <w:t>边界</w:t>
      </w:r>
      <w:r>
        <w:rPr>
          <w:rFonts w:hint="eastAsia" w:cs="Times New Roman"/>
          <w:color w:val="auto"/>
          <w:kern w:val="0"/>
          <w:sz w:val="24"/>
          <w:highlight w:val="none"/>
          <w:lang w:val="en-US" w:eastAsia="zh-CN"/>
        </w:rPr>
        <w:t>附近涉及典型企业</w:t>
      </w:r>
      <w:r>
        <w:rPr>
          <w:rFonts w:hint="default" w:cs="Times New Roman"/>
          <w:color w:val="auto"/>
          <w:kern w:val="0"/>
          <w:sz w:val="24"/>
          <w:highlight w:val="none"/>
          <w:lang w:eastAsia="zh-CN"/>
        </w:rPr>
        <w:t>，</w:t>
      </w:r>
      <w:r>
        <w:rPr>
          <w:rFonts w:hint="eastAsia" w:cs="Times New Roman"/>
          <w:color w:val="auto"/>
          <w:kern w:val="0"/>
          <w:sz w:val="24"/>
          <w:highlight w:val="none"/>
          <w:lang w:val="en-US" w:eastAsia="zh-CN"/>
        </w:rPr>
        <w:t>需调整监测点位于典型企业周边</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w:t>
      </w:r>
    </w:p>
    <w:p w14:paraId="652D4AC6">
      <w:pPr>
        <w:spacing w:line="360" w:lineRule="auto"/>
        <w:ind w:firstLine="480" w:firstLineChars="200"/>
        <w:rPr>
          <w:rFonts w:hint="default" w:ascii="Times New Roman" w:hAnsi="Times New Roman"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w:t>
      </w:r>
      <w:r>
        <w:rPr>
          <w:rFonts w:hint="eastAsia" w:cs="Times New Roman"/>
          <w:color w:val="000000" w:themeColor="text1"/>
          <w:kern w:val="0"/>
          <w:sz w:val="24"/>
          <w:highlight w:val="none"/>
          <w:lang w:val="en-US" w:eastAsia="zh-CN"/>
          <w14:textFill>
            <w14:solidFill>
              <w14:schemeClr w14:val="tx1"/>
            </w14:solidFill>
          </w14:textFill>
        </w:rPr>
        <w:t>3</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）每个点位均采集表层（0-0.5m）样品</w:t>
      </w:r>
      <w:r>
        <w:rPr>
          <w:rFonts w:hint="eastAsia" w:cs="Times New Roman"/>
          <w:color w:val="000000" w:themeColor="text1"/>
          <w:kern w:val="0"/>
          <w:sz w:val="24"/>
          <w:highlight w:val="none"/>
          <w:lang w:val="en-US" w:eastAsia="zh-CN"/>
          <w14:textFill>
            <w14:solidFill>
              <w14:schemeClr w14:val="tx1"/>
            </w14:solidFill>
          </w14:textFill>
        </w:rPr>
        <w:t>。</w:t>
      </w:r>
    </w:p>
    <w:p w14:paraId="5BDEF738">
      <w:pPr>
        <w:pStyle w:val="5"/>
        <w:tabs>
          <w:tab w:val="left" w:pos="425"/>
        </w:tabs>
        <w:rPr>
          <w:rFonts w:hint="default" w:ascii="Times New Roman" w:hAnsi="Times New Roman" w:cs="Times New Roman"/>
          <w:highlight w:val="none"/>
        </w:rPr>
      </w:pPr>
      <w:r>
        <w:rPr>
          <w:rFonts w:hint="default" w:ascii="Times New Roman" w:hAnsi="Times New Roman" w:cs="Times New Roman"/>
          <w:highlight w:val="none"/>
          <w:lang w:eastAsia="zh-CN"/>
        </w:rPr>
        <w:t>监测</w:t>
      </w:r>
      <w:r>
        <w:rPr>
          <w:rFonts w:hint="default" w:ascii="Times New Roman" w:hAnsi="Times New Roman" w:cs="Times New Roman"/>
          <w:highlight w:val="none"/>
        </w:rPr>
        <w:t>项目</w:t>
      </w:r>
    </w:p>
    <w:p w14:paraId="36DDFA79">
      <w:pPr>
        <w:spacing w:line="360" w:lineRule="auto"/>
        <w:ind w:firstLine="480" w:firstLineChars="200"/>
        <w:rPr>
          <w:rFonts w:hint="default" w:ascii="Times New Roman" w:hAnsi="Times New Roman"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测试项目主要包括基本项目和特征项目。监测项目的确定原则如下：</w:t>
      </w:r>
    </w:p>
    <w:p w14:paraId="1BDE174A">
      <w:pPr>
        <w:spacing w:line="360" w:lineRule="auto"/>
        <w:ind w:firstLine="480" w:firstLineChars="200"/>
        <w:rPr>
          <w:rFonts w:hint="default" w:ascii="Times New Roman" w:hAnsi="Times New Roman"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（1）基本项目包括：《土壤环境质量建设用地土壤污染风险管控标准（试行）》（GB36600-2018）（以下简称“GB36600-2018”）表1基本项目45项、《土壤环境质量 农用地土壤污染风险管控标准（试行）》（GB15618-2018）（以下简称“GB15618-2018”）表1基本项目8项和pH；</w:t>
      </w:r>
    </w:p>
    <w:p w14:paraId="1EDAF5F6">
      <w:pPr>
        <w:spacing w:line="360" w:lineRule="auto"/>
        <w:ind w:firstLine="480" w:firstLineChars="200"/>
        <w:rPr>
          <w:rFonts w:hint="default" w:ascii="Times New Roman" w:hAnsi="Times New Roman"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（2）根据</w:t>
      </w:r>
      <w:r>
        <w:rPr>
          <w:rFonts w:hint="eastAsia" w:cs="Times New Roman"/>
          <w:color w:val="000000" w:themeColor="text1"/>
          <w:kern w:val="0"/>
          <w:sz w:val="24"/>
          <w:highlight w:val="none"/>
          <w:lang w:val="en-US" w:eastAsia="zh-CN"/>
          <w14:textFill>
            <w14:solidFill>
              <w14:schemeClr w14:val="tx1"/>
            </w14:solidFill>
          </w14:textFill>
        </w:rPr>
        <w:t>园区产业定位</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，园区增测特征项目：石油烃（C</w:t>
      </w:r>
      <w:r>
        <w:rPr>
          <w:rFonts w:hint="default" w:ascii="Times New Roman" w:hAnsi="Times New Roman" w:cs="Times New Roman"/>
          <w:color w:val="000000" w:themeColor="text1"/>
          <w:kern w:val="0"/>
          <w:sz w:val="24"/>
          <w:highlight w:val="none"/>
          <w:vertAlign w:val="subscript"/>
          <w:lang w:val="en-US" w:eastAsia="zh-CN"/>
          <w14:textFill>
            <w14:solidFill>
              <w14:schemeClr w14:val="tx1"/>
            </w14:solidFill>
          </w14:textFill>
        </w:rPr>
        <w:t>10</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-C</w:t>
      </w:r>
      <w:r>
        <w:rPr>
          <w:rFonts w:hint="default" w:ascii="Times New Roman" w:hAnsi="Times New Roman" w:cs="Times New Roman"/>
          <w:color w:val="000000" w:themeColor="text1"/>
          <w:kern w:val="0"/>
          <w:sz w:val="24"/>
          <w:highlight w:val="none"/>
          <w:vertAlign w:val="subscript"/>
          <w:lang w:val="en-US" w:eastAsia="zh-CN"/>
          <w14:textFill>
            <w14:solidFill>
              <w14:schemeClr w14:val="tx1"/>
            </w14:solidFill>
          </w14:textFill>
        </w:rPr>
        <w:t>40</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w:t>
      </w:r>
      <w:r>
        <w:rPr>
          <w:rFonts w:hint="eastAsia" w:cs="Times New Roman"/>
          <w:color w:val="000000" w:themeColor="text1"/>
          <w:kern w:val="0"/>
          <w:sz w:val="24"/>
          <w:highlight w:val="none"/>
          <w:lang w:val="en-US" w:eastAsia="zh-CN"/>
          <w14:textFill>
            <w14:solidFill>
              <w14:schemeClr w14:val="tx1"/>
            </w14:solidFill>
          </w14:textFill>
        </w:rPr>
        <w:t>总氟化物</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、钴；</w:t>
      </w:r>
    </w:p>
    <w:p w14:paraId="49AA111C">
      <w:pPr>
        <w:spacing w:line="360" w:lineRule="auto"/>
        <w:ind w:firstLine="480" w:firstLineChars="200"/>
        <w:rPr>
          <w:rFonts w:hint="default" w:ascii="Times New Roman" w:hAnsi="Times New Roman"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（3）考虑到武汉市安特邦建材有限公司</w:t>
      </w:r>
      <w:r>
        <w:rPr>
          <w:rFonts w:hint="eastAsia" w:cs="Times New Roman"/>
          <w:color w:val="000000" w:themeColor="text1"/>
          <w:kern w:val="0"/>
          <w:sz w:val="24"/>
          <w:highlight w:val="none"/>
          <w:lang w:val="en-US" w:eastAsia="zh-CN"/>
          <w14:textFill>
            <w14:solidFill>
              <w14:schemeClr w14:val="tx1"/>
            </w14:solidFill>
          </w14:textFill>
        </w:rPr>
        <w:t>污染因子</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中，丙烯酸、巯基乙酸、2-巯基丙酸毒性分值较低且无对应的土壤测试方法，因此不作为本次监测项目；</w:t>
      </w:r>
    </w:p>
    <w:p w14:paraId="306CF56C">
      <w:pPr>
        <w:spacing w:line="360" w:lineRule="auto"/>
        <w:ind w:firstLine="480" w:firstLineChars="200"/>
        <w:rPr>
          <w:rFonts w:hint="default" w:ascii="Times New Roman" w:hAnsi="Times New Roman"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4）考虑到鄂州鸿泰钢铁有限公司为重点行业企业详查布点采样地块，参考《鄂州鸿泰钢铁有限公司疑似污染地块布点（采样测试）方案》，该企业周边相对较近的点位增测特征污染物氰化物、二噁英、多氯联苯（总量）、苯酚、2-甲基苯酚、4-甲基苯酚；</w:t>
      </w:r>
    </w:p>
    <w:p w14:paraId="5D67F4E5">
      <w:pPr>
        <w:spacing w:line="360" w:lineRule="auto"/>
        <w:ind w:firstLine="480" w:firstLineChars="200"/>
        <w:rPr>
          <w:rFonts w:hint="default" w:ascii="Times New Roman" w:hAnsi="Times New Roman"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（5）考虑到鄂州富晶电子技术有限公司污染因子还涉及氰化物，因此两个企业周边及葛店污水处理厂周边相对较近的点位增测特征污染物氰化物</w:t>
      </w:r>
      <w:r>
        <w:rPr>
          <w:rFonts w:hint="eastAsia" w:cs="Times New Roman"/>
          <w:color w:val="000000" w:themeColor="text1"/>
          <w:kern w:val="0"/>
          <w:sz w:val="24"/>
          <w:highlight w:val="none"/>
          <w:lang w:val="en-US" w:eastAsia="zh-CN"/>
          <w14:textFill>
            <w14:solidFill>
              <w14:schemeClr w14:val="tx1"/>
            </w14:solidFill>
          </w14:textFill>
        </w:rPr>
        <w:t>。</w:t>
      </w:r>
    </w:p>
    <w:p w14:paraId="215EDB5A">
      <w:pPr>
        <w:spacing w:line="360" w:lineRule="auto"/>
        <w:ind w:firstLine="482" w:firstLineChars="200"/>
        <w:rPr>
          <w:rFonts w:hint="default" w:ascii="Times New Roman" w:hAnsi="Times New Roman"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b/>
          <w:bCs/>
          <w:color w:val="000000" w:themeColor="text1"/>
          <w:kern w:val="0"/>
          <w:sz w:val="24"/>
          <w:highlight w:val="none"/>
          <w:lang w:val="en-US" w:eastAsia="zh-CN"/>
          <w14:textFill>
            <w14:solidFill>
              <w14:schemeClr w14:val="tx1"/>
            </w14:solidFill>
          </w14:textFill>
        </w:rPr>
        <w:t>综上，污染物测试项目共</w:t>
      </w:r>
      <w:r>
        <w:rPr>
          <w:rFonts w:hint="eastAsia" w:cs="Times New Roman"/>
          <w:b/>
          <w:bCs/>
          <w:color w:val="000000" w:themeColor="text1"/>
          <w:kern w:val="0"/>
          <w:sz w:val="24"/>
          <w:highlight w:val="none"/>
          <w:lang w:val="en-US" w:eastAsia="zh-CN"/>
          <w14:textFill>
            <w14:solidFill>
              <w14:schemeClr w14:val="tx1"/>
            </w14:solidFill>
          </w14:textFill>
        </w:rPr>
        <w:t>57</w:t>
      </w:r>
      <w:r>
        <w:rPr>
          <w:rFonts w:hint="default" w:ascii="Times New Roman" w:hAnsi="Times New Roman" w:cs="Times New Roman"/>
          <w:b/>
          <w:bCs/>
          <w:color w:val="000000" w:themeColor="text1"/>
          <w:kern w:val="0"/>
          <w:sz w:val="24"/>
          <w:highlight w:val="none"/>
          <w:lang w:val="en-US" w:eastAsia="zh-CN"/>
          <w14:textFill>
            <w14:solidFill>
              <w14:schemeClr w14:val="tx1"/>
            </w14:solidFill>
          </w14:textFill>
        </w:rPr>
        <w:t>项，包括：基本项目48项、特征项目项</w:t>
      </w:r>
      <w:r>
        <w:rPr>
          <w:rFonts w:hint="eastAsia" w:cs="Times New Roman"/>
          <w:b/>
          <w:bCs/>
          <w:color w:val="000000" w:themeColor="text1"/>
          <w:kern w:val="0"/>
          <w:sz w:val="24"/>
          <w:highlight w:val="none"/>
          <w:lang w:val="en-US" w:eastAsia="zh-CN"/>
          <w14:textFill>
            <w14:solidFill>
              <w14:schemeClr w14:val="tx1"/>
            </w14:solidFill>
          </w14:textFill>
        </w:rPr>
        <w:t>9</w:t>
      </w:r>
      <w:r>
        <w:rPr>
          <w:rFonts w:hint="default" w:ascii="Times New Roman" w:hAnsi="Times New Roman" w:cs="Times New Roman"/>
          <w:b/>
          <w:bCs/>
          <w:color w:val="000000" w:themeColor="text1"/>
          <w:kern w:val="0"/>
          <w:sz w:val="24"/>
          <w:highlight w:val="none"/>
          <w:lang w:val="en-US" w:eastAsia="zh-CN"/>
          <w14:textFill>
            <w14:solidFill>
              <w14:schemeClr w14:val="tx1"/>
            </w14:solidFill>
          </w14:textFill>
        </w:rPr>
        <w:t>项。具体污染物项目如下：</w:t>
      </w:r>
    </w:p>
    <w:p w14:paraId="3E23934F">
      <w:pPr>
        <w:spacing w:line="360" w:lineRule="auto"/>
        <w:ind w:firstLine="482" w:firstLineChars="200"/>
        <w:rPr>
          <w:rFonts w:hint="default" w:ascii="Times New Roman" w:hAnsi="Times New Roman" w:cs="Times New Roman"/>
          <w:b/>
          <w:bCs/>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b/>
          <w:bCs/>
          <w:color w:val="000000" w:themeColor="text1"/>
          <w:kern w:val="0"/>
          <w:sz w:val="24"/>
          <w:highlight w:val="none"/>
          <w:lang w:val="en-US" w:eastAsia="zh-CN"/>
          <w14:textFill>
            <w14:solidFill>
              <w14:schemeClr w14:val="tx1"/>
            </w14:solidFill>
          </w14:textFill>
        </w:rPr>
        <w:t>（1）基本项目（48项）：</w:t>
      </w:r>
    </w:p>
    <w:p w14:paraId="75821787">
      <w:pPr>
        <w:spacing w:line="360" w:lineRule="auto"/>
        <w:ind w:firstLine="480" w:firstLineChars="200"/>
        <w:rPr>
          <w:rFonts w:hint="default" w:ascii="Times New Roman" w:hAnsi="Times New Roman"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①pH；</w:t>
      </w:r>
    </w:p>
    <w:p w14:paraId="44D5A0A2">
      <w:pPr>
        <w:spacing w:line="360" w:lineRule="auto"/>
        <w:ind w:firstLine="480" w:firstLineChars="200"/>
        <w:rPr>
          <w:rFonts w:hint="default" w:ascii="Times New Roman" w:hAnsi="Times New Roman"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②重金属（9项）：砷、镉、铬、铬（六价）、铜、锌、铅、汞、镍；</w:t>
      </w:r>
    </w:p>
    <w:p w14:paraId="506B2785">
      <w:pPr>
        <w:spacing w:line="360" w:lineRule="auto"/>
        <w:ind w:firstLine="480" w:firstLineChars="200"/>
        <w:rPr>
          <w:rFonts w:hint="default" w:ascii="Times New Roman" w:hAnsi="Times New Roman"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③挥发性有机物（27项）：四氯化碳、氯仿、氯甲烷、1,1-二氯乙烷、1,2-二氯乙烷、1,1-二氯乙烯、顺-1,2-二氯乙烯、反-1,2-二氯乙烯、二氯甲烷、1,2-二氯丙烷、1,1,1,2-四氯乙烷、1,1,2,2-四氯乙烷、四氯乙烯、1,1,1-三氯乙烷、1,1,2-三氯乙烷、三氯乙烯、1,2,3-三氯丙烷、氯乙烯、苯、氯苯、1,2-二氯苯、1,4-二氯苯、乙苯、苯乙烯、甲苯、间二甲苯+对二甲苯、邻二甲苯；</w:t>
      </w:r>
    </w:p>
    <w:p w14:paraId="77B9EEA0">
      <w:pPr>
        <w:spacing w:line="360" w:lineRule="auto"/>
        <w:ind w:firstLine="480" w:firstLineChars="200"/>
        <w:rPr>
          <w:rFonts w:hint="default" w:ascii="Times New Roman" w:hAnsi="Times New Roman"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④半挥发性有机物（11项）：硝基苯、苯胺、2-氯酚、苯并[a]蒽、苯并[a]芘、苯并[b]荧蒽、苯并[k]荧蒽、䓛、二苯并[a,h]蒽、茚并[1,2,3-cd]芘、萘。</w:t>
      </w:r>
    </w:p>
    <w:p w14:paraId="7BA17519">
      <w:pPr>
        <w:spacing w:line="360" w:lineRule="auto"/>
        <w:ind w:firstLine="482" w:firstLineChars="200"/>
        <w:rPr>
          <w:rFonts w:hint="default" w:ascii="Times New Roman" w:hAnsi="Times New Roman" w:cs="Times New Roman"/>
          <w:b/>
          <w:bCs/>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b/>
          <w:bCs/>
          <w:color w:val="000000" w:themeColor="text1"/>
          <w:kern w:val="0"/>
          <w:sz w:val="24"/>
          <w:highlight w:val="none"/>
          <w:lang w:val="en-US" w:eastAsia="zh-CN"/>
          <w14:textFill>
            <w14:solidFill>
              <w14:schemeClr w14:val="tx1"/>
            </w14:solidFill>
          </w14:textFill>
        </w:rPr>
        <w:t>（2）特征项目（</w:t>
      </w:r>
      <w:r>
        <w:rPr>
          <w:rFonts w:hint="eastAsia" w:cs="Times New Roman"/>
          <w:b/>
          <w:bCs/>
          <w:color w:val="000000" w:themeColor="text1"/>
          <w:kern w:val="0"/>
          <w:sz w:val="24"/>
          <w:highlight w:val="none"/>
          <w:lang w:val="en-US" w:eastAsia="zh-CN"/>
          <w14:textFill>
            <w14:solidFill>
              <w14:schemeClr w14:val="tx1"/>
            </w14:solidFill>
          </w14:textFill>
        </w:rPr>
        <w:t>9</w:t>
      </w:r>
      <w:r>
        <w:rPr>
          <w:rFonts w:hint="default" w:ascii="Times New Roman" w:hAnsi="Times New Roman" w:cs="Times New Roman"/>
          <w:b/>
          <w:bCs/>
          <w:color w:val="000000" w:themeColor="text1"/>
          <w:kern w:val="0"/>
          <w:sz w:val="24"/>
          <w:highlight w:val="none"/>
          <w:lang w:val="en-US" w:eastAsia="zh-CN"/>
          <w14:textFill>
            <w14:solidFill>
              <w14:schemeClr w14:val="tx1"/>
            </w14:solidFill>
          </w14:textFill>
        </w:rPr>
        <w:t>项）：</w:t>
      </w:r>
    </w:p>
    <w:p w14:paraId="6DB98E57">
      <w:pPr>
        <w:spacing w:line="360" w:lineRule="auto"/>
        <w:ind w:firstLine="480" w:firstLineChars="200"/>
        <w:rPr>
          <w:rFonts w:hint="default" w:ascii="Times New Roman" w:hAnsi="Times New Roman"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①园区增测项目（3项）：钴、石油烃（C</w:t>
      </w:r>
      <w:r>
        <w:rPr>
          <w:rFonts w:hint="default" w:ascii="Times New Roman" w:hAnsi="Times New Roman" w:cs="Times New Roman"/>
          <w:color w:val="000000" w:themeColor="text1"/>
          <w:kern w:val="0"/>
          <w:sz w:val="24"/>
          <w:highlight w:val="none"/>
          <w:vertAlign w:val="subscript"/>
          <w:lang w:val="en-US" w:eastAsia="zh-CN"/>
          <w14:textFill>
            <w14:solidFill>
              <w14:schemeClr w14:val="tx1"/>
            </w14:solidFill>
          </w14:textFill>
        </w:rPr>
        <w:t>10</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-C</w:t>
      </w:r>
      <w:r>
        <w:rPr>
          <w:rFonts w:hint="default" w:ascii="Times New Roman" w:hAnsi="Times New Roman" w:cs="Times New Roman"/>
          <w:color w:val="000000" w:themeColor="text1"/>
          <w:kern w:val="0"/>
          <w:sz w:val="24"/>
          <w:highlight w:val="none"/>
          <w:vertAlign w:val="subscript"/>
          <w:lang w:val="en-US" w:eastAsia="zh-CN"/>
          <w14:textFill>
            <w14:solidFill>
              <w14:schemeClr w14:val="tx1"/>
            </w14:solidFill>
          </w14:textFill>
        </w:rPr>
        <w:t>40</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w:t>
      </w:r>
      <w:r>
        <w:rPr>
          <w:rFonts w:hint="eastAsia" w:cs="Times New Roman"/>
          <w:color w:val="000000" w:themeColor="text1"/>
          <w:kern w:val="0"/>
          <w:sz w:val="24"/>
          <w:highlight w:val="none"/>
          <w:lang w:val="en-US" w:eastAsia="zh-CN"/>
          <w14:textFill>
            <w14:solidFill>
              <w14:schemeClr w14:val="tx1"/>
            </w14:solidFill>
          </w14:textFill>
        </w:rPr>
        <w:t>总氟化物</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w:t>
      </w:r>
    </w:p>
    <w:p w14:paraId="381C04B9">
      <w:pPr>
        <w:spacing w:line="360" w:lineRule="auto"/>
        <w:ind w:firstLine="480" w:firstLineChars="200"/>
        <w:rPr>
          <w:rFonts w:hint="default" w:ascii="Times New Roman" w:hAnsi="Times New Roman"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②其它增测项目（</w:t>
      </w:r>
      <w:r>
        <w:rPr>
          <w:rFonts w:hint="eastAsia" w:cs="Times New Roman"/>
          <w:color w:val="000000" w:themeColor="text1"/>
          <w:kern w:val="0"/>
          <w:sz w:val="24"/>
          <w:highlight w:val="none"/>
          <w:lang w:val="en-US" w:eastAsia="zh-CN"/>
          <w14:textFill>
            <w14:solidFill>
              <w14:schemeClr w14:val="tx1"/>
            </w14:solidFill>
          </w14:textFill>
        </w:rPr>
        <w:t>6</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项）：二噁英、氰化物、多氯联苯（总量）、苯酚、2-甲基苯酚、4-甲基苯酚。</w:t>
      </w:r>
    </w:p>
    <w:p w14:paraId="3E8C8E57">
      <w:pPr>
        <w:pStyle w:val="5"/>
        <w:tabs>
          <w:tab w:val="left" w:pos="425"/>
        </w:tabs>
        <w:rPr>
          <w:rFonts w:hint="default" w:ascii="Times New Roman" w:hAnsi="Times New Roman" w:cs="Times New Roman"/>
          <w:highlight w:val="none"/>
        </w:rPr>
      </w:pPr>
      <w:r>
        <w:rPr>
          <w:rFonts w:hint="eastAsia" w:cs="Times New Roman"/>
          <w:highlight w:val="none"/>
          <w:lang w:val="en-US" w:eastAsia="zh-CN"/>
        </w:rPr>
        <w:t>布点方案</w:t>
      </w:r>
    </w:p>
    <w:p w14:paraId="788E7BA0">
      <w:pPr>
        <w:spacing w:line="360" w:lineRule="auto"/>
        <w:ind w:firstLine="480" w:firstLineChars="200"/>
        <w:rPr>
          <w:rFonts w:hint="default" w:ascii="Times New Roman" w:hAnsi="Times New Roman" w:cs="Times New Roman"/>
          <w:color w:val="000000" w:themeColor="text1"/>
          <w:kern w:val="0"/>
          <w:sz w:val="24"/>
          <w:highlight w:val="none"/>
          <w:lang w:val="en-US" w:eastAsia="zh-CN"/>
          <w14:textFill>
            <w14:solidFill>
              <w14:schemeClr w14:val="tx1"/>
            </w14:solidFill>
          </w14:textFill>
        </w:rPr>
        <w:sectPr>
          <w:headerReference r:id="rId11" w:type="default"/>
          <w:footerReference r:id="rId12" w:type="default"/>
          <w:pgSz w:w="11850" w:h="16783"/>
          <w:pgMar w:top="1134" w:right="1134" w:bottom="1134" w:left="1134"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eastAsia" w:cs="Times New Roman"/>
          <w:color w:val="000000" w:themeColor="text1"/>
          <w:kern w:val="0"/>
          <w:sz w:val="24"/>
          <w:highlight w:val="none"/>
          <w:lang w:val="en-US" w:eastAsia="zh-CN"/>
          <w14:textFill>
            <w14:solidFill>
              <w14:schemeClr w14:val="tx1"/>
            </w14:solidFill>
          </w14:textFill>
        </w:rPr>
        <w:t>园区内</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拟布设20个点位，采集20个土壤表层（0-0.5m）样品（不含</w:t>
      </w:r>
      <w:r>
        <w:rPr>
          <w:rFonts w:hint="eastAsia" w:cs="Times New Roman"/>
          <w:color w:val="000000" w:themeColor="text1"/>
          <w:kern w:val="0"/>
          <w:sz w:val="24"/>
          <w:highlight w:val="none"/>
          <w:lang w:val="en-US" w:eastAsia="zh-CN"/>
          <w14:textFill>
            <w14:solidFill>
              <w14:schemeClr w14:val="tx1"/>
            </w14:solidFill>
          </w14:textFill>
        </w:rPr>
        <w:t>质控样品</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w:t>
      </w:r>
      <w:r>
        <w:rPr>
          <w:rFonts w:hint="eastAsia" w:cs="Times New Roman"/>
          <w:color w:val="000000" w:themeColor="text1"/>
          <w:kern w:val="0"/>
          <w:sz w:val="24"/>
          <w:highlight w:val="none"/>
          <w:lang w:val="en-US" w:eastAsia="zh-CN"/>
          <w14:textFill>
            <w14:solidFill>
              <w14:schemeClr w14:val="tx1"/>
            </w14:solidFill>
          </w14:textFill>
        </w:rPr>
        <w:t>，监测共57项因子，</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土壤监测具体布点方案见表3-1-1及附图6。</w:t>
      </w:r>
    </w:p>
    <w:p w14:paraId="28476F35">
      <w:pPr>
        <w:keepNext w:val="0"/>
        <w:keepLines w:val="0"/>
        <w:pageBreakBefore w:val="0"/>
        <w:widowControl w:val="0"/>
        <w:kinsoku/>
        <w:wordWrap/>
        <w:overflowPunct/>
        <w:topLinePunct w:val="0"/>
        <w:autoSpaceDE/>
        <w:autoSpaceDN/>
        <w:bidi w:val="0"/>
        <w:adjustRightInd/>
        <w:snapToGrid/>
        <w:spacing w:before="156" w:beforeLines="50" w:line="240" w:lineRule="auto"/>
        <w:jc w:val="center"/>
        <w:textAlignment w:val="auto"/>
        <w:rPr>
          <w:rFonts w:hint="default" w:ascii="Times New Roman" w:hAnsi="Times New Roman" w:cs="Times New Roman"/>
          <w:highlight w:val="none"/>
          <w:lang w:val="en-US" w:eastAsia="zh-CN"/>
        </w:rPr>
      </w:pPr>
      <w:r>
        <w:rPr>
          <w:rFonts w:hint="default" w:ascii="Times New Roman" w:hAnsi="Times New Roman" w:eastAsia="黑体" w:cs="Times New Roman"/>
          <w:b/>
          <w:color w:val="000000"/>
          <w:sz w:val="24"/>
          <w:highlight w:val="none"/>
        </w:rPr>
        <w:t xml:space="preserve">表3-1-1  </w:t>
      </w:r>
      <w:r>
        <w:rPr>
          <w:rFonts w:hint="default" w:ascii="Times New Roman" w:hAnsi="Times New Roman" w:eastAsia="黑体" w:cs="Times New Roman"/>
          <w:b/>
          <w:color w:val="000000"/>
          <w:sz w:val="24"/>
          <w:highlight w:val="none"/>
          <w:lang w:eastAsia="zh-CN"/>
        </w:rPr>
        <w:t>土壤</w:t>
      </w:r>
      <w:r>
        <w:rPr>
          <w:rFonts w:hint="default" w:ascii="Times New Roman" w:hAnsi="Times New Roman" w:eastAsia="黑体" w:cs="Times New Roman"/>
          <w:b/>
          <w:color w:val="000000"/>
          <w:sz w:val="24"/>
          <w:highlight w:val="none"/>
        </w:rPr>
        <w:t>布点方案一览表</w:t>
      </w:r>
    </w:p>
    <w:tbl>
      <w:tblPr>
        <w:tblStyle w:val="2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598"/>
        <w:gridCol w:w="1263"/>
        <w:gridCol w:w="1334"/>
        <w:gridCol w:w="2820"/>
        <w:gridCol w:w="1335"/>
        <w:gridCol w:w="1476"/>
        <w:gridCol w:w="1080"/>
        <w:gridCol w:w="4637"/>
      </w:tblGrid>
      <w:tr w14:paraId="692E3F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88" w:hRule="atLeast"/>
          <w:tblHeader/>
          <w:jc w:val="center"/>
        </w:trPr>
        <w:tc>
          <w:tcPr>
            <w:tcW w:w="205" w:type="pct"/>
            <w:vMerge w:val="restart"/>
            <w:tcBorders>
              <w:bottom w:val="single" w:color="auto" w:sz="4" w:space="0"/>
            </w:tcBorders>
            <w:shd w:val="clear" w:color="auto" w:fill="auto"/>
            <w:noWrap/>
            <w:tcMar>
              <w:top w:w="15" w:type="dxa"/>
              <w:left w:w="15" w:type="dxa"/>
              <w:right w:w="15" w:type="dxa"/>
            </w:tcMar>
            <w:vAlign w:val="center"/>
          </w:tcPr>
          <w:p w14:paraId="53AC1B26">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序号</w:t>
            </w:r>
          </w:p>
        </w:tc>
        <w:tc>
          <w:tcPr>
            <w:tcW w:w="434" w:type="pct"/>
            <w:vMerge w:val="restart"/>
            <w:tcBorders>
              <w:bottom w:val="single" w:color="auto" w:sz="4" w:space="0"/>
            </w:tcBorders>
            <w:shd w:val="clear" w:color="auto" w:fill="auto"/>
            <w:noWrap/>
            <w:tcMar>
              <w:top w:w="15" w:type="dxa"/>
              <w:left w:w="15" w:type="dxa"/>
              <w:right w:w="15" w:type="dxa"/>
            </w:tcMar>
            <w:vAlign w:val="center"/>
          </w:tcPr>
          <w:p w14:paraId="645ACD5C">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sz w:val="21"/>
                <w:szCs w:val="21"/>
                <w:highlight w:val="none"/>
              </w:rPr>
            </w:pPr>
            <w:r>
              <w:rPr>
                <w:rFonts w:hint="default" w:ascii="Times New Roman" w:hAnsi="Times New Roman" w:cs="Times New Roman"/>
                <w:b/>
                <w:bCs/>
                <w:sz w:val="21"/>
                <w:szCs w:val="21"/>
                <w:highlight w:val="none"/>
                <w:lang w:val="en-US" w:eastAsia="zh-CN"/>
              </w:rPr>
              <w:t>点位类型</w:t>
            </w:r>
          </w:p>
        </w:tc>
        <w:tc>
          <w:tcPr>
            <w:tcW w:w="458" w:type="pct"/>
            <w:vMerge w:val="restart"/>
            <w:tcBorders>
              <w:bottom w:val="single" w:color="auto" w:sz="4" w:space="0"/>
            </w:tcBorders>
            <w:shd w:val="clear" w:color="auto" w:fill="auto"/>
            <w:noWrap/>
            <w:tcMar>
              <w:top w:w="15" w:type="dxa"/>
              <w:left w:w="15" w:type="dxa"/>
              <w:right w:w="15" w:type="dxa"/>
            </w:tcMar>
            <w:vAlign w:val="center"/>
          </w:tcPr>
          <w:p w14:paraId="43C03968">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检测点位</w:t>
            </w:r>
          </w:p>
        </w:tc>
        <w:tc>
          <w:tcPr>
            <w:tcW w:w="969" w:type="pct"/>
            <w:vMerge w:val="restart"/>
            <w:tcBorders>
              <w:bottom w:val="single" w:color="auto" w:sz="4" w:space="0"/>
            </w:tcBorders>
            <w:shd w:val="clear" w:color="auto" w:fill="auto"/>
            <w:noWrap/>
            <w:tcMar>
              <w:top w:w="15" w:type="dxa"/>
              <w:left w:w="15" w:type="dxa"/>
              <w:right w:w="15" w:type="dxa"/>
            </w:tcMar>
            <w:vAlign w:val="center"/>
          </w:tcPr>
          <w:p w14:paraId="42D5A521">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点位位置</w:t>
            </w:r>
          </w:p>
        </w:tc>
        <w:tc>
          <w:tcPr>
            <w:tcW w:w="966" w:type="pct"/>
            <w:gridSpan w:val="2"/>
            <w:tcBorders>
              <w:bottom w:val="single" w:color="auto" w:sz="4" w:space="0"/>
            </w:tcBorders>
            <w:shd w:val="clear" w:color="auto" w:fill="auto"/>
            <w:noWrap/>
            <w:tcMar>
              <w:top w:w="15" w:type="dxa"/>
              <w:left w:w="15" w:type="dxa"/>
              <w:right w:w="15" w:type="dxa"/>
            </w:tcMar>
            <w:vAlign w:val="center"/>
          </w:tcPr>
          <w:p w14:paraId="2E47288E">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b/>
                <w:bCs/>
                <w:sz w:val="21"/>
                <w:szCs w:val="21"/>
                <w:highlight w:val="none"/>
                <w:lang w:val="en-US" w:eastAsia="zh-CN"/>
              </w:rPr>
            </w:pPr>
            <w:r>
              <w:rPr>
                <w:rFonts w:hint="eastAsia" w:cs="Times New Roman"/>
                <w:b/>
                <w:bCs/>
                <w:sz w:val="21"/>
                <w:szCs w:val="21"/>
                <w:highlight w:val="none"/>
                <w:lang w:val="en-US" w:eastAsia="zh-CN"/>
              </w:rPr>
              <w:t>坐标</w:t>
            </w:r>
            <w:r>
              <w:rPr>
                <w:rFonts w:hint="default" w:ascii="Times New Roman" w:hAnsi="Times New Roman" w:cs="Times New Roman"/>
                <w:b/>
                <w:bCs/>
                <w:sz w:val="21"/>
                <w:szCs w:val="21"/>
                <w:highlight w:val="none"/>
                <w:lang w:val="en-US" w:eastAsia="zh-CN"/>
              </w:rPr>
              <w:t>①</w:t>
            </w:r>
          </w:p>
        </w:tc>
        <w:tc>
          <w:tcPr>
            <w:tcW w:w="371" w:type="pct"/>
            <w:vMerge w:val="restart"/>
            <w:tcBorders>
              <w:bottom w:val="single" w:color="auto" w:sz="4" w:space="0"/>
            </w:tcBorders>
            <w:shd w:val="clear" w:color="auto" w:fill="auto"/>
            <w:noWrap/>
            <w:tcMar>
              <w:top w:w="15" w:type="dxa"/>
              <w:left w:w="15" w:type="dxa"/>
              <w:right w:w="15" w:type="dxa"/>
            </w:tcMar>
            <w:vAlign w:val="center"/>
          </w:tcPr>
          <w:p w14:paraId="32324B05">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sz w:val="21"/>
                <w:szCs w:val="21"/>
                <w:highlight w:val="none"/>
                <w:lang w:val="en-US" w:eastAsia="zh-CN"/>
              </w:rPr>
            </w:pPr>
            <w:r>
              <w:rPr>
                <w:rFonts w:hint="eastAsia" w:cs="Times New Roman"/>
                <w:b/>
                <w:bCs/>
                <w:sz w:val="21"/>
                <w:szCs w:val="21"/>
                <w:highlight w:val="none"/>
                <w:lang w:val="en-US" w:eastAsia="zh-CN"/>
              </w:rPr>
              <w:t>采样深度（m）</w:t>
            </w:r>
          </w:p>
        </w:tc>
        <w:tc>
          <w:tcPr>
            <w:tcW w:w="1594" w:type="pct"/>
            <w:vMerge w:val="restart"/>
            <w:tcBorders>
              <w:bottom w:val="single" w:color="auto" w:sz="4" w:space="0"/>
            </w:tcBorders>
            <w:shd w:val="clear" w:color="auto" w:fill="auto"/>
            <w:noWrap/>
            <w:tcMar>
              <w:top w:w="15" w:type="dxa"/>
              <w:left w:w="15" w:type="dxa"/>
              <w:right w:w="15" w:type="dxa"/>
            </w:tcMar>
            <w:vAlign w:val="center"/>
          </w:tcPr>
          <w:p w14:paraId="548E5AA4">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sz w:val="21"/>
                <w:szCs w:val="21"/>
                <w:highlight w:val="none"/>
              </w:rPr>
            </w:pPr>
            <w:r>
              <w:rPr>
                <w:rFonts w:hint="default" w:ascii="Times New Roman" w:hAnsi="Times New Roman" w:cs="Times New Roman"/>
                <w:b/>
                <w:bCs/>
                <w:sz w:val="21"/>
                <w:szCs w:val="21"/>
                <w:highlight w:val="none"/>
                <w:lang w:val="en-US" w:eastAsia="zh-CN"/>
              </w:rPr>
              <w:t>测试项目</w:t>
            </w:r>
          </w:p>
        </w:tc>
      </w:tr>
      <w:tr w14:paraId="6304BA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417" w:hRule="atLeast"/>
          <w:tblHeader/>
          <w:jc w:val="center"/>
        </w:trPr>
        <w:tc>
          <w:tcPr>
            <w:tcW w:w="205" w:type="pct"/>
            <w:vMerge w:val="continue"/>
            <w:tcBorders>
              <w:top w:val="single" w:color="auto" w:sz="4" w:space="0"/>
              <w:bottom w:val="single" w:color="auto" w:sz="12" w:space="0"/>
            </w:tcBorders>
            <w:shd w:val="clear" w:color="auto" w:fill="auto"/>
            <w:noWrap/>
            <w:tcMar>
              <w:top w:w="15" w:type="dxa"/>
              <w:left w:w="15" w:type="dxa"/>
              <w:right w:w="15" w:type="dxa"/>
            </w:tcMar>
            <w:vAlign w:val="center"/>
          </w:tcPr>
          <w:p w14:paraId="1DA214B6">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sz w:val="21"/>
                <w:szCs w:val="21"/>
                <w:highlight w:val="none"/>
                <w:lang w:val="en-US" w:eastAsia="zh-CN"/>
              </w:rPr>
            </w:pPr>
          </w:p>
        </w:tc>
        <w:tc>
          <w:tcPr>
            <w:tcW w:w="434" w:type="pct"/>
            <w:vMerge w:val="continue"/>
            <w:tcBorders>
              <w:top w:val="single" w:color="auto" w:sz="4" w:space="0"/>
              <w:bottom w:val="single" w:color="auto" w:sz="12" w:space="0"/>
            </w:tcBorders>
            <w:shd w:val="clear" w:color="auto" w:fill="auto"/>
            <w:noWrap/>
            <w:tcMar>
              <w:top w:w="15" w:type="dxa"/>
              <w:left w:w="15" w:type="dxa"/>
              <w:right w:w="15" w:type="dxa"/>
            </w:tcMar>
            <w:vAlign w:val="center"/>
          </w:tcPr>
          <w:p w14:paraId="0BBD3736">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sz w:val="21"/>
                <w:szCs w:val="21"/>
                <w:highlight w:val="none"/>
                <w:lang w:val="en-US" w:eastAsia="zh-CN"/>
              </w:rPr>
            </w:pPr>
          </w:p>
        </w:tc>
        <w:tc>
          <w:tcPr>
            <w:tcW w:w="458" w:type="pct"/>
            <w:vMerge w:val="continue"/>
            <w:tcBorders>
              <w:top w:val="single" w:color="auto" w:sz="4" w:space="0"/>
              <w:bottom w:val="single" w:color="auto" w:sz="12" w:space="0"/>
            </w:tcBorders>
            <w:shd w:val="clear" w:color="auto" w:fill="auto"/>
            <w:noWrap/>
            <w:tcMar>
              <w:top w:w="15" w:type="dxa"/>
              <w:left w:w="15" w:type="dxa"/>
              <w:right w:w="15" w:type="dxa"/>
            </w:tcMar>
            <w:vAlign w:val="center"/>
          </w:tcPr>
          <w:p w14:paraId="3F623B4C">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sz w:val="21"/>
                <w:szCs w:val="21"/>
                <w:highlight w:val="none"/>
                <w:lang w:val="en-US" w:eastAsia="zh-CN"/>
              </w:rPr>
            </w:pPr>
          </w:p>
        </w:tc>
        <w:tc>
          <w:tcPr>
            <w:tcW w:w="969" w:type="pct"/>
            <w:vMerge w:val="continue"/>
            <w:tcBorders>
              <w:top w:val="single" w:color="auto" w:sz="4" w:space="0"/>
              <w:bottom w:val="single" w:color="auto" w:sz="12" w:space="0"/>
            </w:tcBorders>
            <w:shd w:val="clear" w:color="auto" w:fill="auto"/>
            <w:noWrap/>
            <w:tcMar>
              <w:top w:w="15" w:type="dxa"/>
              <w:left w:w="15" w:type="dxa"/>
              <w:right w:w="15" w:type="dxa"/>
            </w:tcMar>
            <w:vAlign w:val="center"/>
          </w:tcPr>
          <w:p w14:paraId="255BBF9A">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sz w:val="21"/>
                <w:szCs w:val="21"/>
                <w:highlight w:val="none"/>
                <w:lang w:val="en-US" w:eastAsia="zh-CN"/>
              </w:rPr>
            </w:pPr>
          </w:p>
        </w:tc>
        <w:tc>
          <w:tcPr>
            <w:tcW w:w="458" w:type="pct"/>
            <w:tcBorders>
              <w:top w:val="single" w:color="auto" w:sz="4" w:space="0"/>
              <w:bottom w:val="single" w:color="auto" w:sz="12" w:space="0"/>
            </w:tcBorders>
            <w:shd w:val="clear" w:color="auto" w:fill="auto"/>
            <w:noWrap/>
            <w:tcMar>
              <w:top w:w="15" w:type="dxa"/>
              <w:left w:w="15" w:type="dxa"/>
              <w:right w:w="15" w:type="dxa"/>
            </w:tcMar>
            <w:vAlign w:val="center"/>
          </w:tcPr>
          <w:p w14:paraId="0953E2D1">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cs="Times New Roman"/>
                <w:b/>
                <w:bCs/>
                <w:sz w:val="21"/>
                <w:szCs w:val="21"/>
                <w:highlight w:val="none"/>
                <w:lang w:val="en-US" w:eastAsia="zh-CN"/>
              </w:rPr>
              <w:t>经度（°）</w:t>
            </w:r>
          </w:p>
        </w:tc>
        <w:tc>
          <w:tcPr>
            <w:tcW w:w="507" w:type="pct"/>
            <w:tcBorders>
              <w:top w:val="single" w:color="auto" w:sz="4" w:space="0"/>
              <w:bottom w:val="single" w:color="auto" w:sz="12" w:space="0"/>
            </w:tcBorders>
            <w:shd w:val="clear" w:color="auto" w:fill="auto"/>
            <w:noWrap/>
            <w:tcMar>
              <w:top w:w="15" w:type="dxa"/>
              <w:left w:w="15" w:type="dxa"/>
              <w:right w:w="15" w:type="dxa"/>
            </w:tcMar>
            <w:vAlign w:val="center"/>
          </w:tcPr>
          <w:p w14:paraId="4D4397EC">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cs="Times New Roman"/>
                <w:b/>
                <w:bCs/>
                <w:sz w:val="21"/>
                <w:szCs w:val="21"/>
                <w:highlight w:val="none"/>
                <w:lang w:val="en-US" w:eastAsia="zh-CN"/>
              </w:rPr>
              <w:t>纬度（°）</w:t>
            </w:r>
          </w:p>
        </w:tc>
        <w:tc>
          <w:tcPr>
            <w:tcW w:w="371" w:type="pct"/>
            <w:vMerge w:val="continue"/>
            <w:tcBorders>
              <w:top w:val="single" w:color="auto" w:sz="4" w:space="0"/>
              <w:bottom w:val="single" w:color="auto" w:sz="12" w:space="0"/>
            </w:tcBorders>
            <w:shd w:val="clear" w:color="auto" w:fill="auto"/>
            <w:noWrap/>
            <w:tcMar>
              <w:top w:w="15" w:type="dxa"/>
              <w:left w:w="15" w:type="dxa"/>
              <w:right w:w="15" w:type="dxa"/>
            </w:tcMar>
            <w:vAlign w:val="center"/>
          </w:tcPr>
          <w:p w14:paraId="0ABECD43">
            <w:pPr>
              <w:keepNext w:val="0"/>
              <w:keepLines w:val="0"/>
              <w:suppressLineNumbers w:val="0"/>
              <w:bidi w:val="0"/>
              <w:spacing w:before="0" w:beforeAutospacing="0" w:after="0" w:afterAutospacing="0" w:line="240" w:lineRule="auto"/>
              <w:ind w:left="0" w:right="0"/>
              <w:jc w:val="center"/>
              <w:rPr>
                <w:rFonts w:hint="eastAsia" w:cs="Times New Roman"/>
                <w:b/>
                <w:bCs/>
                <w:sz w:val="21"/>
                <w:szCs w:val="21"/>
                <w:highlight w:val="none"/>
                <w:lang w:val="en-US" w:eastAsia="zh-CN"/>
              </w:rPr>
            </w:pPr>
          </w:p>
        </w:tc>
        <w:tc>
          <w:tcPr>
            <w:tcW w:w="1594" w:type="pct"/>
            <w:vMerge w:val="continue"/>
            <w:tcBorders>
              <w:top w:val="single" w:color="auto" w:sz="4" w:space="0"/>
              <w:bottom w:val="single" w:color="auto" w:sz="12" w:space="0"/>
            </w:tcBorders>
            <w:shd w:val="clear" w:color="auto" w:fill="auto"/>
            <w:noWrap/>
            <w:tcMar>
              <w:top w:w="15" w:type="dxa"/>
              <w:left w:w="15" w:type="dxa"/>
              <w:right w:w="15" w:type="dxa"/>
            </w:tcMar>
            <w:vAlign w:val="center"/>
          </w:tcPr>
          <w:p w14:paraId="36F95D2E">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sz w:val="21"/>
                <w:szCs w:val="21"/>
                <w:highlight w:val="none"/>
                <w:lang w:val="en-US" w:eastAsia="zh-CN"/>
              </w:rPr>
            </w:pPr>
          </w:p>
        </w:tc>
      </w:tr>
      <w:tr w14:paraId="41F718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205" w:type="pct"/>
            <w:tcBorders>
              <w:top w:val="single" w:color="auto" w:sz="12" w:space="0"/>
              <w:tl2br w:val="nil"/>
              <w:tr2bl w:val="nil"/>
            </w:tcBorders>
            <w:shd w:val="clear" w:color="auto" w:fill="auto"/>
            <w:noWrap/>
            <w:tcMar>
              <w:top w:w="15" w:type="dxa"/>
              <w:left w:w="15" w:type="dxa"/>
              <w:right w:w="15" w:type="dxa"/>
            </w:tcMar>
            <w:vAlign w:val="center"/>
          </w:tcPr>
          <w:p w14:paraId="45D31F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w:t>
            </w:r>
          </w:p>
        </w:tc>
        <w:tc>
          <w:tcPr>
            <w:tcW w:w="434" w:type="pct"/>
            <w:vMerge w:val="restart"/>
            <w:tcBorders>
              <w:top w:val="single" w:color="auto" w:sz="12" w:space="0"/>
              <w:tl2br w:val="nil"/>
              <w:tr2bl w:val="nil"/>
            </w:tcBorders>
            <w:shd w:val="clear" w:color="auto" w:fill="auto"/>
            <w:noWrap/>
            <w:tcMar>
              <w:top w:w="15" w:type="dxa"/>
              <w:left w:w="15" w:type="dxa"/>
              <w:right w:w="15" w:type="dxa"/>
            </w:tcMar>
            <w:vAlign w:val="center"/>
          </w:tcPr>
          <w:p w14:paraId="465BF19F">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工业园周边点位</w:t>
            </w:r>
          </w:p>
        </w:tc>
        <w:tc>
          <w:tcPr>
            <w:tcW w:w="458" w:type="pct"/>
            <w:tcBorders>
              <w:top w:val="single" w:color="auto" w:sz="12" w:space="0"/>
              <w:tl2br w:val="nil"/>
              <w:tr2bl w:val="nil"/>
            </w:tcBorders>
            <w:shd w:val="clear" w:color="auto" w:fill="auto"/>
            <w:noWrap/>
            <w:tcMar>
              <w:top w:w="15" w:type="dxa"/>
              <w:left w:w="15" w:type="dxa"/>
              <w:right w:w="15" w:type="dxa"/>
            </w:tcMar>
            <w:vAlign w:val="center"/>
          </w:tcPr>
          <w:p w14:paraId="1D0345BA">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HR-1-75</w:t>
            </w:r>
          </w:p>
        </w:tc>
        <w:tc>
          <w:tcPr>
            <w:tcW w:w="969" w:type="pct"/>
            <w:tcBorders>
              <w:top w:val="single" w:color="auto" w:sz="12" w:space="0"/>
              <w:tl2br w:val="nil"/>
              <w:tr2bl w:val="nil"/>
            </w:tcBorders>
            <w:shd w:val="clear" w:color="auto" w:fill="auto"/>
            <w:noWrap/>
            <w:tcMar>
              <w:top w:w="15" w:type="dxa"/>
              <w:left w:w="15" w:type="dxa"/>
              <w:right w:w="15" w:type="dxa"/>
            </w:tcMar>
            <w:vAlign w:val="center"/>
          </w:tcPr>
          <w:p w14:paraId="53A7117A">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园区边界西侧下风向75m</w:t>
            </w:r>
          </w:p>
        </w:tc>
        <w:tc>
          <w:tcPr>
            <w:tcW w:w="458" w:type="pct"/>
            <w:tcBorders>
              <w:top w:val="single" w:color="auto" w:sz="12" w:space="0"/>
              <w:tl2br w:val="nil"/>
              <w:tr2bl w:val="nil"/>
            </w:tcBorders>
            <w:shd w:val="clear" w:color="auto" w:fill="auto"/>
            <w:noWrap/>
            <w:tcMar>
              <w:top w:w="15" w:type="dxa"/>
              <w:left w:w="15" w:type="dxa"/>
              <w:right w:w="15" w:type="dxa"/>
            </w:tcMar>
            <w:vAlign w:val="center"/>
          </w:tcPr>
          <w:p w14:paraId="707784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114.689337</w:t>
            </w:r>
          </w:p>
        </w:tc>
        <w:tc>
          <w:tcPr>
            <w:tcW w:w="507" w:type="pct"/>
            <w:tcBorders>
              <w:top w:val="single" w:color="auto" w:sz="12" w:space="0"/>
              <w:tl2br w:val="nil"/>
              <w:tr2bl w:val="nil"/>
            </w:tcBorders>
            <w:shd w:val="clear" w:color="auto" w:fill="auto"/>
            <w:noWrap/>
            <w:tcMar>
              <w:top w:w="15" w:type="dxa"/>
              <w:left w:w="15" w:type="dxa"/>
              <w:right w:w="15" w:type="dxa"/>
            </w:tcMar>
            <w:vAlign w:val="center"/>
          </w:tcPr>
          <w:p w14:paraId="4A6D92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30.533803</w:t>
            </w:r>
          </w:p>
        </w:tc>
        <w:tc>
          <w:tcPr>
            <w:tcW w:w="371" w:type="pct"/>
            <w:vMerge w:val="restart"/>
            <w:tcBorders>
              <w:top w:val="single" w:color="auto" w:sz="12" w:space="0"/>
              <w:tl2br w:val="nil"/>
              <w:tr2bl w:val="nil"/>
            </w:tcBorders>
            <w:shd w:val="clear" w:color="auto" w:fill="auto"/>
            <w:noWrap/>
            <w:tcMar>
              <w:top w:w="15" w:type="dxa"/>
              <w:left w:w="15" w:type="dxa"/>
              <w:right w:w="15" w:type="dxa"/>
            </w:tcMar>
            <w:vAlign w:val="center"/>
          </w:tcPr>
          <w:p w14:paraId="6316FE1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0-0.5</w:t>
            </w:r>
          </w:p>
        </w:tc>
        <w:tc>
          <w:tcPr>
            <w:tcW w:w="1594" w:type="pct"/>
            <w:vMerge w:val="restart"/>
            <w:tcBorders>
              <w:top w:val="single" w:color="auto" w:sz="12" w:space="0"/>
              <w:tl2br w:val="nil"/>
              <w:tr2bl w:val="nil"/>
            </w:tcBorders>
            <w:shd w:val="clear" w:color="auto" w:fill="auto"/>
            <w:noWrap/>
            <w:tcMar>
              <w:top w:w="15" w:type="dxa"/>
              <w:left w:w="15" w:type="dxa"/>
              <w:right w:w="15" w:type="dxa"/>
            </w:tcMar>
            <w:vAlign w:val="center"/>
          </w:tcPr>
          <w:p w14:paraId="432B8A5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highlight w:val="none"/>
              </w:rPr>
            </w:pPr>
            <w:r>
              <w:rPr>
                <w:rFonts w:hint="default" w:ascii="Times New Roman" w:hAnsi="Times New Roman" w:cs="Times New Roman" w:eastAsiaTheme="minorEastAsia"/>
                <w:kern w:val="0"/>
                <w:sz w:val="21"/>
                <w:szCs w:val="21"/>
                <w:highlight w:val="none"/>
                <w:lang w:val="en-US" w:eastAsia="zh-CN"/>
              </w:rPr>
              <w:t>基本项目（48项）、园区增测项目（3项）、氰化物</w:t>
            </w:r>
          </w:p>
          <w:p w14:paraId="51D1B52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highlight w:val="none"/>
              </w:rPr>
            </w:pPr>
          </w:p>
          <w:p w14:paraId="6B55A83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r>
      <w:tr w14:paraId="22A5F4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205" w:type="pct"/>
            <w:tcBorders>
              <w:tl2br w:val="nil"/>
              <w:tr2bl w:val="nil"/>
            </w:tcBorders>
            <w:shd w:val="clear" w:color="auto" w:fill="auto"/>
            <w:noWrap/>
            <w:tcMar>
              <w:top w:w="15" w:type="dxa"/>
              <w:left w:w="15" w:type="dxa"/>
              <w:right w:w="15" w:type="dxa"/>
            </w:tcMar>
            <w:vAlign w:val="center"/>
          </w:tcPr>
          <w:p w14:paraId="4F0124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2</w:t>
            </w:r>
          </w:p>
        </w:tc>
        <w:tc>
          <w:tcPr>
            <w:tcW w:w="434" w:type="pct"/>
            <w:vMerge w:val="continue"/>
            <w:tcBorders>
              <w:tl2br w:val="nil"/>
              <w:tr2bl w:val="nil"/>
            </w:tcBorders>
            <w:shd w:val="clear" w:color="auto" w:fill="auto"/>
            <w:noWrap/>
            <w:tcMar>
              <w:top w:w="15" w:type="dxa"/>
              <w:left w:w="15" w:type="dxa"/>
              <w:right w:w="15" w:type="dxa"/>
            </w:tcMar>
            <w:vAlign w:val="center"/>
          </w:tcPr>
          <w:p w14:paraId="57C766C0">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458" w:type="pct"/>
            <w:tcBorders>
              <w:tl2br w:val="nil"/>
              <w:tr2bl w:val="nil"/>
            </w:tcBorders>
            <w:shd w:val="clear" w:color="auto" w:fill="auto"/>
            <w:noWrap/>
            <w:tcMar>
              <w:top w:w="15" w:type="dxa"/>
              <w:left w:w="15" w:type="dxa"/>
              <w:right w:w="15" w:type="dxa"/>
            </w:tcMar>
            <w:vAlign w:val="center"/>
          </w:tcPr>
          <w:p w14:paraId="171AC5D1">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HR-1-200</w:t>
            </w:r>
          </w:p>
        </w:tc>
        <w:tc>
          <w:tcPr>
            <w:tcW w:w="969" w:type="pct"/>
            <w:tcBorders>
              <w:tl2br w:val="nil"/>
              <w:tr2bl w:val="nil"/>
            </w:tcBorders>
            <w:shd w:val="clear" w:color="auto" w:fill="auto"/>
            <w:noWrap/>
            <w:tcMar>
              <w:top w:w="15" w:type="dxa"/>
              <w:left w:w="15" w:type="dxa"/>
              <w:right w:w="15" w:type="dxa"/>
            </w:tcMar>
            <w:vAlign w:val="center"/>
          </w:tcPr>
          <w:p w14:paraId="6528EEAD">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园区边界西侧下风向200m</w:t>
            </w:r>
          </w:p>
        </w:tc>
        <w:tc>
          <w:tcPr>
            <w:tcW w:w="458" w:type="pct"/>
            <w:tcBorders>
              <w:tl2br w:val="nil"/>
              <w:tr2bl w:val="nil"/>
            </w:tcBorders>
            <w:shd w:val="clear" w:color="auto" w:fill="auto"/>
            <w:noWrap/>
            <w:tcMar>
              <w:top w:w="15" w:type="dxa"/>
              <w:left w:w="15" w:type="dxa"/>
              <w:right w:w="15" w:type="dxa"/>
            </w:tcMar>
            <w:vAlign w:val="center"/>
          </w:tcPr>
          <w:p w14:paraId="29A224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114.688028</w:t>
            </w:r>
          </w:p>
        </w:tc>
        <w:tc>
          <w:tcPr>
            <w:tcW w:w="507" w:type="pct"/>
            <w:tcBorders>
              <w:tl2br w:val="nil"/>
              <w:tr2bl w:val="nil"/>
            </w:tcBorders>
            <w:shd w:val="clear" w:color="auto" w:fill="auto"/>
            <w:noWrap/>
            <w:tcMar>
              <w:top w:w="15" w:type="dxa"/>
              <w:left w:w="15" w:type="dxa"/>
              <w:right w:w="15" w:type="dxa"/>
            </w:tcMar>
            <w:vAlign w:val="center"/>
          </w:tcPr>
          <w:p w14:paraId="379B18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30.533886</w:t>
            </w:r>
          </w:p>
        </w:tc>
        <w:tc>
          <w:tcPr>
            <w:tcW w:w="371" w:type="pct"/>
            <w:vMerge w:val="continue"/>
            <w:tcBorders>
              <w:tl2br w:val="nil"/>
              <w:tr2bl w:val="nil"/>
            </w:tcBorders>
            <w:shd w:val="clear" w:color="auto" w:fill="auto"/>
            <w:noWrap/>
            <w:tcMar>
              <w:top w:w="15" w:type="dxa"/>
              <w:left w:w="15" w:type="dxa"/>
              <w:right w:w="15" w:type="dxa"/>
            </w:tcMar>
            <w:vAlign w:val="center"/>
          </w:tcPr>
          <w:p w14:paraId="18E1C991">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1594" w:type="pct"/>
            <w:vMerge w:val="continue"/>
            <w:tcBorders>
              <w:tl2br w:val="nil"/>
              <w:tr2bl w:val="nil"/>
            </w:tcBorders>
            <w:shd w:val="clear" w:color="auto" w:fill="auto"/>
            <w:noWrap/>
            <w:tcMar>
              <w:top w:w="15" w:type="dxa"/>
              <w:left w:w="15" w:type="dxa"/>
              <w:right w:w="15" w:type="dxa"/>
            </w:tcMar>
            <w:vAlign w:val="center"/>
          </w:tcPr>
          <w:p w14:paraId="0B7C6745">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r>
      <w:tr w14:paraId="75F6B2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205" w:type="pct"/>
            <w:tcBorders>
              <w:tl2br w:val="nil"/>
              <w:tr2bl w:val="nil"/>
            </w:tcBorders>
            <w:shd w:val="clear" w:color="auto" w:fill="auto"/>
            <w:noWrap/>
            <w:tcMar>
              <w:top w:w="15" w:type="dxa"/>
              <w:left w:w="15" w:type="dxa"/>
              <w:right w:w="15" w:type="dxa"/>
            </w:tcMar>
            <w:vAlign w:val="center"/>
          </w:tcPr>
          <w:p w14:paraId="1F2E1E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3</w:t>
            </w:r>
          </w:p>
        </w:tc>
        <w:tc>
          <w:tcPr>
            <w:tcW w:w="434" w:type="pct"/>
            <w:vMerge w:val="continue"/>
            <w:tcBorders>
              <w:tl2br w:val="nil"/>
              <w:tr2bl w:val="nil"/>
            </w:tcBorders>
            <w:shd w:val="clear" w:color="auto" w:fill="auto"/>
            <w:noWrap/>
            <w:tcMar>
              <w:top w:w="15" w:type="dxa"/>
              <w:left w:w="15" w:type="dxa"/>
              <w:right w:w="15" w:type="dxa"/>
            </w:tcMar>
            <w:vAlign w:val="center"/>
          </w:tcPr>
          <w:p w14:paraId="151377A8">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458" w:type="pct"/>
            <w:tcBorders>
              <w:tl2br w:val="nil"/>
              <w:tr2bl w:val="nil"/>
            </w:tcBorders>
            <w:shd w:val="clear" w:color="auto" w:fill="auto"/>
            <w:noWrap/>
            <w:tcMar>
              <w:top w:w="15" w:type="dxa"/>
              <w:left w:w="15" w:type="dxa"/>
              <w:right w:w="15" w:type="dxa"/>
            </w:tcMar>
            <w:vAlign w:val="center"/>
          </w:tcPr>
          <w:p w14:paraId="117D8A60">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HR-1-400</w:t>
            </w:r>
          </w:p>
        </w:tc>
        <w:tc>
          <w:tcPr>
            <w:tcW w:w="969" w:type="pct"/>
            <w:tcBorders>
              <w:tl2br w:val="nil"/>
              <w:tr2bl w:val="nil"/>
            </w:tcBorders>
            <w:shd w:val="clear" w:color="auto" w:fill="auto"/>
            <w:noWrap/>
            <w:tcMar>
              <w:top w:w="15" w:type="dxa"/>
              <w:left w:w="15" w:type="dxa"/>
              <w:right w:w="15" w:type="dxa"/>
            </w:tcMar>
            <w:vAlign w:val="center"/>
          </w:tcPr>
          <w:p w14:paraId="64045B9B">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园区边界西侧下风向400m</w:t>
            </w:r>
          </w:p>
        </w:tc>
        <w:tc>
          <w:tcPr>
            <w:tcW w:w="458" w:type="pct"/>
            <w:tcBorders>
              <w:tl2br w:val="nil"/>
              <w:tr2bl w:val="nil"/>
            </w:tcBorders>
            <w:shd w:val="clear" w:color="auto" w:fill="auto"/>
            <w:noWrap/>
            <w:tcMar>
              <w:top w:w="15" w:type="dxa"/>
              <w:left w:w="15" w:type="dxa"/>
              <w:right w:w="15" w:type="dxa"/>
            </w:tcMar>
            <w:vAlign w:val="center"/>
          </w:tcPr>
          <w:p w14:paraId="6E5C4A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114.685925</w:t>
            </w:r>
          </w:p>
        </w:tc>
        <w:tc>
          <w:tcPr>
            <w:tcW w:w="507" w:type="pct"/>
            <w:tcBorders>
              <w:tl2br w:val="nil"/>
              <w:tr2bl w:val="nil"/>
            </w:tcBorders>
            <w:shd w:val="clear" w:color="auto" w:fill="auto"/>
            <w:noWrap/>
            <w:tcMar>
              <w:top w:w="15" w:type="dxa"/>
              <w:left w:w="15" w:type="dxa"/>
              <w:right w:w="15" w:type="dxa"/>
            </w:tcMar>
            <w:vAlign w:val="center"/>
          </w:tcPr>
          <w:p w14:paraId="2EE813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30.533978</w:t>
            </w:r>
          </w:p>
        </w:tc>
        <w:tc>
          <w:tcPr>
            <w:tcW w:w="371" w:type="pct"/>
            <w:vMerge w:val="continue"/>
            <w:tcBorders>
              <w:tl2br w:val="nil"/>
              <w:tr2bl w:val="nil"/>
            </w:tcBorders>
            <w:shd w:val="clear" w:color="auto" w:fill="auto"/>
            <w:noWrap/>
            <w:tcMar>
              <w:top w:w="15" w:type="dxa"/>
              <w:left w:w="15" w:type="dxa"/>
              <w:right w:w="15" w:type="dxa"/>
            </w:tcMar>
            <w:vAlign w:val="center"/>
          </w:tcPr>
          <w:p w14:paraId="04BE1AA9">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1594" w:type="pct"/>
            <w:vMerge w:val="continue"/>
            <w:tcBorders>
              <w:tl2br w:val="nil"/>
              <w:tr2bl w:val="nil"/>
            </w:tcBorders>
            <w:shd w:val="clear" w:color="auto" w:fill="auto"/>
            <w:noWrap/>
            <w:tcMar>
              <w:top w:w="15" w:type="dxa"/>
              <w:left w:w="15" w:type="dxa"/>
              <w:right w:w="15" w:type="dxa"/>
            </w:tcMar>
            <w:vAlign w:val="center"/>
          </w:tcPr>
          <w:p w14:paraId="09893215">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r>
      <w:tr w14:paraId="636E5B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205" w:type="pct"/>
            <w:tcBorders>
              <w:tl2br w:val="nil"/>
              <w:tr2bl w:val="nil"/>
            </w:tcBorders>
            <w:shd w:val="clear" w:color="auto" w:fill="auto"/>
            <w:noWrap/>
            <w:tcMar>
              <w:top w:w="15" w:type="dxa"/>
              <w:left w:w="15" w:type="dxa"/>
              <w:right w:w="15" w:type="dxa"/>
            </w:tcMar>
            <w:vAlign w:val="center"/>
          </w:tcPr>
          <w:p w14:paraId="7BEEB3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4</w:t>
            </w:r>
          </w:p>
        </w:tc>
        <w:tc>
          <w:tcPr>
            <w:tcW w:w="434" w:type="pct"/>
            <w:vMerge w:val="continue"/>
            <w:tcBorders>
              <w:tl2br w:val="nil"/>
              <w:tr2bl w:val="nil"/>
            </w:tcBorders>
            <w:shd w:val="clear" w:color="auto" w:fill="auto"/>
            <w:noWrap/>
            <w:tcMar>
              <w:top w:w="15" w:type="dxa"/>
              <w:left w:w="15" w:type="dxa"/>
              <w:right w:w="15" w:type="dxa"/>
            </w:tcMar>
            <w:vAlign w:val="center"/>
          </w:tcPr>
          <w:p w14:paraId="52AD604A">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458" w:type="pct"/>
            <w:tcBorders>
              <w:tl2br w:val="nil"/>
              <w:tr2bl w:val="nil"/>
            </w:tcBorders>
            <w:shd w:val="clear" w:color="auto" w:fill="auto"/>
            <w:noWrap/>
            <w:tcMar>
              <w:top w:w="15" w:type="dxa"/>
              <w:left w:w="15" w:type="dxa"/>
              <w:right w:w="15" w:type="dxa"/>
            </w:tcMar>
            <w:vAlign w:val="center"/>
          </w:tcPr>
          <w:p w14:paraId="290CA205">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HR-2-75</w:t>
            </w:r>
          </w:p>
        </w:tc>
        <w:tc>
          <w:tcPr>
            <w:tcW w:w="969" w:type="pct"/>
            <w:tcBorders>
              <w:tl2br w:val="nil"/>
              <w:tr2bl w:val="nil"/>
            </w:tcBorders>
            <w:shd w:val="clear" w:color="auto" w:fill="auto"/>
            <w:noWrap/>
            <w:tcMar>
              <w:top w:w="15" w:type="dxa"/>
              <w:left w:w="15" w:type="dxa"/>
              <w:right w:w="15" w:type="dxa"/>
            </w:tcMar>
            <w:vAlign w:val="center"/>
          </w:tcPr>
          <w:p w14:paraId="3787FD8A">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园区边界西侧下风向75m</w:t>
            </w:r>
          </w:p>
        </w:tc>
        <w:tc>
          <w:tcPr>
            <w:tcW w:w="458" w:type="pct"/>
            <w:tcBorders>
              <w:tl2br w:val="nil"/>
              <w:tr2bl w:val="nil"/>
            </w:tcBorders>
            <w:shd w:val="clear" w:color="auto" w:fill="auto"/>
            <w:noWrap/>
            <w:tcMar>
              <w:top w:w="15" w:type="dxa"/>
              <w:left w:w="15" w:type="dxa"/>
              <w:right w:w="15" w:type="dxa"/>
            </w:tcMar>
            <w:vAlign w:val="center"/>
          </w:tcPr>
          <w:p w14:paraId="55739F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114.691290</w:t>
            </w:r>
          </w:p>
        </w:tc>
        <w:tc>
          <w:tcPr>
            <w:tcW w:w="507" w:type="pct"/>
            <w:tcBorders>
              <w:tl2br w:val="nil"/>
              <w:tr2bl w:val="nil"/>
            </w:tcBorders>
            <w:shd w:val="clear" w:color="auto" w:fill="auto"/>
            <w:noWrap/>
            <w:tcMar>
              <w:top w:w="15" w:type="dxa"/>
              <w:left w:w="15" w:type="dxa"/>
              <w:right w:w="15" w:type="dxa"/>
            </w:tcMar>
            <w:vAlign w:val="center"/>
          </w:tcPr>
          <w:p w14:paraId="3B821F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30.541731</w:t>
            </w:r>
          </w:p>
        </w:tc>
        <w:tc>
          <w:tcPr>
            <w:tcW w:w="371" w:type="pct"/>
            <w:vMerge w:val="continue"/>
            <w:tcBorders>
              <w:tl2br w:val="nil"/>
              <w:tr2bl w:val="nil"/>
            </w:tcBorders>
            <w:shd w:val="clear" w:color="auto" w:fill="auto"/>
            <w:noWrap/>
            <w:tcMar>
              <w:top w:w="15" w:type="dxa"/>
              <w:left w:w="15" w:type="dxa"/>
              <w:right w:w="15" w:type="dxa"/>
            </w:tcMar>
            <w:vAlign w:val="center"/>
          </w:tcPr>
          <w:p w14:paraId="7440CD26">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1594" w:type="pct"/>
            <w:vMerge w:val="continue"/>
            <w:tcBorders>
              <w:tl2br w:val="nil"/>
              <w:tr2bl w:val="nil"/>
            </w:tcBorders>
            <w:shd w:val="clear" w:color="auto" w:fill="auto"/>
            <w:noWrap/>
            <w:tcMar>
              <w:top w:w="15" w:type="dxa"/>
              <w:left w:w="15" w:type="dxa"/>
              <w:right w:w="15" w:type="dxa"/>
            </w:tcMar>
            <w:vAlign w:val="center"/>
          </w:tcPr>
          <w:p w14:paraId="04C1D395">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r>
      <w:tr w14:paraId="1B8B4D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205" w:type="pct"/>
            <w:tcBorders>
              <w:tl2br w:val="nil"/>
              <w:tr2bl w:val="nil"/>
            </w:tcBorders>
            <w:shd w:val="clear" w:color="auto" w:fill="auto"/>
            <w:noWrap/>
            <w:tcMar>
              <w:top w:w="15" w:type="dxa"/>
              <w:left w:w="15" w:type="dxa"/>
              <w:right w:w="15" w:type="dxa"/>
            </w:tcMar>
            <w:vAlign w:val="center"/>
          </w:tcPr>
          <w:p w14:paraId="217F61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5</w:t>
            </w:r>
          </w:p>
        </w:tc>
        <w:tc>
          <w:tcPr>
            <w:tcW w:w="434" w:type="pct"/>
            <w:vMerge w:val="continue"/>
            <w:tcBorders>
              <w:tl2br w:val="nil"/>
              <w:tr2bl w:val="nil"/>
            </w:tcBorders>
            <w:shd w:val="clear" w:color="auto" w:fill="auto"/>
            <w:noWrap/>
            <w:tcMar>
              <w:top w:w="15" w:type="dxa"/>
              <w:left w:w="15" w:type="dxa"/>
              <w:right w:w="15" w:type="dxa"/>
            </w:tcMar>
            <w:vAlign w:val="center"/>
          </w:tcPr>
          <w:p w14:paraId="2714CAEE">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458" w:type="pct"/>
            <w:tcBorders>
              <w:tl2br w:val="nil"/>
              <w:tr2bl w:val="nil"/>
            </w:tcBorders>
            <w:shd w:val="clear" w:color="auto" w:fill="auto"/>
            <w:noWrap/>
            <w:tcMar>
              <w:top w:w="15" w:type="dxa"/>
              <w:left w:w="15" w:type="dxa"/>
              <w:right w:w="15" w:type="dxa"/>
            </w:tcMar>
            <w:vAlign w:val="center"/>
          </w:tcPr>
          <w:p w14:paraId="6440FB17">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HR-2-200</w:t>
            </w:r>
          </w:p>
        </w:tc>
        <w:tc>
          <w:tcPr>
            <w:tcW w:w="969" w:type="pct"/>
            <w:tcBorders>
              <w:tl2br w:val="nil"/>
              <w:tr2bl w:val="nil"/>
            </w:tcBorders>
            <w:shd w:val="clear" w:color="auto" w:fill="auto"/>
            <w:noWrap/>
            <w:tcMar>
              <w:top w:w="15" w:type="dxa"/>
              <w:left w:w="15" w:type="dxa"/>
              <w:right w:w="15" w:type="dxa"/>
            </w:tcMar>
            <w:vAlign w:val="center"/>
          </w:tcPr>
          <w:p w14:paraId="35059CC2">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园区边界西侧下风向200m</w:t>
            </w:r>
          </w:p>
        </w:tc>
        <w:tc>
          <w:tcPr>
            <w:tcW w:w="458" w:type="pct"/>
            <w:tcBorders>
              <w:tl2br w:val="nil"/>
              <w:tr2bl w:val="nil"/>
            </w:tcBorders>
            <w:shd w:val="clear" w:color="auto" w:fill="auto"/>
            <w:noWrap/>
            <w:tcMar>
              <w:top w:w="15" w:type="dxa"/>
              <w:left w:w="15" w:type="dxa"/>
              <w:right w:w="15" w:type="dxa"/>
            </w:tcMar>
            <w:vAlign w:val="center"/>
          </w:tcPr>
          <w:p w14:paraId="414DA2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114.689895</w:t>
            </w:r>
          </w:p>
        </w:tc>
        <w:tc>
          <w:tcPr>
            <w:tcW w:w="507" w:type="pct"/>
            <w:tcBorders>
              <w:tl2br w:val="nil"/>
              <w:tr2bl w:val="nil"/>
            </w:tcBorders>
            <w:shd w:val="clear" w:color="auto" w:fill="auto"/>
            <w:noWrap/>
            <w:tcMar>
              <w:top w:w="15" w:type="dxa"/>
              <w:left w:w="15" w:type="dxa"/>
              <w:right w:w="15" w:type="dxa"/>
            </w:tcMar>
            <w:vAlign w:val="center"/>
          </w:tcPr>
          <w:p w14:paraId="4C1645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30.541814</w:t>
            </w:r>
          </w:p>
        </w:tc>
        <w:tc>
          <w:tcPr>
            <w:tcW w:w="371" w:type="pct"/>
            <w:vMerge w:val="continue"/>
            <w:tcBorders>
              <w:tl2br w:val="nil"/>
              <w:tr2bl w:val="nil"/>
            </w:tcBorders>
            <w:shd w:val="clear" w:color="auto" w:fill="auto"/>
            <w:noWrap/>
            <w:tcMar>
              <w:top w:w="15" w:type="dxa"/>
              <w:left w:w="15" w:type="dxa"/>
              <w:right w:w="15" w:type="dxa"/>
            </w:tcMar>
            <w:vAlign w:val="center"/>
          </w:tcPr>
          <w:p w14:paraId="54D3DE37">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1594" w:type="pct"/>
            <w:vMerge w:val="continue"/>
            <w:tcBorders>
              <w:tl2br w:val="nil"/>
              <w:tr2bl w:val="nil"/>
            </w:tcBorders>
            <w:shd w:val="clear" w:color="auto" w:fill="auto"/>
            <w:noWrap/>
            <w:tcMar>
              <w:top w:w="15" w:type="dxa"/>
              <w:left w:w="15" w:type="dxa"/>
              <w:right w:w="15" w:type="dxa"/>
            </w:tcMar>
            <w:vAlign w:val="center"/>
          </w:tcPr>
          <w:p w14:paraId="63157CDD">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r>
      <w:tr w14:paraId="14A4FA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205" w:type="pct"/>
            <w:tcBorders>
              <w:tl2br w:val="nil"/>
              <w:tr2bl w:val="nil"/>
            </w:tcBorders>
            <w:shd w:val="clear" w:color="auto" w:fill="auto"/>
            <w:noWrap/>
            <w:tcMar>
              <w:top w:w="15" w:type="dxa"/>
              <w:left w:w="15" w:type="dxa"/>
              <w:right w:w="15" w:type="dxa"/>
            </w:tcMar>
            <w:vAlign w:val="center"/>
          </w:tcPr>
          <w:p w14:paraId="295783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6</w:t>
            </w:r>
          </w:p>
        </w:tc>
        <w:tc>
          <w:tcPr>
            <w:tcW w:w="434" w:type="pct"/>
            <w:vMerge w:val="continue"/>
            <w:tcBorders>
              <w:tl2br w:val="nil"/>
              <w:tr2bl w:val="nil"/>
            </w:tcBorders>
            <w:shd w:val="clear" w:color="auto" w:fill="auto"/>
            <w:noWrap/>
            <w:tcMar>
              <w:top w:w="15" w:type="dxa"/>
              <w:left w:w="15" w:type="dxa"/>
              <w:right w:w="15" w:type="dxa"/>
            </w:tcMar>
            <w:vAlign w:val="center"/>
          </w:tcPr>
          <w:p w14:paraId="3E653386">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458" w:type="pct"/>
            <w:tcBorders>
              <w:tl2br w:val="nil"/>
              <w:tr2bl w:val="nil"/>
            </w:tcBorders>
            <w:shd w:val="clear" w:color="auto" w:fill="auto"/>
            <w:noWrap/>
            <w:tcMar>
              <w:top w:w="15" w:type="dxa"/>
              <w:left w:w="15" w:type="dxa"/>
              <w:right w:w="15" w:type="dxa"/>
            </w:tcMar>
            <w:vAlign w:val="center"/>
          </w:tcPr>
          <w:p w14:paraId="408CB21F">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HR-2-400</w:t>
            </w:r>
          </w:p>
        </w:tc>
        <w:tc>
          <w:tcPr>
            <w:tcW w:w="969" w:type="pct"/>
            <w:tcBorders>
              <w:tl2br w:val="nil"/>
              <w:tr2bl w:val="nil"/>
            </w:tcBorders>
            <w:shd w:val="clear" w:color="auto" w:fill="auto"/>
            <w:noWrap/>
            <w:tcMar>
              <w:top w:w="15" w:type="dxa"/>
              <w:left w:w="15" w:type="dxa"/>
              <w:right w:w="15" w:type="dxa"/>
            </w:tcMar>
            <w:vAlign w:val="center"/>
          </w:tcPr>
          <w:p w14:paraId="158D5645">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园区边界西侧下风向400m</w:t>
            </w:r>
          </w:p>
        </w:tc>
        <w:tc>
          <w:tcPr>
            <w:tcW w:w="458" w:type="pct"/>
            <w:tcBorders>
              <w:tl2br w:val="nil"/>
              <w:tr2bl w:val="nil"/>
            </w:tcBorders>
            <w:shd w:val="clear" w:color="auto" w:fill="auto"/>
            <w:noWrap/>
            <w:tcMar>
              <w:top w:w="15" w:type="dxa"/>
              <w:left w:w="15" w:type="dxa"/>
              <w:right w:w="15" w:type="dxa"/>
            </w:tcMar>
            <w:vAlign w:val="center"/>
          </w:tcPr>
          <w:p w14:paraId="1E4B4B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114.687824</w:t>
            </w:r>
          </w:p>
        </w:tc>
        <w:tc>
          <w:tcPr>
            <w:tcW w:w="507" w:type="pct"/>
            <w:tcBorders>
              <w:tl2br w:val="nil"/>
              <w:tr2bl w:val="nil"/>
            </w:tcBorders>
            <w:shd w:val="clear" w:color="auto" w:fill="auto"/>
            <w:noWrap/>
            <w:tcMar>
              <w:top w:w="15" w:type="dxa"/>
              <w:left w:w="15" w:type="dxa"/>
              <w:right w:w="15" w:type="dxa"/>
            </w:tcMar>
            <w:vAlign w:val="center"/>
          </w:tcPr>
          <w:p w14:paraId="199736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30.541925</w:t>
            </w:r>
          </w:p>
        </w:tc>
        <w:tc>
          <w:tcPr>
            <w:tcW w:w="371" w:type="pct"/>
            <w:vMerge w:val="continue"/>
            <w:tcBorders>
              <w:tl2br w:val="nil"/>
              <w:tr2bl w:val="nil"/>
            </w:tcBorders>
            <w:shd w:val="clear" w:color="auto" w:fill="auto"/>
            <w:noWrap/>
            <w:tcMar>
              <w:top w:w="15" w:type="dxa"/>
              <w:left w:w="15" w:type="dxa"/>
              <w:right w:w="15" w:type="dxa"/>
            </w:tcMar>
            <w:vAlign w:val="center"/>
          </w:tcPr>
          <w:p w14:paraId="15B3FCCE">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1594" w:type="pct"/>
            <w:vMerge w:val="continue"/>
            <w:tcBorders>
              <w:tl2br w:val="nil"/>
              <w:tr2bl w:val="nil"/>
            </w:tcBorders>
            <w:shd w:val="clear" w:color="auto" w:fill="auto"/>
            <w:noWrap/>
            <w:tcMar>
              <w:top w:w="15" w:type="dxa"/>
              <w:left w:w="15" w:type="dxa"/>
              <w:right w:w="15" w:type="dxa"/>
            </w:tcMar>
            <w:vAlign w:val="center"/>
          </w:tcPr>
          <w:p w14:paraId="42BA8823">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r>
      <w:tr w14:paraId="2DB05E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205" w:type="pct"/>
            <w:tcBorders>
              <w:tl2br w:val="nil"/>
              <w:tr2bl w:val="nil"/>
            </w:tcBorders>
            <w:shd w:val="clear" w:color="auto" w:fill="auto"/>
            <w:noWrap/>
            <w:tcMar>
              <w:top w:w="15" w:type="dxa"/>
              <w:left w:w="15" w:type="dxa"/>
              <w:right w:w="15" w:type="dxa"/>
            </w:tcMar>
            <w:vAlign w:val="center"/>
          </w:tcPr>
          <w:p w14:paraId="411456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7</w:t>
            </w:r>
          </w:p>
        </w:tc>
        <w:tc>
          <w:tcPr>
            <w:tcW w:w="434" w:type="pct"/>
            <w:vMerge w:val="continue"/>
            <w:tcBorders>
              <w:tl2br w:val="nil"/>
              <w:tr2bl w:val="nil"/>
            </w:tcBorders>
            <w:shd w:val="clear" w:color="auto" w:fill="auto"/>
            <w:noWrap/>
            <w:tcMar>
              <w:top w:w="15" w:type="dxa"/>
              <w:left w:w="15" w:type="dxa"/>
              <w:right w:w="15" w:type="dxa"/>
            </w:tcMar>
            <w:vAlign w:val="center"/>
          </w:tcPr>
          <w:p w14:paraId="7B2B7B0D">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458" w:type="pct"/>
            <w:tcBorders>
              <w:tl2br w:val="nil"/>
              <w:tr2bl w:val="nil"/>
            </w:tcBorders>
            <w:shd w:val="clear" w:color="auto" w:fill="auto"/>
            <w:noWrap/>
            <w:tcMar>
              <w:top w:w="15" w:type="dxa"/>
              <w:left w:w="15" w:type="dxa"/>
              <w:right w:w="15" w:type="dxa"/>
            </w:tcMar>
            <w:vAlign w:val="center"/>
          </w:tcPr>
          <w:p w14:paraId="3583F738">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HR-3-75</w:t>
            </w:r>
          </w:p>
        </w:tc>
        <w:tc>
          <w:tcPr>
            <w:tcW w:w="969" w:type="pct"/>
            <w:tcBorders>
              <w:tl2br w:val="nil"/>
              <w:tr2bl w:val="nil"/>
            </w:tcBorders>
            <w:shd w:val="clear" w:color="auto" w:fill="auto"/>
            <w:noWrap/>
            <w:tcMar>
              <w:top w:w="15" w:type="dxa"/>
              <w:left w:w="15" w:type="dxa"/>
              <w:right w:w="15" w:type="dxa"/>
            </w:tcMar>
            <w:vAlign w:val="center"/>
          </w:tcPr>
          <w:p w14:paraId="55A7907B">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园区边界南侧下风向75m</w:t>
            </w:r>
          </w:p>
        </w:tc>
        <w:tc>
          <w:tcPr>
            <w:tcW w:w="458" w:type="pct"/>
            <w:tcBorders>
              <w:tl2br w:val="nil"/>
              <w:tr2bl w:val="nil"/>
            </w:tcBorders>
            <w:shd w:val="clear" w:color="auto" w:fill="auto"/>
            <w:noWrap/>
            <w:tcMar>
              <w:top w:w="15" w:type="dxa"/>
              <w:left w:w="15" w:type="dxa"/>
              <w:right w:w="15" w:type="dxa"/>
            </w:tcMar>
            <w:vAlign w:val="center"/>
          </w:tcPr>
          <w:p w14:paraId="311DED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114.728390</w:t>
            </w:r>
          </w:p>
        </w:tc>
        <w:tc>
          <w:tcPr>
            <w:tcW w:w="507" w:type="pct"/>
            <w:tcBorders>
              <w:tl2br w:val="nil"/>
              <w:tr2bl w:val="nil"/>
            </w:tcBorders>
            <w:shd w:val="clear" w:color="auto" w:fill="auto"/>
            <w:noWrap/>
            <w:tcMar>
              <w:top w:w="15" w:type="dxa"/>
              <w:left w:w="15" w:type="dxa"/>
              <w:right w:w="15" w:type="dxa"/>
            </w:tcMar>
            <w:vAlign w:val="center"/>
          </w:tcPr>
          <w:p w14:paraId="7B326B9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30.521216</w:t>
            </w:r>
          </w:p>
        </w:tc>
        <w:tc>
          <w:tcPr>
            <w:tcW w:w="371" w:type="pct"/>
            <w:vMerge w:val="continue"/>
            <w:tcBorders>
              <w:tl2br w:val="nil"/>
              <w:tr2bl w:val="nil"/>
            </w:tcBorders>
            <w:shd w:val="clear" w:color="auto" w:fill="auto"/>
            <w:noWrap/>
            <w:tcMar>
              <w:top w:w="15" w:type="dxa"/>
              <w:left w:w="15" w:type="dxa"/>
              <w:right w:w="15" w:type="dxa"/>
            </w:tcMar>
            <w:vAlign w:val="center"/>
          </w:tcPr>
          <w:p w14:paraId="635F750B">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1594" w:type="pct"/>
            <w:vMerge w:val="restart"/>
            <w:tcBorders>
              <w:tl2br w:val="nil"/>
              <w:tr2bl w:val="nil"/>
            </w:tcBorders>
            <w:shd w:val="clear" w:color="auto" w:fill="auto"/>
            <w:noWrap/>
            <w:tcMar>
              <w:top w:w="15" w:type="dxa"/>
              <w:left w:w="15" w:type="dxa"/>
              <w:right w:w="15" w:type="dxa"/>
            </w:tcMar>
            <w:vAlign w:val="center"/>
          </w:tcPr>
          <w:p w14:paraId="6398A39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highlight w:val="none"/>
              </w:rPr>
            </w:pPr>
            <w:r>
              <w:rPr>
                <w:rFonts w:hint="default" w:ascii="Times New Roman" w:hAnsi="Times New Roman" w:cs="Times New Roman" w:eastAsiaTheme="minorEastAsia"/>
                <w:kern w:val="0"/>
                <w:sz w:val="21"/>
                <w:szCs w:val="21"/>
                <w:highlight w:val="none"/>
                <w:lang w:val="en-US" w:eastAsia="zh-CN"/>
              </w:rPr>
              <w:t>基本项目（48项）、园区增测项目（3项）</w:t>
            </w:r>
          </w:p>
          <w:p w14:paraId="39B247F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highlight w:val="none"/>
              </w:rPr>
            </w:pPr>
          </w:p>
          <w:p w14:paraId="7F0AECAF">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r>
      <w:tr w14:paraId="1E082A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205" w:type="pct"/>
            <w:tcBorders>
              <w:tl2br w:val="nil"/>
              <w:tr2bl w:val="nil"/>
            </w:tcBorders>
            <w:shd w:val="clear" w:color="auto" w:fill="auto"/>
            <w:noWrap/>
            <w:tcMar>
              <w:top w:w="15" w:type="dxa"/>
              <w:left w:w="15" w:type="dxa"/>
              <w:right w:w="15" w:type="dxa"/>
            </w:tcMar>
            <w:vAlign w:val="center"/>
          </w:tcPr>
          <w:p w14:paraId="28A9D0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8</w:t>
            </w:r>
          </w:p>
        </w:tc>
        <w:tc>
          <w:tcPr>
            <w:tcW w:w="434" w:type="pct"/>
            <w:vMerge w:val="continue"/>
            <w:tcBorders>
              <w:tl2br w:val="nil"/>
              <w:tr2bl w:val="nil"/>
            </w:tcBorders>
            <w:shd w:val="clear" w:color="auto" w:fill="auto"/>
            <w:noWrap/>
            <w:tcMar>
              <w:top w:w="15" w:type="dxa"/>
              <w:left w:w="15" w:type="dxa"/>
              <w:right w:w="15" w:type="dxa"/>
            </w:tcMar>
            <w:vAlign w:val="center"/>
          </w:tcPr>
          <w:p w14:paraId="343B01A9">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458" w:type="pct"/>
            <w:tcBorders>
              <w:tl2br w:val="nil"/>
              <w:tr2bl w:val="nil"/>
            </w:tcBorders>
            <w:shd w:val="clear" w:color="auto" w:fill="auto"/>
            <w:noWrap/>
            <w:tcMar>
              <w:top w:w="15" w:type="dxa"/>
              <w:left w:w="15" w:type="dxa"/>
              <w:right w:w="15" w:type="dxa"/>
            </w:tcMar>
            <w:vAlign w:val="center"/>
          </w:tcPr>
          <w:p w14:paraId="7AFDD9E6">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HR-3-200</w:t>
            </w:r>
          </w:p>
        </w:tc>
        <w:tc>
          <w:tcPr>
            <w:tcW w:w="969" w:type="pct"/>
            <w:tcBorders>
              <w:tl2br w:val="nil"/>
              <w:tr2bl w:val="nil"/>
            </w:tcBorders>
            <w:shd w:val="clear" w:color="auto" w:fill="auto"/>
            <w:noWrap/>
            <w:tcMar>
              <w:top w:w="15" w:type="dxa"/>
              <w:left w:w="15" w:type="dxa"/>
              <w:right w:w="15" w:type="dxa"/>
            </w:tcMar>
            <w:vAlign w:val="center"/>
          </w:tcPr>
          <w:p w14:paraId="49556A0C">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园区边界南侧下风向200m</w:t>
            </w:r>
          </w:p>
        </w:tc>
        <w:tc>
          <w:tcPr>
            <w:tcW w:w="458" w:type="pct"/>
            <w:tcBorders>
              <w:tl2br w:val="nil"/>
              <w:tr2bl w:val="nil"/>
            </w:tcBorders>
            <w:shd w:val="clear" w:color="auto" w:fill="auto"/>
            <w:noWrap/>
            <w:tcMar>
              <w:top w:w="15" w:type="dxa"/>
              <w:left w:w="15" w:type="dxa"/>
              <w:right w:w="15" w:type="dxa"/>
            </w:tcMar>
            <w:vAlign w:val="center"/>
          </w:tcPr>
          <w:p w14:paraId="76B9CA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114.728218</w:t>
            </w:r>
          </w:p>
        </w:tc>
        <w:tc>
          <w:tcPr>
            <w:tcW w:w="507" w:type="pct"/>
            <w:tcBorders>
              <w:tl2br w:val="nil"/>
              <w:tr2bl w:val="nil"/>
            </w:tcBorders>
            <w:shd w:val="clear" w:color="auto" w:fill="auto"/>
            <w:noWrap/>
            <w:tcMar>
              <w:top w:w="15" w:type="dxa"/>
              <w:left w:w="15" w:type="dxa"/>
              <w:right w:w="15" w:type="dxa"/>
            </w:tcMar>
            <w:vAlign w:val="center"/>
          </w:tcPr>
          <w:p w14:paraId="19E7D5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30.520079</w:t>
            </w:r>
          </w:p>
        </w:tc>
        <w:tc>
          <w:tcPr>
            <w:tcW w:w="371" w:type="pct"/>
            <w:vMerge w:val="continue"/>
            <w:tcBorders>
              <w:tl2br w:val="nil"/>
              <w:tr2bl w:val="nil"/>
            </w:tcBorders>
            <w:shd w:val="clear" w:color="auto" w:fill="auto"/>
            <w:noWrap/>
            <w:tcMar>
              <w:top w:w="15" w:type="dxa"/>
              <w:left w:w="15" w:type="dxa"/>
              <w:right w:w="15" w:type="dxa"/>
            </w:tcMar>
            <w:vAlign w:val="center"/>
          </w:tcPr>
          <w:p w14:paraId="0A65B138">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1594" w:type="pct"/>
            <w:vMerge w:val="continue"/>
            <w:tcBorders>
              <w:tl2br w:val="nil"/>
              <w:tr2bl w:val="nil"/>
            </w:tcBorders>
            <w:shd w:val="clear" w:color="auto" w:fill="auto"/>
            <w:noWrap/>
            <w:tcMar>
              <w:top w:w="15" w:type="dxa"/>
              <w:left w:w="15" w:type="dxa"/>
              <w:right w:w="15" w:type="dxa"/>
            </w:tcMar>
            <w:vAlign w:val="center"/>
          </w:tcPr>
          <w:p w14:paraId="5AF36BE6">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r>
      <w:tr w14:paraId="128DB5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205" w:type="pct"/>
            <w:tcBorders>
              <w:tl2br w:val="nil"/>
              <w:tr2bl w:val="nil"/>
            </w:tcBorders>
            <w:shd w:val="clear" w:color="auto" w:fill="auto"/>
            <w:noWrap/>
            <w:tcMar>
              <w:top w:w="15" w:type="dxa"/>
              <w:left w:w="15" w:type="dxa"/>
              <w:right w:w="15" w:type="dxa"/>
            </w:tcMar>
            <w:vAlign w:val="center"/>
          </w:tcPr>
          <w:p w14:paraId="7CA11E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9</w:t>
            </w:r>
          </w:p>
        </w:tc>
        <w:tc>
          <w:tcPr>
            <w:tcW w:w="434" w:type="pct"/>
            <w:vMerge w:val="continue"/>
            <w:tcBorders>
              <w:tl2br w:val="nil"/>
              <w:tr2bl w:val="nil"/>
            </w:tcBorders>
            <w:shd w:val="clear" w:color="auto" w:fill="auto"/>
            <w:noWrap/>
            <w:tcMar>
              <w:top w:w="15" w:type="dxa"/>
              <w:left w:w="15" w:type="dxa"/>
              <w:right w:w="15" w:type="dxa"/>
            </w:tcMar>
            <w:vAlign w:val="center"/>
          </w:tcPr>
          <w:p w14:paraId="20ADC13B">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458" w:type="pct"/>
            <w:tcBorders>
              <w:tl2br w:val="nil"/>
              <w:tr2bl w:val="nil"/>
            </w:tcBorders>
            <w:shd w:val="clear" w:color="auto" w:fill="auto"/>
            <w:noWrap/>
            <w:tcMar>
              <w:top w:w="15" w:type="dxa"/>
              <w:left w:w="15" w:type="dxa"/>
              <w:right w:w="15" w:type="dxa"/>
            </w:tcMar>
            <w:vAlign w:val="center"/>
          </w:tcPr>
          <w:p w14:paraId="5A6A553F">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HR-3-400</w:t>
            </w:r>
          </w:p>
        </w:tc>
        <w:tc>
          <w:tcPr>
            <w:tcW w:w="969" w:type="pct"/>
            <w:tcBorders>
              <w:tl2br w:val="nil"/>
              <w:tr2bl w:val="nil"/>
            </w:tcBorders>
            <w:shd w:val="clear" w:color="auto" w:fill="auto"/>
            <w:noWrap/>
            <w:tcMar>
              <w:top w:w="15" w:type="dxa"/>
              <w:left w:w="15" w:type="dxa"/>
              <w:right w:w="15" w:type="dxa"/>
            </w:tcMar>
            <w:vAlign w:val="center"/>
          </w:tcPr>
          <w:p w14:paraId="0F1EDABF">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园区边界南侧下风向400m</w:t>
            </w:r>
          </w:p>
        </w:tc>
        <w:tc>
          <w:tcPr>
            <w:tcW w:w="458" w:type="pct"/>
            <w:tcBorders>
              <w:tl2br w:val="nil"/>
              <w:tr2bl w:val="nil"/>
            </w:tcBorders>
            <w:shd w:val="clear" w:color="auto" w:fill="auto"/>
            <w:noWrap/>
            <w:tcMar>
              <w:top w:w="15" w:type="dxa"/>
              <w:left w:w="15" w:type="dxa"/>
              <w:right w:w="15" w:type="dxa"/>
            </w:tcMar>
            <w:vAlign w:val="center"/>
          </w:tcPr>
          <w:p w14:paraId="6D1161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114.728014</w:t>
            </w:r>
          </w:p>
        </w:tc>
        <w:tc>
          <w:tcPr>
            <w:tcW w:w="507" w:type="pct"/>
            <w:tcBorders>
              <w:tl2br w:val="nil"/>
              <w:tr2bl w:val="nil"/>
            </w:tcBorders>
            <w:shd w:val="clear" w:color="auto" w:fill="auto"/>
            <w:noWrap/>
            <w:tcMar>
              <w:top w:w="15" w:type="dxa"/>
              <w:left w:w="15" w:type="dxa"/>
              <w:right w:w="15" w:type="dxa"/>
            </w:tcMar>
            <w:vAlign w:val="center"/>
          </w:tcPr>
          <w:p w14:paraId="245B0A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30.518295</w:t>
            </w:r>
          </w:p>
        </w:tc>
        <w:tc>
          <w:tcPr>
            <w:tcW w:w="371" w:type="pct"/>
            <w:vMerge w:val="continue"/>
            <w:tcBorders>
              <w:tl2br w:val="nil"/>
              <w:tr2bl w:val="nil"/>
            </w:tcBorders>
            <w:shd w:val="clear" w:color="auto" w:fill="auto"/>
            <w:noWrap/>
            <w:tcMar>
              <w:top w:w="15" w:type="dxa"/>
              <w:left w:w="15" w:type="dxa"/>
              <w:right w:w="15" w:type="dxa"/>
            </w:tcMar>
            <w:vAlign w:val="center"/>
          </w:tcPr>
          <w:p w14:paraId="5AFFE14A">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1594" w:type="pct"/>
            <w:vMerge w:val="continue"/>
            <w:tcBorders>
              <w:tl2br w:val="nil"/>
              <w:tr2bl w:val="nil"/>
            </w:tcBorders>
            <w:shd w:val="clear" w:color="auto" w:fill="auto"/>
            <w:noWrap/>
            <w:tcMar>
              <w:top w:w="15" w:type="dxa"/>
              <w:left w:w="15" w:type="dxa"/>
              <w:right w:w="15" w:type="dxa"/>
            </w:tcMar>
            <w:vAlign w:val="center"/>
          </w:tcPr>
          <w:p w14:paraId="28A1BEDA">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r>
      <w:tr w14:paraId="2540CB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205" w:type="pct"/>
            <w:tcBorders>
              <w:tl2br w:val="nil"/>
              <w:tr2bl w:val="nil"/>
            </w:tcBorders>
            <w:shd w:val="clear" w:color="auto" w:fill="auto"/>
            <w:noWrap/>
            <w:tcMar>
              <w:top w:w="15" w:type="dxa"/>
              <w:left w:w="15" w:type="dxa"/>
              <w:right w:w="15" w:type="dxa"/>
            </w:tcMar>
            <w:vAlign w:val="center"/>
          </w:tcPr>
          <w:p w14:paraId="453BB0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10</w:t>
            </w:r>
          </w:p>
        </w:tc>
        <w:tc>
          <w:tcPr>
            <w:tcW w:w="434" w:type="pct"/>
            <w:vMerge w:val="continue"/>
            <w:tcBorders>
              <w:tl2br w:val="nil"/>
              <w:tr2bl w:val="nil"/>
            </w:tcBorders>
            <w:shd w:val="clear" w:color="auto" w:fill="auto"/>
            <w:noWrap/>
            <w:tcMar>
              <w:top w:w="15" w:type="dxa"/>
              <w:left w:w="15" w:type="dxa"/>
              <w:right w:w="15" w:type="dxa"/>
            </w:tcMar>
            <w:vAlign w:val="center"/>
          </w:tcPr>
          <w:p w14:paraId="10CF5467">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458" w:type="pct"/>
            <w:tcBorders>
              <w:tl2br w:val="nil"/>
              <w:tr2bl w:val="nil"/>
            </w:tcBorders>
            <w:shd w:val="clear" w:color="auto" w:fill="auto"/>
            <w:noWrap/>
            <w:tcMar>
              <w:top w:w="15" w:type="dxa"/>
              <w:left w:w="15" w:type="dxa"/>
              <w:right w:w="15" w:type="dxa"/>
            </w:tcMar>
            <w:vAlign w:val="center"/>
          </w:tcPr>
          <w:p w14:paraId="78A001AA">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HR-4-75</w:t>
            </w:r>
          </w:p>
        </w:tc>
        <w:tc>
          <w:tcPr>
            <w:tcW w:w="969" w:type="pct"/>
            <w:tcBorders>
              <w:tl2br w:val="nil"/>
              <w:tr2bl w:val="nil"/>
            </w:tcBorders>
            <w:shd w:val="clear" w:color="auto" w:fill="auto"/>
            <w:noWrap/>
            <w:tcMar>
              <w:top w:w="15" w:type="dxa"/>
              <w:left w:w="15" w:type="dxa"/>
              <w:right w:w="15" w:type="dxa"/>
            </w:tcMar>
            <w:vAlign w:val="center"/>
          </w:tcPr>
          <w:p w14:paraId="0CC37C58">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园区边界南侧下风向75m</w:t>
            </w:r>
          </w:p>
        </w:tc>
        <w:tc>
          <w:tcPr>
            <w:tcW w:w="458" w:type="pct"/>
            <w:tcBorders>
              <w:tl2br w:val="nil"/>
              <w:tr2bl w:val="nil"/>
            </w:tcBorders>
            <w:shd w:val="clear" w:color="auto" w:fill="auto"/>
            <w:noWrap/>
            <w:tcMar>
              <w:top w:w="15" w:type="dxa"/>
              <w:left w:w="15" w:type="dxa"/>
              <w:right w:w="15" w:type="dxa"/>
            </w:tcMar>
            <w:vAlign w:val="center"/>
          </w:tcPr>
          <w:p w14:paraId="47B7FB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114.703070</w:t>
            </w:r>
          </w:p>
        </w:tc>
        <w:tc>
          <w:tcPr>
            <w:tcW w:w="507" w:type="pct"/>
            <w:tcBorders>
              <w:tl2br w:val="nil"/>
              <w:tr2bl w:val="nil"/>
            </w:tcBorders>
            <w:shd w:val="clear" w:color="auto" w:fill="auto"/>
            <w:noWrap/>
            <w:tcMar>
              <w:top w:w="15" w:type="dxa"/>
              <w:left w:w="15" w:type="dxa"/>
              <w:right w:w="15" w:type="dxa"/>
            </w:tcMar>
            <w:vAlign w:val="center"/>
          </w:tcPr>
          <w:p w14:paraId="7FA542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30.527999</w:t>
            </w:r>
          </w:p>
        </w:tc>
        <w:tc>
          <w:tcPr>
            <w:tcW w:w="371" w:type="pct"/>
            <w:vMerge w:val="continue"/>
            <w:tcBorders>
              <w:tl2br w:val="nil"/>
              <w:tr2bl w:val="nil"/>
            </w:tcBorders>
            <w:shd w:val="clear" w:color="auto" w:fill="auto"/>
            <w:noWrap/>
            <w:tcMar>
              <w:top w:w="15" w:type="dxa"/>
              <w:left w:w="15" w:type="dxa"/>
              <w:right w:w="15" w:type="dxa"/>
            </w:tcMar>
            <w:vAlign w:val="center"/>
          </w:tcPr>
          <w:p w14:paraId="5360EE6D">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1594" w:type="pct"/>
            <w:vMerge w:val="continue"/>
            <w:tcBorders>
              <w:tl2br w:val="nil"/>
              <w:tr2bl w:val="nil"/>
            </w:tcBorders>
            <w:shd w:val="clear" w:color="auto" w:fill="auto"/>
            <w:noWrap/>
            <w:tcMar>
              <w:top w:w="15" w:type="dxa"/>
              <w:left w:w="15" w:type="dxa"/>
              <w:right w:w="15" w:type="dxa"/>
            </w:tcMar>
            <w:vAlign w:val="center"/>
          </w:tcPr>
          <w:p w14:paraId="358364F9">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r>
      <w:tr w14:paraId="4FAF9F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205" w:type="pct"/>
            <w:tcBorders>
              <w:tl2br w:val="nil"/>
              <w:tr2bl w:val="nil"/>
            </w:tcBorders>
            <w:shd w:val="clear" w:color="auto" w:fill="auto"/>
            <w:noWrap/>
            <w:tcMar>
              <w:top w:w="15" w:type="dxa"/>
              <w:left w:w="15" w:type="dxa"/>
              <w:right w:w="15" w:type="dxa"/>
            </w:tcMar>
            <w:vAlign w:val="center"/>
          </w:tcPr>
          <w:p w14:paraId="4D8078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11</w:t>
            </w:r>
          </w:p>
        </w:tc>
        <w:tc>
          <w:tcPr>
            <w:tcW w:w="434" w:type="pct"/>
            <w:vMerge w:val="continue"/>
            <w:tcBorders>
              <w:tl2br w:val="nil"/>
              <w:tr2bl w:val="nil"/>
            </w:tcBorders>
            <w:shd w:val="clear" w:color="auto" w:fill="auto"/>
            <w:noWrap/>
            <w:tcMar>
              <w:top w:w="15" w:type="dxa"/>
              <w:left w:w="15" w:type="dxa"/>
              <w:right w:w="15" w:type="dxa"/>
            </w:tcMar>
            <w:vAlign w:val="center"/>
          </w:tcPr>
          <w:p w14:paraId="2F948164">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458" w:type="pct"/>
            <w:tcBorders>
              <w:tl2br w:val="nil"/>
              <w:tr2bl w:val="nil"/>
            </w:tcBorders>
            <w:shd w:val="clear" w:color="auto" w:fill="auto"/>
            <w:noWrap/>
            <w:tcMar>
              <w:top w:w="15" w:type="dxa"/>
              <w:left w:w="15" w:type="dxa"/>
              <w:right w:w="15" w:type="dxa"/>
            </w:tcMar>
            <w:vAlign w:val="center"/>
          </w:tcPr>
          <w:p w14:paraId="64C2E6C1">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HR-4-200</w:t>
            </w:r>
          </w:p>
        </w:tc>
        <w:tc>
          <w:tcPr>
            <w:tcW w:w="969" w:type="pct"/>
            <w:tcBorders>
              <w:tl2br w:val="nil"/>
              <w:tr2bl w:val="nil"/>
            </w:tcBorders>
            <w:shd w:val="clear" w:color="auto" w:fill="auto"/>
            <w:noWrap/>
            <w:tcMar>
              <w:top w:w="15" w:type="dxa"/>
              <w:left w:w="15" w:type="dxa"/>
              <w:right w:w="15" w:type="dxa"/>
            </w:tcMar>
            <w:vAlign w:val="center"/>
          </w:tcPr>
          <w:p w14:paraId="551D343B">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园区边界南侧下风向200m</w:t>
            </w:r>
          </w:p>
        </w:tc>
        <w:tc>
          <w:tcPr>
            <w:tcW w:w="458" w:type="pct"/>
            <w:tcBorders>
              <w:tl2br w:val="nil"/>
              <w:tr2bl w:val="nil"/>
            </w:tcBorders>
            <w:shd w:val="clear" w:color="auto" w:fill="auto"/>
            <w:noWrap/>
            <w:tcMar>
              <w:top w:w="15" w:type="dxa"/>
              <w:left w:w="15" w:type="dxa"/>
              <w:right w:w="15" w:type="dxa"/>
            </w:tcMar>
            <w:vAlign w:val="center"/>
          </w:tcPr>
          <w:p w14:paraId="4B6350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114.702922</w:t>
            </w:r>
          </w:p>
        </w:tc>
        <w:tc>
          <w:tcPr>
            <w:tcW w:w="507" w:type="pct"/>
            <w:tcBorders>
              <w:tl2br w:val="nil"/>
              <w:tr2bl w:val="nil"/>
            </w:tcBorders>
            <w:shd w:val="clear" w:color="auto" w:fill="auto"/>
            <w:noWrap/>
            <w:tcMar>
              <w:top w:w="15" w:type="dxa"/>
              <w:left w:w="15" w:type="dxa"/>
              <w:right w:w="15" w:type="dxa"/>
            </w:tcMar>
            <w:vAlign w:val="center"/>
          </w:tcPr>
          <w:p w14:paraId="4D9B20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30.526879</w:t>
            </w:r>
          </w:p>
        </w:tc>
        <w:tc>
          <w:tcPr>
            <w:tcW w:w="371" w:type="pct"/>
            <w:vMerge w:val="continue"/>
            <w:tcBorders>
              <w:tl2br w:val="nil"/>
              <w:tr2bl w:val="nil"/>
            </w:tcBorders>
            <w:shd w:val="clear" w:color="auto" w:fill="auto"/>
            <w:noWrap/>
            <w:tcMar>
              <w:top w:w="15" w:type="dxa"/>
              <w:left w:w="15" w:type="dxa"/>
              <w:right w:w="15" w:type="dxa"/>
            </w:tcMar>
            <w:vAlign w:val="center"/>
          </w:tcPr>
          <w:p w14:paraId="3F1A9BB0">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1594" w:type="pct"/>
            <w:vMerge w:val="continue"/>
            <w:tcBorders>
              <w:tl2br w:val="nil"/>
              <w:tr2bl w:val="nil"/>
            </w:tcBorders>
            <w:shd w:val="clear" w:color="auto" w:fill="auto"/>
            <w:noWrap/>
            <w:tcMar>
              <w:top w:w="15" w:type="dxa"/>
              <w:left w:w="15" w:type="dxa"/>
              <w:right w:w="15" w:type="dxa"/>
            </w:tcMar>
            <w:vAlign w:val="center"/>
          </w:tcPr>
          <w:p w14:paraId="3910DB3E">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r>
      <w:tr w14:paraId="486C68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205" w:type="pct"/>
            <w:tcBorders>
              <w:tl2br w:val="nil"/>
              <w:tr2bl w:val="nil"/>
            </w:tcBorders>
            <w:shd w:val="clear" w:color="auto" w:fill="auto"/>
            <w:noWrap/>
            <w:tcMar>
              <w:top w:w="15" w:type="dxa"/>
              <w:left w:w="15" w:type="dxa"/>
              <w:right w:w="15" w:type="dxa"/>
            </w:tcMar>
            <w:vAlign w:val="center"/>
          </w:tcPr>
          <w:p w14:paraId="38DD82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12</w:t>
            </w:r>
          </w:p>
        </w:tc>
        <w:tc>
          <w:tcPr>
            <w:tcW w:w="434" w:type="pct"/>
            <w:vMerge w:val="continue"/>
            <w:tcBorders>
              <w:tl2br w:val="nil"/>
              <w:tr2bl w:val="nil"/>
            </w:tcBorders>
            <w:shd w:val="clear" w:color="auto" w:fill="auto"/>
            <w:noWrap/>
            <w:tcMar>
              <w:top w:w="15" w:type="dxa"/>
              <w:left w:w="15" w:type="dxa"/>
              <w:right w:w="15" w:type="dxa"/>
            </w:tcMar>
            <w:vAlign w:val="center"/>
          </w:tcPr>
          <w:p w14:paraId="4422A69E">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458" w:type="pct"/>
            <w:tcBorders>
              <w:tl2br w:val="nil"/>
              <w:tr2bl w:val="nil"/>
            </w:tcBorders>
            <w:shd w:val="clear" w:color="auto" w:fill="auto"/>
            <w:noWrap/>
            <w:tcMar>
              <w:top w:w="15" w:type="dxa"/>
              <w:left w:w="15" w:type="dxa"/>
              <w:right w:w="15" w:type="dxa"/>
            </w:tcMar>
            <w:vAlign w:val="center"/>
          </w:tcPr>
          <w:p w14:paraId="24A36705">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HR-4-400</w:t>
            </w:r>
          </w:p>
        </w:tc>
        <w:tc>
          <w:tcPr>
            <w:tcW w:w="969" w:type="pct"/>
            <w:tcBorders>
              <w:tl2br w:val="nil"/>
              <w:tr2bl w:val="nil"/>
            </w:tcBorders>
            <w:shd w:val="clear" w:color="auto" w:fill="auto"/>
            <w:noWrap/>
            <w:tcMar>
              <w:top w:w="15" w:type="dxa"/>
              <w:left w:w="15" w:type="dxa"/>
              <w:right w:w="15" w:type="dxa"/>
            </w:tcMar>
            <w:vAlign w:val="center"/>
          </w:tcPr>
          <w:p w14:paraId="209B47CA">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园区边界南侧下风向400m</w:t>
            </w:r>
          </w:p>
        </w:tc>
        <w:tc>
          <w:tcPr>
            <w:tcW w:w="458" w:type="pct"/>
            <w:tcBorders>
              <w:tl2br w:val="nil"/>
              <w:tr2bl w:val="nil"/>
            </w:tcBorders>
            <w:shd w:val="clear" w:color="auto" w:fill="auto"/>
            <w:noWrap/>
            <w:tcMar>
              <w:top w:w="15" w:type="dxa"/>
              <w:left w:w="15" w:type="dxa"/>
              <w:right w:w="15" w:type="dxa"/>
            </w:tcMar>
            <w:vAlign w:val="center"/>
          </w:tcPr>
          <w:p w14:paraId="44FC11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114.703089</w:t>
            </w:r>
          </w:p>
        </w:tc>
        <w:tc>
          <w:tcPr>
            <w:tcW w:w="507" w:type="pct"/>
            <w:tcBorders>
              <w:tl2br w:val="nil"/>
              <w:tr2bl w:val="nil"/>
            </w:tcBorders>
            <w:shd w:val="clear" w:color="auto" w:fill="auto"/>
            <w:noWrap/>
            <w:tcMar>
              <w:top w:w="15" w:type="dxa"/>
              <w:left w:w="15" w:type="dxa"/>
              <w:right w:w="15" w:type="dxa"/>
            </w:tcMar>
            <w:vAlign w:val="center"/>
          </w:tcPr>
          <w:p w14:paraId="3AC7A9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30.525021</w:t>
            </w:r>
          </w:p>
        </w:tc>
        <w:tc>
          <w:tcPr>
            <w:tcW w:w="371" w:type="pct"/>
            <w:vMerge w:val="continue"/>
            <w:tcBorders>
              <w:tl2br w:val="nil"/>
              <w:tr2bl w:val="nil"/>
            </w:tcBorders>
            <w:shd w:val="clear" w:color="auto" w:fill="auto"/>
            <w:noWrap/>
            <w:tcMar>
              <w:top w:w="15" w:type="dxa"/>
              <w:left w:w="15" w:type="dxa"/>
              <w:right w:w="15" w:type="dxa"/>
            </w:tcMar>
            <w:vAlign w:val="center"/>
          </w:tcPr>
          <w:p w14:paraId="521FC872">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1594" w:type="pct"/>
            <w:vMerge w:val="continue"/>
            <w:tcBorders>
              <w:tl2br w:val="nil"/>
              <w:tr2bl w:val="nil"/>
            </w:tcBorders>
            <w:shd w:val="clear" w:color="auto" w:fill="auto"/>
            <w:noWrap/>
            <w:tcMar>
              <w:top w:w="15" w:type="dxa"/>
              <w:left w:w="15" w:type="dxa"/>
              <w:right w:w="15" w:type="dxa"/>
            </w:tcMar>
            <w:vAlign w:val="center"/>
          </w:tcPr>
          <w:p w14:paraId="6AE5E9ED">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r>
      <w:tr w14:paraId="4F90AF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PrEx>
        <w:trPr>
          <w:cantSplit/>
          <w:trHeight w:val="272" w:hRule="atLeast"/>
          <w:jc w:val="center"/>
        </w:trPr>
        <w:tc>
          <w:tcPr>
            <w:tcW w:w="205" w:type="pct"/>
            <w:tcBorders>
              <w:tl2br w:val="nil"/>
              <w:tr2bl w:val="nil"/>
            </w:tcBorders>
            <w:shd w:val="clear" w:color="auto" w:fill="auto"/>
            <w:noWrap/>
            <w:tcMar>
              <w:top w:w="15" w:type="dxa"/>
              <w:left w:w="15" w:type="dxa"/>
              <w:right w:w="15" w:type="dxa"/>
            </w:tcMar>
            <w:vAlign w:val="center"/>
          </w:tcPr>
          <w:p w14:paraId="67CBFA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13</w:t>
            </w:r>
          </w:p>
        </w:tc>
        <w:tc>
          <w:tcPr>
            <w:tcW w:w="434" w:type="pct"/>
            <w:vMerge w:val="continue"/>
            <w:tcBorders>
              <w:tl2br w:val="nil"/>
              <w:tr2bl w:val="nil"/>
            </w:tcBorders>
            <w:shd w:val="clear" w:color="auto" w:fill="auto"/>
            <w:noWrap/>
            <w:tcMar>
              <w:top w:w="15" w:type="dxa"/>
              <w:left w:w="15" w:type="dxa"/>
              <w:right w:w="15" w:type="dxa"/>
            </w:tcMar>
            <w:vAlign w:val="center"/>
          </w:tcPr>
          <w:p w14:paraId="3729A19B">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458" w:type="pct"/>
            <w:tcBorders>
              <w:tl2br w:val="nil"/>
              <w:tr2bl w:val="nil"/>
            </w:tcBorders>
            <w:shd w:val="clear" w:color="auto" w:fill="auto"/>
            <w:noWrap/>
            <w:tcMar>
              <w:top w:w="15" w:type="dxa"/>
              <w:left w:w="15" w:type="dxa"/>
              <w:right w:w="15" w:type="dxa"/>
            </w:tcMar>
            <w:vAlign w:val="center"/>
          </w:tcPr>
          <w:p w14:paraId="44E56F08">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HR-5</w:t>
            </w:r>
          </w:p>
        </w:tc>
        <w:tc>
          <w:tcPr>
            <w:tcW w:w="969" w:type="pct"/>
            <w:tcBorders>
              <w:tl2br w:val="nil"/>
              <w:tr2bl w:val="nil"/>
            </w:tcBorders>
            <w:shd w:val="clear" w:color="auto" w:fill="auto"/>
            <w:noWrap/>
            <w:tcMar>
              <w:top w:w="15" w:type="dxa"/>
              <w:left w:w="15" w:type="dxa"/>
              <w:right w:w="15" w:type="dxa"/>
            </w:tcMar>
            <w:vAlign w:val="center"/>
          </w:tcPr>
          <w:p w14:paraId="0E728B38">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园区边界北侧上风向20m</w:t>
            </w:r>
            <w:r>
              <w:rPr>
                <w:rFonts w:hint="eastAsia" w:cs="Times New Roman"/>
                <w:sz w:val="21"/>
                <w:szCs w:val="21"/>
                <w:highlight w:val="none"/>
                <w:lang w:val="en-US" w:eastAsia="zh-CN"/>
              </w:rPr>
              <w:t>外</w:t>
            </w:r>
          </w:p>
        </w:tc>
        <w:tc>
          <w:tcPr>
            <w:tcW w:w="458" w:type="pct"/>
            <w:tcBorders>
              <w:tl2br w:val="nil"/>
              <w:tr2bl w:val="nil"/>
            </w:tcBorders>
            <w:shd w:val="clear" w:color="auto" w:fill="auto"/>
            <w:noWrap/>
            <w:tcMar>
              <w:top w:w="15" w:type="dxa"/>
              <w:left w:w="15" w:type="dxa"/>
              <w:right w:w="15" w:type="dxa"/>
            </w:tcMar>
            <w:vAlign w:val="center"/>
          </w:tcPr>
          <w:p w14:paraId="73E3D4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114.712393</w:t>
            </w:r>
          </w:p>
        </w:tc>
        <w:tc>
          <w:tcPr>
            <w:tcW w:w="507" w:type="pct"/>
            <w:tcBorders>
              <w:tl2br w:val="nil"/>
              <w:tr2bl w:val="nil"/>
            </w:tcBorders>
            <w:shd w:val="clear" w:color="auto" w:fill="auto"/>
            <w:noWrap/>
            <w:tcMar>
              <w:top w:w="15" w:type="dxa"/>
              <w:left w:w="15" w:type="dxa"/>
              <w:right w:w="15" w:type="dxa"/>
            </w:tcMar>
            <w:vAlign w:val="center"/>
          </w:tcPr>
          <w:p w14:paraId="6BF4B4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30.546388</w:t>
            </w:r>
          </w:p>
        </w:tc>
        <w:tc>
          <w:tcPr>
            <w:tcW w:w="371" w:type="pct"/>
            <w:vMerge w:val="continue"/>
            <w:tcBorders>
              <w:tl2br w:val="nil"/>
              <w:tr2bl w:val="nil"/>
            </w:tcBorders>
            <w:shd w:val="clear" w:color="auto" w:fill="auto"/>
            <w:noWrap/>
            <w:tcMar>
              <w:top w:w="15" w:type="dxa"/>
              <w:left w:w="15" w:type="dxa"/>
              <w:right w:w="15" w:type="dxa"/>
            </w:tcMar>
            <w:vAlign w:val="center"/>
          </w:tcPr>
          <w:p w14:paraId="3646F5C5">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1594" w:type="pct"/>
            <w:vMerge w:val="continue"/>
            <w:tcBorders>
              <w:tl2br w:val="nil"/>
              <w:tr2bl w:val="nil"/>
            </w:tcBorders>
            <w:shd w:val="clear" w:color="auto" w:fill="auto"/>
            <w:noWrap/>
            <w:tcMar>
              <w:top w:w="15" w:type="dxa"/>
              <w:left w:w="15" w:type="dxa"/>
              <w:right w:w="15" w:type="dxa"/>
            </w:tcMar>
            <w:vAlign w:val="center"/>
          </w:tcPr>
          <w:p w14:paraId="4BA6EB25">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r>
      <w:tr w14:paraId="302D19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205" w:type="pct"/>
            <w:tcBorders>
              <w:tl2br w:val="nil"/>
              <w:tr2bl w:val="nil"/>
            </w:tcBorders>
            <w:shd w:val="clear" w:color="auto" w:fill="auto"/>
            <w:noWrap/>
            <w:tcMar>
              <w:top w:w="15" w:type="dxa"/>
              <w:left w:w="15" w:type="dxa"/>
              <w:right w:w="15" w:type="dxa"/>
            </w:tcMar>
            <w:vAlign w:val="center"/>
          </w:tcPr>
          <w:p w14:paraId="3580B8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14</w:t>
            </w:r>
          </w:p>
        </w:tc>
        <w:tc>
          <w:tcPr>
            <w:tcW w:w="434" w:type="pct"/>
            <w:vMerge w:val="continue"/>
            <w:tcBorders>
              <w:tl2br w:val="nil"/>
              <w:tr2bl w:val="nil"/>
            </w:tcBorders>
            <w:shd w:val="clear" w:color="auto" w:fill="auto"/>
            <w:noWrap/>
            <w:tcMar>
              <w:top w:w="15" w:type="dxa"/>
              <w:left w:w="15" w:type="dxa"/>
              <w:right w:w="15" w:type="dxa"/>
            </w:tcMar>
            <w:vAlign w:val="center"/>
          </w:tcPr>
          <w:p w14:paraId="4F29D6BC">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458" w:type="pct"/>
            <w:tcBorders>
              <w:tl2br w:val="nil"/>
              <w:tr2bl w:val="nil"/>
            </w:tcBorders>
            <w:shd w:val="clear" w:color="auto" w:fill="auto"/>
            <w:noWrap/>
            <w:tcMar>
              <w:top w:w="15" w:type="dxa"/>
              <w:left w:w="15" w:type="dxa"/>
              <w:right w:w="15" w:type="dxa"/>
            </w:tcMar>
            <w:vAlign w:val="center"/>
          </w:tcPr>
          <w:p w14:paraId="70EEF823">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HR-6</w:t>
            </w:r>
          </w:p>
        </w:tc>
        <w:tc>
          <w:tcPr>
            <w:tcW w:w="969" w:type="pct"/>
            <w:tcBorders>
              <w:tl2br w:val="nil"/>
              <w:tr2bl w:val="nil"/>
            </w:tcBorders>
            <w:shd w:val="clear" w:color="auto" w:fill="auto"/>
            <w:noWrap/>
            <w:tcMar>
              <w:top w:w="15" w:type="dxa"/>
              <w:left w:w="15" w:type="dxa"/>
              <w:right w:w="15" w:type="dxa"/>
            </w:tcMar>
            <w:vAlign w:val="center"/>
          </w:tcPr>
          <w:p w14:paraId="488E8C85">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园区边界东侧上风向20m</w:t>
            </w:r>
            <w:r>
              <w:rPr>
                <w:rFonts w:hint="eastAsia" w:cs="Times New Roman"/>
                <w:sz w:val="21"/>
                <w:szCs w:val="21"/>
                <w:highlight w:val="none"/>
                <w:lang w:val="en-US" w:eastAsia="zh-CN"/>
              </w:rPr>
              <w:t>外</w:t>
            </w:r>
          </w:p>
        </w:tc>
        <w:tc>
          <w:tcPr>
            <w:tcW w:w="458" w:type="pct"/>
            <w:tcBorders>
              <w:tl2br w:val="nil"/>
              <w:tr2bl w:val="nil"/>
            </w:tcBorders>
            <w:shd w:val="clear" w:color="auto" w:fill="auto"/>
            <w:noWrap/>
            <w:tcMar>
              <w:top w:w="15" w:type="dxa"/>
              <w:left w:w="15" w:type="dxa"/>
              <w:right w:w="15" w:type="dxa"/>
            </w:tcMar>
            <w:vAlign w:val="center"/>
          </w:tcPr>
          <w:p w14:paraId="022D2C7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114.759686</w:t>
            </w:r>
          </w:p>
        </w:tc>
        <w:tc>
          <w:tcPr>
            <w:tcW w:w="507" w:type="pct"/>
            <w:tcBorders>
              <w:tl2br w:val="nil"/>
              <w:tr2bl w:val="nil"/>
            </w:tcBorders>
            <w:shd w:val="clear" w:color="auto" w:fill="auto"/>
            <w:noWrap/>
            <w:tcMar>
              <w:top w:w="15" w:type="dxa"/>
              <w:left w:w="15" w:type="dxa"/>
              <w:right w:w="15" w:type="dxa"/>
            </w:tcMar>
            <w:vAlign w:val="center"/>
          </w:tcPr>
          <w:p w14:paraId="2CE98E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30.537665</w:t>
            </w:r>
          </w:p>
        </w:tc>
        <w:tc>
          <w:tcPr>
            <w:tcW w:w="371" w:type="pct"/>
            <w:vMerge w:val="continue"/>
            <w:tcBorders>
              <w:tl2br w:val="nil"/>
              <w:tr2bl w:val="nil"/>
            </w:tcBorders>
            <w:shd w:val="clear" w:color="auto" w:fill="auto"/>
            <w:noWrap/>
            <w:tcMar>
              <w:top w:w="15" w:type="dxa"/>
              <w:left w:w="15" w:type="dxa"/>
              <w:right w:w="15" w:type="dxa"/>
            </w:tcMar>
            <w:vAlign w:val="center"/>
          </w:tcPr>
          <w:p w14:paraId="71B631A6">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1594" w:type="pct"/>
            <w:vMerge w:val="continue"/>
            <w:tcBorders>
              <w:tl2br w:val="nil"/>
              <w:tr2bl w:val="nil"/>
            </w:tcBorders>
            <w:shd w:val="clear" w:color="auto" w:fill="auto"/>
            <w:noWrap/>
            <w:tcMar>
              <w:top w:w="15" w:type="dxa"/>
              <w:left w:w="15" w:type="dxa"/>
              <w:right w:w="15" w:type="dxa"/>
            </w:tcMar>
            <w:vAlign w:val="center"/>
          </w:tcPr>
          <w:p w14:paraId="6C53F8AD">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r>
      <w:tr w14:paraId="28FEB2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205" w:type="pct"/>
            <w:tcBorders>
              <w:tl2br w:val="nil"/>
              <w:tr2bl w:val="nil"/>
            </w:tcBorders>
            <w:shd w:val="clear" w:color="auto" w:fill="auto"/>
            <w:noWrap/>
            <w:tcMar>
              <w:top w:w="15" w:type="dxa"/>
              <w:left w:w="15" w:type="dxa"/>
              <w:right w:w="15" w:type="dxa"/>
            </w:tcMar>
            <w:vAlign w:val="center"/>
          </w:tcPr>
          <w:p w14:paraId="74700F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15</w:t>
            </w:r>
          </w:p>
        </w:tc>
        <w:tc>
          <w:tcPr>
            <w:tcW w:w="434" w:type="pct"/>
            <w:vMerge w:val="restart"/>
            <w:tcBorders>
              <w:tl2br w:val="nil"/>
              <w:tr2bl w:val="nil"/>
            </w:tcBorders>
            <w:shd w:val="clear" w:color="auto" w:fill="auto"/>
            <w:noWrap/>
            <w:tcMar>
              <w:top w:w="15" w:type="dxa"/>
              <w:left w:w="15" w:type="dxa"/>
              <w:right w:w="15" w:type="dxa"/>
            </w:tcMar>
            <w:vAlign w:val="center"/>
          </w:tcPr>
          <w:p w14:paraId="46ADED0F">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企业聚集区周边</w:t>
            </w:r>
          </w:p>
        </w:tc>
        <w:tc>
          <w:tcPr>
            <w:tcW w:w="458" w:type="pct"/>
            <w:tcBorders>
              <w:tl2br w:val="nil"/>
              <w:tr2bl w:val="nil"/>
            </w:tcBorders>
            <w:shd w:val="clear" w:color="auto" w:fill="auto"/>
            <w:noWrap/>
            <w:tcMar>
              <w:top w:w="15" w:type="dxa"/>
              <w:left w:w="15" w:type="dxa"/>
              <w:right w:w="15" w:type="dxa"/>
            </w:tcMar>
            <w:vAlign w:val="center"/>
          </w:tcPr>
          <w:p w14:paraId="3BED2A5E">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HR-JJ-1</w:t>
            </w:r>
          </w:p>
        </w:tc>
        <w:tc>
          <w:tcPr>
            <w:tcW w:w="969" w:type="pct"/>
            <w:tcBorders>
              <w:tl2br w:val="nil"/>
              <w:tr2bl w:val="nil"/>
            </w:tcBorders>
            <w:shd w:val="clear" w:color="auto" w:fill="auto"/>
            <w:noWrap/>
            <w:tcMar>
              <w:top w:w="15" w:type="dxa"/>
              <w:left w:w="15" w:type="dxa"/>
              <w:right w:w="15" w:type="dxa"/>
            </w:tcMar>
            <w:vAlign w:val="center"/>
          </w:tcPr>
          <w:p w14:paraId="19CDB8C6">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企业聚集区西侧</w:t>
            </w:r>
          </w:p>
        </w:tc>
        <w:tc>
          <w:tcPr>
            <w:tcW w:w="458" w:type="pct"/>
            <w:tcBorders>
              <w:tl2br w:val="nil"/>
              <w:tr2bl w:val="nil"/>
            </w:tcBorders>
            <w:shd w:val="clear" w:color="auto" w:fill="auto"/>
            <w:noWrap/>
            <w:tcMar>
              <w:top w:w="15" w:type="dxa"/>
              <w:left w:w="15" w:type="dxa"/>
              <w:right w:w="15" w:type="dxa"/>
            </w:tcMar>
            <w:vAlign w:val="center"/>
          </w:tcPr>
          <w:p w14:paraId="5DDCD5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114.748850</w:t>
            </w:r>
          </w:p>
        </w:tc>
        <w:tc>
          <w:tcPr>
            <w:tcW w:w="507" w:type="pct"/>
            <w:tcBorders>
              <w:tl2br w:val="nil"/>
              <w:tr2bl w:val="nil"/>
            </w:tcBorders>
            <w:shd w:val="clear" w:color="auto" w:fill="auto"/>
            <w:noWrap/>
            <w:tcMar>
              <w:top w:w="15" w:type="dxa"/>
              <w:left w:w="15" w:type="dxa"/>
              <w:right w:w="15" w:type="dxa"/>
            </w:tcMar>
            <w:vAlign w:val="center"/>
          </w:tcPr>
          <w:p w14:paraId="1DDB6C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30.530467</w:t>
            </w:r>
          </w:p>
        </w:tc>
        <w:tc>
          <w:tcPr>
            <w:tcW w:w="371" w:type="pct"/>
            <w:vMerge w:val="continue"/>
            <w:tcBorders>
              <w:tl2br w:val="nil"/>
              <w:tr2bl w:val="nil"/>
            </w:tcBorders>
            <w:shd w:val="clear" w:color="auto" w:fill="auto"/>
            <w:noWrap/>
            <w:tcMar>
              <w:top w:w="15" w:type="dxa"/>
              <w:left w:w="15" w:type="dxa"/>
              <w:right w:w="15" w:type="dxa"/>
            </w:tcMar>
            <w:vAlign w:val="center"/>
          </w:tcPr>
          <w:p w14:paraId="4E86A21F">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1594" w:type="pct"/>
            <w:vMerge w:val="restart"/>
            <w:tcBorders>
              <w:tl2br w:val="nil"/>
              <w:tr2bl w:val="nil"/>
            </w:tcBorders>
            <w:shd w:val="clear" w:color="auto" w:fill="auto"/>
            <w:noWrap/>
            <w:tcMar>
              <w:top w:w="15" w:type="dxa"/>
              <w:left w:w="15" w:type="dxa"/>
              <w:right w:w="15" w:type="dxa"/>
            </w:tcMar>
            <w:vAlign w:val="center"/>
          </w:tcPr>
          <w:p w14:paraId="76653C6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highlight w:val="none"/>
              </w:rPr>
            </w:pPr>
            <w:r>
              <w:rPr>
                <w:rFonts w:hint="default" w:ascii="Times New Roman" w:hAnsi="Times New Roman" w:cs="Times New Roman" w:eastAsiaTheme="minorEastAsia"/>
                <w:kern w:val="0"/>
                <w:sz w:val="21"/>
                <w:szCs w:val="21"/>
                <w:highlight w:val="none"/>
                <w:lang w:val="en-US" w:eastAsia="zh-CN"/>
              </w:rPr>
              <w:t>基本项目（48项）、园区增测项目（3项）、其它增测项目（</w:t>
            </w: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6</w:t>
            </w:r>
            <w:r>
              <w:rPr>
                <w:rFonts w:hint="default" w:ascii="Times New Roman" w:hAnsi="Times New Roman" w:cs="Times New Roman" w:eastAsiaTheme="minorEastAsia"/>
                <w:kern w:val="0"/>
                <w:sz w:val="21"/>
                <w:szCs w:val="21"/>
                <w:highlight w:val="none"/>
                <w:lang w:val="en-US" w:eastAsia="zh-CN"/>
              </w:rPr>
              <w:t>项）</w:t>
            </w:r>
          </w:p>
        </w:tc>
      </w:tr>
      <w:tr w14:paraId="1D8811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205" w:type="pct"/>
            <w:tcBorders>
              <w:tl2br w:val="nil"/>
              <w:tr2bl w:val="nil"/>
            </w:tcBorders>
            <w:shd w:val="clear" w:color="auto" w:fill="auto"/>
            <w:noWrap/>
            <w:tcMar>
              <w:top w:w="15" w:type="dxa"/>
              <w:left w:w="15" w:type="dxa"/>
              <w:right w:w="15" w:type="dxa"/>
            </w:tcMar>
            <w:vAlign w:val="center"/>
          </w:tcPr>
          <w:p w14:paraId="7719EC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16</w:t>
            </w:r>
          </w:p>
        </w:tc>
        <w:tc>
          <w:tcPr>
            <w:tcW w:w="434" w:type="pct"/>
            <w:vMerge w:val="continue"/>
            <w:tcBorders>
              <w:tl2br w:val="nil"/>
              <w:tr2bl w:val="nil"/>
            </w:tcBorders>
            <w:shd w:val="clear" w:color="auto" w:fill="auto"/>
            <w:noWrap/>
            <w:tcMar>
              <w:top w:w="15" w:type="dxa"/>
              <w:left w:w="15" w:type="dxa"/>
              <w:right w:w="15" w:type="dxa"/>
            </w:tcMar>
            <w:vAlign w:val="center"/>
          </w:tcPr>
          <w:p w14:paraId="1BC49B19">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458" w:type="pct"/>
            <w:tcBorders>
              <w:tl2br w:val="nil"/>
              <w:tr2bl w:val="nil"/>
            </w:tcBorders>
            <w:shd w:val="clear" w:color="auto" w:fill="auto"/>
            <w:noWrap/>
            <w:tcMar>
              <w:top w:w="15" w:type="dxa"/>
              <w:left w:w="15" w:type="dxa"/>
              <w:right w:w="15" w:type="dxa"/>
            </w:tcMar>
            <w:vAlign w:val="center"/>
          </w:tcPr>
          <w:p w14:paraId="042CC8BC">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HR-JJ-2</w:t>
            </w:r>
          </w:p>
        </w:tc>
        <w:tc>
          <w:tcPr>
            <w:tcW w:w="969" w:type="pct"/>
            <w:tcBorders>
              <w:tl2br w:val="nil"/>
              <w:tr2bl w:val="nil"/>
            </w:tcBorders>
            <w:shd w:val="clear" w:color="auto" w:fill="auto"/>
            <w:noWrap/>
            <w:tcMar>
              <w:top w:w="15" w:type="dxa"/>
              <w:left w:w="15" w:type="dxa"/>
              <w:right w:w="15" w:type="dxa"/>
            </w:tcMar>
            <w:vAlign w:val="center"/>
          </w:tcPr>
          <w:p w14:paraId="78D5A21E">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企业聚集区南侧</w:t>
            </w:r>
          </w:p>
        </w:tc>
        <w:tc>
          <w:tcPr>
            <w:tcW w:w="458" w:type="pct"/>
            <w:tcBorders>
              <w:tl2br w:val="nil"/>
              <w:tr2bl w:val="nil"/>
            </w:tcBorders>
            <w:shd w:val="clear" w:color="auto" w:fill="auto"/>
            <w:noWrap/>
            <w:tcMar>
              <w:top w:w="15" w:type="dxa"/>
              <w:left w:w="15" w:type="dxa"/>
              <w:right w:w="15" w:type="dxa"/>
            </w:tcMar>
            <w:vAlign w:val="center"/>
          </w:tcPr>
          <w:p w14:paraId="6B0844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114.753104</w:t>
            </w:r>
          </w:p>
        </w:tc>
        <w:tc>
          <w:tcPr>
            <w:tcW w:w="507" w:type="pct"/>
            <w:tcBorders>
              <w:tl2br w:val="nil"/>
              <w:tr2bl w:val="nil"/>
            </w:tcBorders>
            <w:shd w:val="clear" w:color="auto" w:fill="auto"/>
            <w:noWrap/>
            <w:tcMar>
              <w:top w:w="15" w:type="dxa"/>
              <w:left w:w="15" w:type="dxa"/>
              <w:right w:w="15" w:type="dxa"/>
            </w:tcMar>
            <w:vAlign w:val="center"/>
          </w:tcPr>
          <w:p w14:paraId="5B1E5C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30.524557</w:t>
            </w:r>
          </w:p>
        </w:tc>
        <w:tc>
          <w:tcPr>
            <w:tcW w:w="371" w:type="pct"/>
            <w:vMerge w:val="continue"/>
            <w:tcBorders>
              <w:tl2br w:val="nil"/>
              <w:tr2bl w:val="nil"/>
            </w:tcBorders>
            <w:shd w:val="clear" w:color="auto" w:fill="auto"/>
            <w:noWrap/>
            <w:tcMar>
              <w:top w:w="15" w:type="dxa"/>
              <w:left w:w="15" w:type="dxa"/>
              <w:right w:w="15" w:type="dxa"/>
            </w:tcMar>
            <w:vAlign w:val="center"/>
          </w:tcPr>
          <w:p w14:paraId="0FA8093A">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1594" w:type="pct"/>
            <w:vMerge w:val="continue"/>
            <w:tcBorders>
              <w:tl2br w:val="nil"/>
              <w:tr2bl w:val="nil"/>
            </w:tcBorders>
            <w:shd w:val="clear" w:color="auto" w:fill="auto"/>
            <w:noWrap/>
            <w:tcMar>
              <w:top w:w="15" w:type="dxa"/>
              <w:left w:w="15" w:type="dxa"/>
              <w:right w:w="15" w:type="dxa"/>
            </w:tcMar>
            <w:vAlign w:val="center"/>
          </w:tcPr>
          <w:p w14:paraId="43E6D08D">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r>
      <w:tr w14:paraId="01424A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205" w:type="pct"/>
            <w:tcBorders>
              <w:tl2br w:val="nil"/>
              <w:tr2bl w:val="nil"/>
            </w:tcBorders>
            <w:shd w:val="clear" w:color="auto" w:fill="auto"/>
            <w:noWrap/>
            <w:tcMar>
              <w:top w:w="15" w:type="dxa"/>
              <w:left w:w="15" w:type="dxa"/>
              <w:right w:w="15" w:type="dxa"/>
            </w:tcMar>
            <w:vAlign w:val="center"/>
          </w:tcPr>
          <w:p w14:paraId="2700D7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17</w:t>
            </w:r>
          </w:p>
        </w:tc>
        <w:tc>
          <w:tcPr>
            <w:tcW w:w="434" w:type="pct"/>
            <w:vMerge w:val="continue"/>
            <w:tcBorders>
              <w:tl2br w:val="nil"/>
              <w:tr2bl w:val="nil"/>
            </w:tcBorders>
            <w:shd w:val="clear" w:color="auto" w:fill="auto"/>
            <w:noWrap/>
            <w:tcMar>
              <w:top w:w="15" w:type="dxa"/>
              <w:left w:w="15" w:type="dxa"/>
              <w:right w:w="15" w:type="dxa"/>
            </w:tcMar>
            <w:vAlign w:val="center"/>
          </w:tcPr>
          <w:p w14:paraId="051552A4">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458" w:type="pct"/>
            <w:tcBorders>
              <w:tl2br w:val="nil"/>
              <w:tr2bl w:val="nil"/>
            </w:tcBorders>
            <w:shd w:val="clear" w:color="auto" w:fill="auto"/>
            <w:noWrap/>
            <w:tcMar>
              <w:top w:w="15" w:type="dxa"/>
              <w:left w:w="15" w:type="dxa"/>
              <w:right w:w="15" w:type="dxa"/>
            </w:tcMar>
            <w:vAlign w:val="center"/>
          </w:tcPr>
          <w:p w14:paraId="2EC14BD7">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HR-JJ-3</w:t>
            </w:r>
          </w:p>
        </w:tc>
        <w:tc>
          <w:tcPr>
            <w:tcW w:w="969" w:type="pct"/>
            <w:tcBorders>
              <w:tl2br w:val="nil"/>
              <w:tr2bl w:val="nil"/>
            </w:tcBorders>
            <w:shd w:val="clear" w:color="auto" w:fill="auto"/>
            <w:noWrap/>
            <w:tcMar>
              <w:top w:w="15" w:type="dxa"/>
              <w:left w:w="15" w:type="dxa"/>
              <w:right w:w="15" w:type="dxa"/>
            </w:tcMar>
            <w:vAlign w:val="center"/>
          </w:tcPr>
          <w:p w14:paraId="7FD2283E">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企业聚集区</w:t>
            </w:r>
            <w:r>
              <w:rPr>
                <w:rFonts w:hint="eastAsia" w:cs="Times New Roman"/>
                <w:sz w:val="21"/>
                <w:szCs w:val="21"/>
                <w:highlight w:val="none"/>
                <w:lang w:val="en-US" w:eastAsia="zh-CN"/>
              </w:rPr>
              <w:t>北</w:t>
            </w:r>
            <w:r>
              <w:rPr>
                <w:rFonts w:hint="default" w:ascii="Times New Roman" w:hAnsi="Times New Roman" w:cs="Times New Roman"/>
                <w:sz w:val="21"/>
                <w:szCs w:val="21"/>
                <w:highlight w:val="none"/>
                <w:lang w:val="en-US" w:eastAsia="zh-CN"/>
              </w:rPr>
              <w:t>侧</w:t>
            </w:r>
          </w:p>
        </w:tc>
        <w:tc>
          <w:tcPr>
            <w:tcW w:w="458" w:type="pct"/>
            <w:tcBorders>
              <w:tl2br w:val="nil"/>
              <w:tr2bl w:val="nil"/>
            </w:tcBorders>
            <w:shd w:val="clear" w:color="auto" w:fill="auto"/>
            <w:noWrap/>
            <w:tcMar>
              <w:top w:w="15" w:type="dxa"/>
              <w:left w:w="15" w:type="dxa"/>
              <w:right w:w="15" w:type="dxa"/>
            </w:tcMar>
            <w:vAlign w:val="center"/>
          </w:tcPr>
          <w:p w14:paraId="33108F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114.708231</w:t>
            </w:r>
          </w:p>
        </w:tc>
        <w:tc>
          <w:tcPr>
            <w:tcW w:w="507" w:type="pct"/>
            <w:tcBorders>
              <w:tl2br w:val="nil"/>
              <w:tr2bl w:val="nil"/>
            </w:tcBorders>
            <w:shd w:val="clear" w:color="auto" w:fill="auto"/>
            <w:noWrap/>
            <w:tcMar>
              <w:top w:w="15" w:type="dxa"/>
              <w:left w:w="15" w:type="dxa"/>
              <w:right w:w="15" w:type="dxa"/>
            </w:tcMar>
            <w:vAlign w:val="center"/>
          </w:tcPr>
          <w:p w14:paraId="61C942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30.542267</w:t>
            </w:r>
          </w:p>
        </w:tc>
        <w:tc>
          <w:tcPr>
            <w:tcW w:w="371" w:type="pct"/>
            <w:vMerge w:val="continue"/>
            <w:tcBorders>
              <w:tl2br w:val="nil"/>
              <w:tr2bl w:val="nil"/>
            </w:tcBorders>
            <w:shd w:val="clear" w:color="auto" w:fill="auto"/>
            <w:noWrap/>
            <w:tcMar>
              <w:top w:w="15" w:type="dxa"/>
              <w:left w:w="15" w:type="dxa"/>
              <w:right w:w="15" w:type="dxa"/>
            </w:tcMar>
            <w:vAlign w:val="center"/>
          </w:tcPr>
          <w:p w14:paraId="5CAAF1A6">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1594" w:type="pct"/>
            <w:tcBorders>
              <w:tl2br w:val="nil"/>
              <w:tr2bl w:val="nil"/>
            </w:tcBorders>
            <w:shd w:val="clear" w:color="auto" w:fill="auto"/>
            <w:noWrap/>
            <w:tcMar>
              <w:top w:w="15" w:type="dxa"/>
              <w:left w:w="15" w:type="dxa"/>
              <w:right w:w="15" w:type="dxa"/>
            </w:tcMar>
            <w:vAlign w:val="center"/>
          </w:tcPr>
          <w:p w14:paraId="225E1A2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highlight w:val="none"/>
              </w:rPr>
            </w:pPr>
            <w:r>
              <w:rPr>
                <w:rFonts w:hint="default" w:ascii="Times New Roman" w:hAnsi="Times New Roman" w:cs="Times New Roman" w:eastAsiaTheme="minorEastAsia"/>
                <w:kern w:val="0"/>
                <w:sz w:val="21"/>
                <w:szCs w:val="21"/>
                <w:highlight w:val="none"/>
                <w:lang w:val="en-US" w:eastAsia="zh-CN"/>
              </w:rPr>
              <w:t>基本项目（48项）、园区增测项目（3项）</w:t>
            </w:r>
          </w:p>
        </w:tc>
      </w:tr>
      <w:tr w14:paraId="468FAF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205" w:type="pct"/>
            <w:tcBorders>
              <w:tl2br w:val="nil"/>
              <w:tr2bl w:val="nil"/>
            </w:tcBorders>
            <w:shd w:val="clear" w:color="auto" w:fill="auto"/>
            <w:noWrap/>
            <w:tcMar>
              <w:top w:w="15" w:type="dxa"/>
              <w:left w:w="15" w:type="dxa"/>
              <w:right w:w="15" w:type="dxa"/>
            </w:tcMar>
            <w:vAlign w:val="center"/>
          </w:tcPr>
          <w:p w14:paraId="12B0EC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18</w:t>
            </w:r>
          </w:p>
        </w:tc>
        <w:tc>
          <w:tcPr>
            <w:tcW w:w="434" w:type="pct"/>
            <w:vMerge w:val="continue"/>
            <w:tcBorders>
              <w:tl2br w:val="nil"/>
              <w:tr2bl w:val="nil"/>
            </w:tcBorders>
            <w:shd w:val="clear" w:color="auto" w:fill="auto"/>
            <w:noWrap/>
            <w:tcMar>
              <w:top w:w="15" w:type="dxa"/>
              <w:left w:w="15" w:type="dxa"/>
              <w:right w:w="15" w:type="dxa"/>
            </w:tcMar>
            <w:vAlign w:val="center"/>
          </w:tcPr>
          <w:p w14:paraId="3195BA85">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458" w:type="pct"/>
            <w:tcBorders>
              <w:tl2br w:val="nil"/>
              <w:tr2bl w:val="nil"/>
            </w:tcBorders>
            <w:shd w:val="clear" w:color="auto" w:fill="auto"/>
            <w:noWrap/>
            <w:tcMar>
              <w:top w:w="15" w:type="dxa"/>
              <w:left w:w="15" w:type="dxa"/>
              <w:right w:w="15" w:type="dxa"/>
            </w:tcMar>
            <w:vAlign w:val="center"/>
          </w:tcPr>
          <w:p w14:paraId="0DE9CDC4">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HR-JJ-4</w:t>
            </w:r>
          </w:p>
        </w:tc>
        <w:tc>
          <w:tcPr>
            <w:tcW w:w="969" w:type="pct"/>
            <w:tcBorders>
              <w:tl2br w:val="nil"/>
              <w:tr2bl w:val="nil"/>
            </w:tcBorders>
            <w:shd w:val="clear" w:color="auto" w:fill="auto"/>
            <w:noWrap/>
            <w:tcMar>
              <w:top w:w="15" w:type="dxa"/>
              <w:left w:w="15" w:type="dxa"/>
              <w:right w:w="15" w:type="dxa"/>
            </w:tcMar>
            <w:vAlign w:val="center"/>
          </w:tcPr>
          <w:p w14:paraId="4A3DE9DA">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企业聚集区西侧</w:t>
            </w:r>
          </w:p>
        </w:tc>
        <w:tc>
          <w:tcPr>
            <w:tcW w:w="458" w:type="pct"/>
            <w:tcBorders>
              <w:tl2br w:val="nil"/>
              <w:tr2bl w:val="nil"/>
            </w:tcBorders>
            <w:shd w:val="clear" w:color="auto" w:fill="auto"/>
            <w:noWrap/>
            <w:tcMar>
              <w:top w:w="15" w:type="dxa"/>
              <w:left w:w="15" w:type="dxa"/>
              <w:right w:w="15" w:type="dxa"/>
            </w:tcMar>
            <w:vAlign w:val="center"/>
          </w:tcPr>
          <w:p w14:paraId="292402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114.696732</w:t>
            </w:r>
          </w:p>
        </w:tc>
        <w:tc>
          <w:tcPr>
            <w:tcW w:w="507" w:type="pct"/>
            <w:tcBorders>
              <w:tl2br w:val="nil"/>
              <w:tr2bl w:val="nil"/>
            </w:tcBorders>
            <w:shd w:val="clear" w:color="auto" w:fill="auto"/>
            <w:noWrap/>
            <w:tcMar>
              <w:top w:w="15" w:type="dxa"/>
              <w:left w:w="15" w:type="dxa"/>
              <w:right w:w="15" w:type="dxa"/>
            </w:tcMar>
            <w:vAlign w:val="center"/>
          </w:tcPr>
          <w:p w14:paraId="5DBD5F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30.531573</w:t>
            </w:r>
          </w:p>
        </w:tc>
        <w:tc>
          <w:tcPr>
            <w:tcW w:w="371" w:type="pct"/>
            <w:vMerge w:val="continue"/>
            <w:tcBorders>
              <w:tl2br w:val="nil"/>
              <w:tr2bl w:val="nil"/>
            </w:tcBorders>
            <w:shd w:val="clear" w:color="auto" w:fill="auto"/>
            <w:noWrap/>
            <w:tcMar>
              <w:top w:w="15" w:type="dxa"/>
              <w:left w:w="15" w:type="dxa"/>
              <w:right w:w="15" w:type="dxa"/>
            </w:tcMar>
            <w:vAlign w:val="center"/>
          </w:tcPr>
          <w:p w14:paraId="7DACF85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kern w:val="0"/>
                <w:sz w:val="21"/>
                <w:szCs w:val="21"/>
                <w:highlight w:val="none"/>
                <w:lang w:val="en-US" w:eastAsia="zh-CN"/>
              </w:rPr>
            </w:pPr>
          </w:p>
        </w:tc>
        <w:tc>
          <w:tcPr>
            <w:tcW w:w="1594" w:type="pct"/>
            <w:tcBorders>
              <w:tl2br w:val="nil"/>
              <w:tr2bl w:val="nil"/>
            </w:tcBorders>
            <w:shd w:val="clear" w:color="auto" w:fill="auto"/>
            <w:noWrap/>
            <w:tcMar>
              <w:top w:w="15" w:type="dxa"/>
              <w:left w:w="15" w:type="dxa"/>
              <w:right w:w="15" w:type="dxa"/>
            </w:tcMar>
            <w:vAlign w:val="center"/>
          </w:tcPr>
          <w:p w14:paraId="26C4AFE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highlight w:val="none"/>
              </w:rPr>
            </w:pPr>
            <w:r>
              <w:rPr>
                <w:rFonts w:hint="default" w:ascii="Times New Roman" w:hAnsi="Times New Roman" w:cs="Times New Roman" w:eastAsiaTheme="minorEastAsia"/>
                <w:kern w:val="0"/>
                <w:sz w:val="21"/>
                <w:szCs w:val="21"/>
                <w:highlight w:val="none"/>
                <w:lang w:val="en-US" w:eastAsia="zh-CN"/>
              </w:rPr>
              <w:t>基本项目（48项）、园区增测项目（3项）</w:t>
            </w:r>
          </w:p>
        </w:tc>
      </w:tr>
      <w:tr w14:paraId="59F625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205" w:type="pct"/>
            <w:tcBorders>
              <w:tl2br w:val="nil"/>
              <w:tr2bl w:val="nil"/>
            </w:tcBorders>
            <w:shd w:val="clear" w:color="auto" w:fill="auto"/>
            <w:noWrap/>
            <w:tcMar>
              <w:top w:w="15" w:type="dxa"/>
              <w:left w:w="15" w:type="dxa"/>
              <w:right w:w="15" w:type="dxa"/>
            </w:tcMar>
            <w:vAlign w:val="center"/>
          </w:tcPr>
          <w:p w14:paraId="6FE094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19</w:t>
            </w:r>
          </w:p>
        </w:tc>
        <w:tc>
          <w:tcPr>
            <w:tcW w:w="434" w:type="pct"/>
            <w:vMerge w:val="continue"/>
            <w:tcBorders>
              <w:tl2br w:val="nil"/>
              <w:tr2bl w:val="nil"/>
            </w:tcBorders>
            <w:shd w:val="clear" w:color="auto" w:fill="auto"/>
            <w:noWrap/>
            <w:tcMar>
              <w:top w:w="15" w:type="dxa"/>
              <w:left w:w="15" w:type="dxa"/>
              <w:right w:w="15" w:type="dxa"/>
            </w:tcMar>
            <w:vAlign w:val="center"/>
          </w:tcPr>
          <w:p w14:paraId="51C87389">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458" w:type="pct"/>
            <w:tcBorders>
              <w:tl2br w:val="nil"/>
              <w:tr2bl w:val="nil"/>
            </w:tcBorders>
            <w:shd w:val="clear" w:color="auto" w:fill="auto"/>
            <w:noWrap/>
            <w:tcMar>
              <w:top w:w="15" w:type="dxa"/>
              <w:left w:w="15" w:type="dxa"/>
              <w:right w:w="15" w:type="dxa"/>
            </w:tcMar>
            <w:vAlign w:val="center"/>
          </w:tcPr>
          <w:p w14:paraId="5E69C73B">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HR-JJ-5</w:t>
            </w:r>
          </w:p>
        </w:tc>
        <w:tc>
          <w:tcPr>
            <w:tcW w:w="969" w:type="pct"/>
            <w:tcBorders>
              <w:tl2br w:val="nil"/>
              <w:tr2bl w:val="nil"/>
            </w:tcBorders>
            <w:shd w:val="clear" w:color="auto" w:fill="auto"/>
            <w:noWrap/>
            <w:tcMar>
              <w:top w:w="15" w:type="dxa"/>
              <w:left w:w="15" w:type="dxa"/>
              <w:right w:w="15" w:type="dxa"/>
            </w:tcMar>
            <w:vAlign w:val="center"/>
          </w:tcPr>
          <w:p w14:paraId="5E83D8DA">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企业聚集区西侧</w:t>
            </w:r>
          </w:p>
        </w:tc>
        <w:tc>
          <w:tcPr>
            <w:tcW w:w="458" w:type="pct"/>
            <w:tcBorders>
              <w:tl2br w:val="nil"/>
              <w:tr2bl w:val="nil"/>
            </w:tcBorders>
            <w:shd w:val="clear" w:color="auto" w:fill="auto"/>
            <w:noWrap/>
            <w:tcMar>
              <w:top w:w="15" w:type="dxa"/>
              <w:left w:w="15" w:type="dxa"/>
              <w:right w:w="15" w:type="dxa"/>
            </w:tcMar>
            <w:vAlign w:val="center"/>
          </w:tcPr>
          <w:p w14:paraId="1E0173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114.717387</w:t>
            </w:r>
          </w:p>
        </w:tc>
        <w:tc>
          <w:tcPr>
            <w:tcW w:w="507" w:type="pct"/>
            <w:tcBorders>
              <w:tl2br w:val="nil"/>
              <w:tr2bl w:val="nil"/>
            </w:tcBorders>
            <w:shd w:val="clear" w:color="auto" w:fill="auto"/>
            <w:noWrap/>
            <w:tcMar>
              <w:top w:w="15" w:type="dxa"/>
              <w:left w:w="15" w:type="dxa"/>
              <w:right w:w="15" w:type="dxa"/>
            </w:tcMar>
            <w:vAlign w:val="center"/>
          </w:tcPr>
          <w:p w14:paraId="3CE888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30.536237</w:t>
            </w:r>
          </w:p>
        </w:tc>
        <w:tc>
          <w:tcPr>
            <w:tcW w:w="371" w:type="pct"/>
            <w:vMerge w:val="continue"/>
            <w:tcBorders>
              <w:tl2br w:val="nil"/>
              <w:tr2bl w:val="nil"/>
            </w:tcBorders>
            <w:shd w:val="clear" w:color="auto" w:fill="auto"/>
            <w:noWrap/>
            <w:tcMar>
              <w:top w:w="15" w:type="dxa"/>
              <w:left w:w="15" w:type="dxa"/>
              <w:right w:w="15" w:type="dxa"/>
            </w:tcMar>
            <w:vAlign w:val="center"/>
          </w:tcPr>
          <w:p w14:paraId="3C49289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kern w:val="0"/>
                <w:sz w:val="21"/>
                <w:szCs w:val="21"/>
                <w:highlight w:val="none"/>
                <w:lang w:val="en-US" w:eastAsia="zh-CN"/>
              </w:rPr>
            </w:pPr>
          </w:p>
        </w:tc>
        <w:tc>
          <w:tcPr>
            <w:tcW w:w="1594" w:type="pct"/>
            <w:tcBorders>
              <w:tl2br w:val="nil"/>
              <w:tr2bl w:val="nil"/>
            </w:tcBorders>
            <w:shd w:val="clear" w:color="auto" w:fill="auto"/>
            <w:noWrap/>
            <w:tcMar>
              <w:top w:w="15" w:type="dxa"/>
              <w:left w:w="15" w:type="dxa"/>
              <w:right w:w="15" w:type="dxa"/>
            </w:tcMar>
            <w:vAlign w:val="center"/>
          </w:tcPr>
          <w:p w14:paraId="3A4967C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21"/>
                <w:szCs w:val="21"/>
                <w:highlight w:val="none"/>
              </w:rPr>
            </w:pPr>
            <w:r>
              <w:rPr>
                <w:rFonts w:hint="default" w:ascii="Times New Roman" w:hAnsi="Times New Roman" w:cs="Times New Roman" w:eastAsiaTheme="minorEastAsia"/>
                <w:kern w:val="0"/>
                <w:sz w:val="21"/>
                <w:szCs w:val="21"/>
                <w:highlight w:val="none"/>
                <w:lang w:val="en-US" w:eastAsia="zh-CN"/>
              </w:rPr>
              <w:t>基本项目（48项）、园区增测项目（3项）</w:t>
            </w:r>
          </w:p>
        </w:tc>
      </w:tr>
      <w:tr w14:paraId="2C899B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205" w:type="pct"/>
            <w:tcBorders>
              <w:tl2br w:val="nil"/>
              <w:tr2bl w:val="nil"/>
            </w:tcBorders>
            <w:shd w:val="clear" w:color="auto" w:fill="auto"/>
            <w:noWrap/>
            <w:tcMar>
              <w:top w:w="15" w:type="dxa"/>
              <w:left w:w="15" w:type="dxa"/>
              <w:right w:w="15" w:type="dxa"/>
            </w:tcMar>
            <w:vAlign w:val="center"/>
          </w:tcPr>
          <w:p w14:paraId="07F880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20</w:t>
            </w:r>
          </w:p>
        </w:tc>
        <w:tc>
          <w:tcPr>
            <w:tcW w:w="434" w:type="pct"/>
            <w:vMerge w:val="continue"/>
            <w:tcBorders>
              <w:tl2br w:val="nil"/>
              <w:tr2bl w:val="nil"/>
            </w:tcBorders>
            <w:shd w:val="clear" w:color="auto" w:fill="auto"/>
            <w:noWrap/>
            <w:tcMar>
              <w:top w:w="15" w:type="dxa"/>
              <w:left w:w="15" w:type="dxa"/>
              <w:right w:w="15" w:type="dxa"/>
            </w:tcMar>
            <w:vAlign w:val="center"/>
          </w:tcPr>
          <w:p w14:paraId="3B0DB79C">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p>
        </w:tc>
        <w:tc>
          <w:tcPr>
            <w:tcW w:w="458" w:type="pct"/>
            <w:tcBorders>
              <w:tl2br w:val="nil"/>
              <w:tr2bl w:val="nil"/>
            </w:tcBorders>
            <w:shd w:val="clear" w:color="auto" w:fill="auto"/>
            <w:noWrap/>
            <w:tcMar>
              <w:top w:w="15" w:type="dxa"/>
              <w:left w:w="15" w:type="dxa"/>
              <w:right w:w="15" w:type="dxa"/>
            </w:tcMar>
            <w:vAlign w:val="center"/>
          </w:tcPr>
          <w:p w14:paraId="42DFDD94">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HR-JJ-6</w:t>
            </w:r>
          </w:p>
        </w:tc>
        <w:tc>
          <w:tcPr>
            <w:tcW w:w="969" w:type="pct"/>
            <w:tcBorders>
              <w:tl2br w:val="nil"/>
              <w:tr2bl w:val="nil"/>
            </w:tcBorders>
            <w:shd w:val="clear" w:color="auto" w:fill="auto"/>
            <w:noWrap/>
            <w:tcMar>
              <w:top w:w="15" w:type="dxa"/>
              <w:left w:w="15" w:type="dxa"/>
              <w:right w:w="15" w:type="dxa"/>
            </w:tcMar>
            <w:vAlign w:val="center"/>
          </w:tcPr>
          <w:p w14:paraId="38BAB462">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企业聚集区南侧</w:t>
            </w:r>
          </w:p>
        </w:tc>
        <w:tc>
          <w:tcPr>
            <w:tcW w:w="458" w:type="pct"/>
            <w:tcBorders>
              <w:tl2br w:val="nil"/>
              <w:tr2bl w:val="nil"/>
            </w:tcBorders>
            <w:shd w:val="clear" w:color="auto" w:fill="auto"/>
            <w:noWrap/>
            <w:tcMar>
              <w:top w:w="15" w:type="dxa"/>
              <w:left w:w="15" w:type="dxa"/>
              <w:right w:w="15" w:type="dxa"/>
            </w:tcMar>
            <w:vAlign w:val="center"/>
          </w:tcPr>
          <w:p w14:paraId="6E426D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114.724592</w:t>
            </w:r>
          </w:p>
        </w:tc>
        <w:tc>
          <w:tcPr>
            <w:tcW w:w="507" w:type="pct"/>
            <w:tcBorders>
              <w:tl2br w:val="nil"/>
              <w:tr2bl w:val="nil"/>
            </w:tcBorders>
            <w:shd w:val="clear" w:color="auto" w:fill="auto"/>
            <w:noWrap/>
            <w:tcMar>
              <w:top w:w="15" w:type="dxa"/>
              <w:left w:w="15" w:type="dxa"/>
              <w:right w:w="15" w:type="dxa"/>
            </w:tcMar>
            <w:vAlign w:val="center"/>
          </w:tcPr>
          <w:p w14:paraId="13CAB3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30.530471</w:t>
            </w:r>
          </w:p>
        </w:tc>
        <w:tc>
          <w:tcPr>
            <w:tcW w:w="371" w:type="pct"/>
            <w:vMerge w:val="continue"/>
            <w:tcBorders>
              <w:tl2br w:val="nil"/>
              <w:tr2bl w:val="nil"/>
            </w:tcBorders>
            <w:shd w:val="clear" w:color="auto" w:fill="auto"/>
            <w:noWrap/>
            <w:tcMar>
              <w:top w:w="15" w:type="dxa"/>
              <w:left w:w="15" w:type="dxa"/>
              <w:right w:w="15" w:type="dxa"/>
            </w:tcMar>
            <w:vAlign w:val="center"/>
          </w:tcPr>
          <w:p w14:paraId="1217C7DC">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eastAsiaTheme="minorEastAsia"/>
                <w:kern w:val="0"/>
                <w:sz w:val="21"/>
                <w:szCs w:val="21"/>
                <w:highlight w:val="none"/>
                <w:lang w:val="en-US" w:eastAsia="zh-CN"/>
              </w:rPr>
            </w:pPr>
          </w:p>
        </w:tc>
        <w:tc>
          <w:tcPr>
            <w:tcW w:w="1594" w:type="pct"/>
            <w:tcBorders>
              <w:tl2br w:val="nil"/>
              <w:tr2bl w:val="nil"/>
            </w:tcBorders>
            <w:shd w:val="clear" w:color="auto" w:fill="auto"/>
            <w:noWrap/>
            <w:tcMar>
              <w:top w:w="15" w:type="dxa"/>
              <w:left w:w="15" w:type="dxa"/>
              <w:right w:w="15" w:type="dxa"/>
            </w:tcMar>
            <w:vAlign w:val="center"/>
          </w:tcPr>
          <w:p w14:paraId="080047F5">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rPr>
            </w:pPr>
            <w:r>
              <w:rPr>
                <w:rFonts w:hint="default" w:ascii="Times New Roman" w:hAnsi="Times New Roman" w:cs="Times New Roman" w:eastAsiaTheme="minorEastAsia"/>
                <w:kern w:val="0"/>
                <w:sz w:val="21"/>
                <w:szCs w:val="21"/>
                <w:highlight w:val="none"/>
                <w:lang w:val="en-US" w:eastAsia="zh-CN"/>
              </w:rPr>
              <w:t>基本项目（48项）、园区增测项目（3项）</w:t>
            </w:r>
          </w:p>
        </w:tc>
      </w:tr>
    </w:tbl>
    <w:p w14:paraId="328AA1EB">
      <w:pPr>
        <w:bidi w:val="0"/>
        <w:spacing w:line="240" w:lineRule="auto"/>
        <w:rPr>
          <w:rFonts w:hint="eastAsia" w:ascii="Times New Roman" w:hAnsi="Times New Roman" w:eastAsia="宋体" w:cs="Times New Roman"/>
          <w:b/>
          <w:color w:val="000000"/>
          <w:kern w:val="2"/>
          <w:sz w:val="18"/>
          <w:szCs w:val="18"/>
          <w:highlight w:val="none"/>
          <w:lang w:val="en-US" w:eastAsia="zh-CN" w:bidi="ar"/>
        </w:rPr>
      </w:pPr>
      <w:r>
        <w:rPr>
          <w:rFonts w:hint="default" w:ascii="Times New Roman" w:hAnsi="Times New Roman" w:cs="Times New Roman"/>
          <w:b/>
          <w:bCs/>
          <w:sz w:val="18"/>
          <w:szCs w:val="18"/>
          <w:highlight w:val="none"/>
          <w:lang w:eastAsia="zh-CN"/>
        </w:rPr>
        <w:t>注：①经纬度均使用国测局坐标系 (GCJ-02)</w:t>
      </w:r>
      <w:r>
        <w:rPr>
          <w:rFonts w:hint="eastAsia" w:ascii="Times New Roman" w:hAnsi="Times New Roman" w:eastAsia="宋体" w:cs="Times New Roman"/>
          <w:b/>
          <w:color w:val="000000"/>
          <w:kern w:val="2"/>
          <w:sz w:val="18"/>
          <w:szCs w:val="18"/>
          <w:highlight w:val="none"/>
          <w:lang w:val="en-US" w:eastAsia="zh-CN" w:bidi="ar"/>
        </w:rPr>
        <w:t>。</w:t>
      </w:r>
    </w:p>
    <w:p w14:paraId="3717ACC3">
      <w:pPr>
        <w:bidi w:val="0"/>
        <w:spacing w:line="240" w:lineRule="auto"/>
        <w:rPr>
          <w:rFonts w:hint="default"/>
          <w:highlight w:val="none"/>
          <w:lang w:val="en-US" w:eastAsia="zh-CN"/>
        </w:rPr>
      </w:pPr>
      <w:r>
        <w:rPr>
          <w:rFonts w:hint="eastAsia" w:cs="Times New Roman"/>
          <w:b/>
          <w:bCs/>
          <w:color w:val="auto"/>
          <w:sz w:val="18"/>
          <w:szCs w:val="18"/>
          <w:highlight w:val="none"/>
          <w:lang w:val="en-US" w:eastAsia="zh-CN"/>
        </w:rPr>
        <w:t>②鄂州富晶电子技术有限公司、武汉科贝科技股份有限公司、鄂州鸿泰钢铁有限公司位于已建成企业聚集区边界附近，周边布设点位分别为HR-2-75、HR-1-75、HR-JJ-1、HR-JJ-2，各点位监测因子分别包括了对应的典型企业特征污染因子。</w:t>
      </w:r>
    </w:p>
    <w:p w14:paraId="1E03F451">
      <w:pPr>
        <w:rPr>
          <w:rFonts w:hint="default" w:ascii="Times New Roman" w:hAnsi="Times New Roman" w:cs="Times New Roman"/>
          <w:highlight w:val="none"/>
          <w:lang w:eastAsia="zh-CN"/>
        </w:rPr>
        <w:sectPr>
          <w:pgSz w:w="16781" w:h="11849" w:orient="landscape"/>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0" w:charSpace="0"/>
        </w:sectPr>
      </w:pPr>
      <w:bookmarkStart w:id="17" w:name="_Toc16072"/>
    </w:p>
    <w:p w14:paraId="6CFEB4C0">
      <w:pPr>
        <w:pStyle w:val="4"/>
        <w:tabs>
          <w:tab w:val="clear" w:pos="425"/>
        </w:tabs>
        <w:rPr>
          <w:rFonts w:hint="default" w:ascii="Times New Roman" w:hAnsi="Times New Roman" w:cs="Times New Roman"/>
          <w:highlight w:val="none"/>
        </w:rPr>
      </w:pPr>
      <w:r>
        <w:rPr>
          <w:rFonts w:hint="default" w:ascii="Times New Roman" w:hAnsi="Times New Roman" w:cs="Times New Roman"/>
          <w:highlight w:val="none"/>
          <w:lang w:eastAsia="zh-CN"/>
        </w:rPr>
        <w:t>地下水布点方案</w:t>
      </w:r>
      <w:bookmarkEnd w:id="17"/>
    </w:p>
    <w:p w14:paraId="68A961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为了解工业园周边地下水环境质量现状，拟于工业园周边设置2个地下水监测点位，分别</w:t>
      </w:r>
      <w:r>
        <w:rPr>
          <w:rFonts w:hint="eastAsia" w:cs="Times New Roman"/>
          <w:color w:val="000000" w:themeColor="text1"/>
          <w:kern w:val="0"/>
          <w:sz w:val="24"/>
          <w:highlight w:val="none"/>
          <w:lang w:val="en-US" w:eastAsia="zh-CN"/>
          <w14:textFill>
            <w14:solidFill>
              <w14:schemeClr w14:val="tx1"/>
            </w14:solidFill>
          </w14:textFill>
        </w:rPr>
        <w:t>位于</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园区的北侧和南侧。调查范围内地下水布点方案见表3-2-1和附图6。</w:t>
      </w:r>
    </w:p>
    <w:p w14:paraId="5F3544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
          <w:color w:val="000000"/>
          <w:sz w:val="24"/>
          <w:highlight w:val="none"/>
        </w:rPr>
      </w:pPr>
      <w:r>
        <w:rPr>
          <w:rFonts w:hint="default" w:ascii="Times New Roman" w:hAnsi="Times New Roman" w:eastAsia="黑体" w:cs="Times New Roman"/>
          <w:b/>
          <w:color w:val="000000"/>
          <w:sz w:val="24"/>
          <w:highlight w:val="none"/>
        </w:rPr>
        <w:t>表3-</w:t>
      </w:r>
      <w:r>
        <w:rPr>
          <w:rFonts w:hint="default" w:ascii="Times New Roman" w:hAnsi="Times New Roman" w:eastAsia="黑体" w:cs="Times New Roman"/>
          <w:b/>
          <w:color w:val="000000"/>
          <w:sz w:val="24"/>
          <w:highlight w:val="none"/>
          <w:lang w:val="en-US" w:eastAsia="zh-CN"/>
        </w:rPr>
        <w:t>2</w:t>
      </w:r>
      <w:r>
        <w:rPr>
          <w:rFonts w:hint="default" w:ascii="Times New Roman" w:hAnsi="Times New Roman" w:eastAsia="黑体" w:cs="Times New Roman"/>
          <w:b/>
          <w:color w:val="000000"/>
          <w:sz w:val="24"/>
          <w:highlight w:val="none"/>
        </w:rPr>
        <w:t xml:space="preserve">-1  </w:t>
      </w:r>
      <w:r>
        <w:rPr>
          <w:rFonts w:hint="default" w:ascii="Times New Roman" w:hAnsi="Times New Roman" w:eastAsia="黑体" w:cs="Times New Roman"/>
          <w:b/>
          <w:color w:val="000000"/>
          <w:sz w:val="24"/>
          <w:highlight w:val="none"/>
          <w:lang w:eastAsia="zh-CN"/>
        </w:rPr>
        <w:t>地下水</w:t>
      </w:r>
      <w:r>
        <w:rPr>
          <w:rFonts w:hint="default" w:ascii="Times New Roman" w:hAnsi="Times New Roman" w:eastAsia="黑体" w:cs="Times New Roman"/>
          <w:b/>
          <w:color w:val="000000"/>
          <w:sz w:val="24"/>
          <w:highlight w:val="none"/>
        </w:rPr>
        <w:t>布点方案一览表</w:t>
      </w:r>
    </w:p>
    <w:tbl>
      <w:tblPr>
        <w:tblStyle w:val="21"/>
        <w:tblpPr w:leftFromText="180" w:rightFromText="180" w:vertAnchor="text" w:horzAnchor="page" w:tblpX="1060" w:tblpY="96"/>
        <w:tblOverlap w:val="never"/>
        <w:tblW w:w="961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800"/>
        <w:gridCol w:w="2515"/>
        <w:gridCol w:w="2677"/>
        <w:gridCol w:w="2620"/>
      </w:tblGrid>
      <w:tr w14:paraId="2D1EA2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153" w:hRule="atLeast"/>
          <w:tblHeader/>
        </w:trPr>
        <w:tc>
          <w:tcPr>
            <w:tcW w:w="1800" w:type="dxa"/>
            <w:vMerge w:val="restart"/>
            <w:shd w:val="clear" w:color="auto" w:fill="auto"/>
            <w:noWrap/>
            <w:tcMar>
              <w:top w:w="15" w:type="dxa"/>
              <w:left w:w="15" w:type="dxa"/>
              <w:right w:w="15" w:type="dxa"/>
            </w:tcMar>
            <w:vAlign w:val="center"/>
          </w:tcPr>
          <w:p w14:paraId="7C1E83F7">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b/>
                <w:bCs/>
                <w:sz w:val="21"/>
                <w:szCs w:val="21"/>
                <w:highlight w:val="none"/>
                <w:lang w:eastAsia="zh-CN"/>
              </w:rPr>
            </w:pPr>
            <w:r>
              <w:rPr>
                <w:rFonts w:hint="default" w:ascii="Times New Roman" w:hAnsi="Times New Roman" w:cs="Times New Roman"/>
                <w:b/>
                <w:bCs/>
                <w:sz w:val="21"/>
                <w:szCs w:val="21"/>
                <w:highlight w:val="none"/>
                <w:lang w:eastAsia="zh-CN"/>
              </w:rPr>
              <w:t>监测点位</w:t>
            </w:r>
          </w:p>
        </w:tc>
        <w:tc>
          <w:tcPr>
            <w:tcW w:w="2515" w:type="dxa"/>
            <w:vMerge w:val="restart"/>
            <w:shd w:val="clear" w:color="auto" w:fill="auto"/>
            <w:noWrap/>
            <w:tcMar>
              <w:top w:w="15" w:type="dxa"/>
              <w:left w:w="15" w:type="dxa"/>
              <w:right w:w="15" w:type="dxa"/>
            </w:tcMar>
            <w:vAlign w:val="center"/>
          </w:tcPr>
          <w:p w14:paraId="16CC5D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b/>
                <w:bCs/>
                <w:sz w:val="21"/>
                <w:szCs w:val="21"/>
                <w:highlight w:val="none"/>
              </w:rPr>
            </w:pPr>
            <w:r>
              <w:rPr>
                <w:rFonts w:hint="default" w:ascii="Times New Roman" w:hAnsi="Times New Roman" w:eastAsia="宋体" w:cs="Times New Roman"/>
                <w:b/>
                <w:bCs/>
                <w:i w:val="0"/>
                <w:color w:val="000000"/>
                <w:kern w:val="0"/>
                <w:sz w:val="21"/>
                <w:szCs w:val="21"/>
                <w:highlight w:val="none"/>
                <w:u w:val="none"/>
                <w:lang w:val="en-US" w:eastAsia="zh-CN" w:bidi="ar"/>
              </w:rPr>
              <w:t>对应</w:t>
            </w:r>
            <w:r>
              <w:rPr>
                <w:rFonts w:hint="default" w:ascii="Times New Roman" w:hAnsi="Times New Roman" w:cs="Times New Roman"/>
                <w:b/>
                <w:bCs/>
                <w:i w:val="0"/>
                <w:color w:val="000000"/>
                <w:kern w:val="0"/>
                <w:sz w:val="21"/>
                <w:szCs w:val="21"/>
                <w:highlight w:val="none"/>
                <w:u w:val="none"/>
                <w:lang w:val="en-US" w:eastAsia="zh-CN" w:bidi="ar"/>
              </w:rPr>
              <w:t>土壤点位</w:t>
            </w:r>
          </w:p>
        </w:tc>
        <w:tc>
          <w:tcPr>
            <w:tcW w:w="5297" w:type="dxa"/>
            <w:gridSpan w:val="2"/>
            <w:tcBorders>
              <w:bottom w:val="single" w:color="auto" w:sz="4" w:space="0"/>
            </w:tcBorders>
            <w:shd w:val="clear" w:color="auto" w:fill="auto"/>
            <w:noWrap/>
            <w:tcMar>
              <w:top w:w="15" w:type="dxa"/>
              <w:left w:w="15" w:type="dxa"/>
              <w:right w:w="15" w:type="dxa"/>
            </w:tcMar>
            <w:vAlign w:val="center"/>
          </w:tcPr>
          <w:p w14:paraId="115118FE">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b/>
                <w:bCs/>
                <w:sz w:val="21"/>
                <w:szCs w:val="21"/>
                <w:highlight w:val="none"/>
                <w:lang w:val="en-US" w:eastAsia="zh-CN"/>
              </w:rPr>
            </w:pPr>
            <w:r>
              <w:rPr>
                <w:rFonts w:hint="eastAsia" w:cs="Times New Roman"/>
                <w:b/>
                <w:bCs/>
                <w:sz w:val="21"/>
                <w:szCs w:val="21"/>
                <w:highlight w:val="none"/>
                <w:lang w:val="en-US" w:eastAsia="zh-CN"/>
              </w:rPr>
              <w:t>坐标</w:t>
            </w:r>
          </w:p>
        </w:tc>
      </w:tr>
      <w:tr w14:paraId="185FC3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22" w:hRule="atLeast"/>
          <w:tblHeader/>
        </w:trPr>
        <w:tc>
          <w:tcPr>
            <w:tcW w:w="1800" w:type="dxa"/>
            <w:vMerge w:val="continue"/>
            <w:tcBorders>
              <w:bottom w:val="single" w:color="auto" w:sz="12" w:space="0"/>
            </w:tcBorders>
            <w:shd w:val="clear" w:color="auto" w:fill="auto"/>
            <w:noWrap/>
            <w:tcMar>
              <w:top w:w="15" w:type="dxa"/>
              <w:left w:w="15" w:type="dxa"/>
              <w:right w:w="15" w:type="dxa"/>
            </w:tcMar>
            <w:vAlign w:val="center"/>
          </w:tcPr>
          <w:p w14:paraId="07925431">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sz w:val="21"/>
                <w:szCs w:val="21"/>
                <w:highlight w:val="none"/>
                <w:lang w:eastAsia="zh-CN"/>
              </w:rPr>
            </w:pPr>
          </w:p>
        </w:tc>
        <w:tc>
          <w:tcPr>
            <w:tcW w:w="2515" w:type="dxa"/>
            <w:vMerge w:val="continue"/>
            <w:tcBorders>
              <w:bottom w:val="single" w:color="auto" w:sz="12" w:space="0"/>
            </w:tcBorders>
            <w:shd w:val="clear" w:color="auto" w:fill="auto"/>
            <w:noWrap/>
            <w:tcMar>
              <w:top w:w="15" w:type="dxa"/>
              <w:left w:w="15" w:type="dxa"/>
              <w:right w:w="15" w:type="dxa"/>
            </w:tcMar>
            <w:vAlign w:val="center"/>
          </w:tcPr>
          <w:p w14:paraId="69DF39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kern w:val="0"/>
                <w:sz w:val="21"/>
                <w:szCs w:val="21"/>
                <w:highlight w:val="none"/>
                <w:u w:val="none"/>
                <w:lang w:val="en-US" w:eastAsia="zh-CN" w:bidi="ar"/>
              </w:rPr>
            </w:pPr>
          </w:p>
        </w:tc>
        <w:tc>
          <w:tcPr>
            <w:tcW w:w="2677" w:type="dxa"/>
            <w:tcBorders>
              <w:bottom w:val="single" w:color="auto" w:sz="12" w:space="0"/>
            </w:tcBorders>
            <w:shd w:val="clear" w:color="auto" w:fill="auto"/>
            <w:noWrap/>
            <w:tcMar>
              <w:top w:w="15" w:type="dxa"/>
              <w:left w:w="15" w:type="dxa"/>
              <w:right w:w="15" w:type="dxa"/>
            </w:tcMar>
            <w:vAlign w:val="center"/>
          </w:tcPr>
          <w:p w14:paraId="0C64901D">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经度（°）</w:t>
            </w:r>
          </w:p>
        </w:tc>
        <w:tc>
          <w:tcPr>
            <w:tcW w:w="2620" w:type="dxa"/>
            <w:tcBorders>
              <w:bottom w:val="single" w:color="auto" w:sz="12" w:space="0"/>
            </w:tcBorders>
            <w:shd w:val="clear" w:color="auto" w:fill="auto"/>
            <w:noWrap/>
            <w:tcMar>
              <w:top w:w="15" w:type="dxa"/>
              <w:left w:w="15" w:type="dxa"/>
              <w:right w:w="15" w:type="dxa"/>
            </w:tcMar>
            <w:vAlign w:val="center"/>
          </w:tcPr>
          <w:p w14:paraId="6DE72AE3">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纬度（°）</w:t>
            </w:r>
          </w:p>
        </w:tc>
      </w:tr>
      <w:tr w14:paraId="16E694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0" w:hRule="atLeast"/>
          <w:tblHeader/>
        </w:trPr>
        <w:tc>
          <w:tcPr>
            <w:tcW w:w="1800" w:type="dxa"/>
            <w:tcBorders>
              <w:top w:val="single" w:color="auto" w:sz="12" w:space="0"/>
              <w:tl2br w:val="nil"/>
              <w:tr2bl w:val="nil"/>
            </w:tcBorders>
            <w:shd w:val="clear" w:color="auto" w:fill="auto"/>
            <w:noWrap/>
            <w:tcMar>
              <w:top w:w="15" w:type="dxa"/>
              <w:left w:w="15" w:type="dxa"/>
              <w:right w:w="15" w:type="dxa"/>
            </w:tcMar>
            <w:vAlign w:val="center"/>
          </w:tcPr>
          <w:p w14:paraId="2A4BD9F3">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HR-W1</w:t>
            </w:r>
          </w:p>
        </w:tc>
        <w:tc>
          <w:tcPr>
            <w:tcW w:w="2515" w:type="dxa"/>
            <w:tcBorders>
              <w:top w:val="single" w:color="auto" w:sz="12" w:space="0"/>
              <w:tl2br w:val="nil"/>
              <w:tr2bl w:val="nil"/>
            </w:tcBorders>
            <w:shd w:val="clear" w:color="auto" w:fill="auto"/>
            <w:noWrap/>
            <w:tcMar>
              <w:top w:w="15" w:type="dxa"/>
              <w:left w:w="15" w:type="dxa"/>
              <w:right w:w="15" w:type="dxa"/>
            </w:tcMar>
            <w:vAlign w:val="center"/>
          </w:tcPr>
          <w:p w14:paraId="7D55DE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HR-3-400</w:t>
            </w:r>
          </w:p>
        </w:tc>
        <w:tc>
          <w:tcPr>
            <w:tcW w:w="2677" w:type="dxa"/>
            <w:tcBorders>
              <w:top w:val="single" w:color="auto" w:sz="12" w:space="0"/>
              <w:tl2br w:val="nil"/>
              <w:tr2bl w:val="nil"/>
            </w:tcBorders>
            <w:shd w:val="clear" w:color="auto" w:fill="auto"/>
            <w:noWrap/>
            <w:tcMar>
              <w:top w:w="15" w:type="dxa"/>
              <w:left w:w="15" w:type="dxa"/>
              <w:right w:w="15" w:type="dxa"/>
            </w:tcMar>
            <w:vAlign w:val="center"/>
          </w:tcPr>
          <w:p w14:paraId="06622D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114.728014</w:t>
            </w:r>
          </w:p>
        </w:tc>
        <w:tc>
          <w:tcPr>
            <w:tcW w:w="2620" w:type="dxa"/>
            <w:tcBorders>
              <w:top w:val="single" w:color="auto" w:sz="12" w:space="0"/>
              <w:tl2br w:val="nil"/>
              <w:tr2bl w:val="nil"/>
            </w:tcBorders>
            <w:shd w:val="clear" w:color="auto" w:fill="auto"/>
            <w:noWrap/>
            <w:tcMar>
              <w:top w:w="15" w:type="dxa"/>
              <w:left w:w="15" w:type="dxa"/>
              <w:right w:w="15" w:type="dxa"/>
            </w:tcMar>
            <w:vAlign w:val="center"/>
          </w:tcPr>
          <w:p w14:paraId="18E5A1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30.518295</w:t>
            </w:r>
          </w:p>
        </w:tc>
      </w:tr>
      <w:tr w14:paraId="003D91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blHeader/>
        </w:trPr>
        <w:tc>
          <w:tcPr>
            <w:tcW w:w="1800" w:type="dxa"/>
            <w:shd w:val="clear" w:color="auto" w:fill="auto"/>
            <w:vAlign w:val="center"/>
          </w:tcPr>
          <w:p w14:paraId="79EF2686">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HR-W2</w:t>
            </w:r>
          </w:p>
        </w:tc>
        <w:tc>
          <w:tcPr>
            <w:tcW w:w="2515" w:type="dxa"/>
            <w:shd w:val="clear" w:color="auto" w:fill="auto"/>
            <w:vAlign w:val="center"/>
          </w:tcPr>
          <w:p w14:paraId="2C85005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HR-5</w:t>
            </w:r>
          </w:p>
        </w:tc>
        <w:tc>
          <w:tcPr>
            <w:tcW w:w="2677" w:type="dxa"/>
            <w:shd w:val="clear" w:color="auto" w:fill="auto"/>
            <w:vAlign w:val="center"/>
          </w:tcPr>
          <w:p w14:paraId="3C4B49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114.712393</w:t>
            </w:r>
          </w:p>
        </w:tc>
        <w:tc>
          <w:tcPr>
            <w:tcW w:w="2620" w:type="dxa"/>
            <w:shd w:val="clear" w:color="auto" w:fill="auto"/>
            <w:vAlign w:val="center"/>
          </w:tcPr>
          <w:p w14:paraId="4BD617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30.546388</w:t>
            </w:r>
          </w:p>
        </w:tc>
      </w:tr>
    </w:tbl>
    <w:p w14:paraId="20A06C51">
      <w:pPr>
        <w:spacing w:line="360" w:lineRule="auto"/>
        <w:ind w:left="1" w:firstLine="480" w:firstLineChars="200"/>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参考</w:t>
      </w:r>
      <w:r>
        <w:rPr>
          <w:rFonts w:hint="default" w:ascii="Times New Roman" w:hAnsi="Times New Roman" w:cs="Times New Roman"/>
          <w:color w:val="000000" w:themeColor="text1"/>
          <w:sz w:val="24"/>
          <w:highlight w:val="none"/>
          <w:lang w:eastAsia="zh-CN"/>
          <w14:textFill>
            <w14:solidFill>
              <w14:schemeClr w14:val="tx1"/>
            </w14:solidFill>
          </w14:textFill>
        </w:rPr>
        <w:t>《地下水质量标准》（GB/T 14848-2017），地下水</w:t>
      </w:r>
      <w:r>
        <w:rPr>
          <w:rFonts w:hint="default" w:ascii="Times New Roman" w:hAnsi="Times New Roman" w:cs="Times New Roman"/>
          <w:color w:val="000000" w:themeColor="text1"/>
          <w:sz w:val="24"/>
          <w:highlight w:val="none"/>
          <w14:textFill>
            <w14:solidFill>
              <w14:schemeClr w14:val="tx1"/>
            </w14:solidFill>
          </w14:textFill>
        </w:rPr>
        <w:t>监测指标包括无机项目</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14项</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、金属类</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13项</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、有机物类</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5项</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等</w:t>
      </w:r>
      <w:r>
        <w:rPr>
          <w:rFonts w:hint="default" w:ascii="Times New Roman" w:hAnsi="Times New Roman" w:cs="Times New Roman"/>
          <w:color w:val="000000" w:themeColor="text1"/>
          <w:sz w:val="24"/>
          <w:highlight w:val="none"/>
          <w:lang w:eastAsia="zh-CN"/>
          <w14:textFill>
            <w14:solidFill>
              <w14:schemeClr w14:val="tx1"/>
            </w14:solidFill>
          </w14:textFill>
        </w:rPr>
        <w:t>共</w:t>
      </w:r>
      <w:r>
        <w:rPr>
          <w:rFonts w:hint="default" w:ascii="Times New Roman" w:hAnsi="Times New Roman" w:cs="Times New Roman"/>
          <w:color w:val="000000" w:themeColor="text1"/>
          <w:sz w:val="24"/>
          <w:highlight w:val="none"/>
          <w:lang w:val="en-US" w:eastAsia="zh-CN"/>
          <w14:textFill>
            <w14:solidFill>
              <w14:schemeClr w14:val="tx1"/>
            </w14:solidFill>
          </w14:textFill>
        </w:rPr>
        <w:t>32</w:t>
      </w:r>
      <w:r>
        <w:rPr>
          <w:rFonts w:hint="default" w:ascii="Times New Roman" w:hAnsi="Times New Roman" w:cs="Times New Roman"/>
          <w:color w:val="000000" w:themeColor="text1"/>
          <w:sz w:val="24"/>
          <w:highlight w:val="none"/>
          <w14:textFill>
            <w14:solidFill>
              <w14:schemeClr w14:val="tx1"/>
            </w14:solidFill>
          </w14:textFill>
        </w:rPr>
        <w:t>项</w:t>
      </w:r>
      <w:r>
        <w:rPr>
          <w:rFonts w:hint="default" w:ascii="Times New Roman" w:hAnsi="Times New Roman" w:cs="Times New Roman"/>
          <w:color w:val="000000" w:themeColor="text1"/>
          <w:sz w:val="24"/>
          <w:highlight w:val="none"/>
          <w:lang w:eastAsia="zh-CN"/>
          <w14:textFill>
            <w14:solidFill>
              <w14:schemeClr w14:val="tx1"/>
            </w14:solidFill>
          </w14:textFill>
        </w:rPr>
        <w:t>：</w:t>
      </w:r>
    </w:p>
    <w:p w14:paraId="103F3E9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b/>
          <w:bCs/>
          <w:color w:val="000000" w:themeColor="text1"/>
          <w:sz w:val="24"/>
          <w:highlight w:val="none"/>
          <w:lang w:eastAsia="zh-CN"/>
          <w14:textFill>
            <w14:solidFill>
              <w14:schemeClr w14:val="tx1"/>
            </w14:solidFill>
          </w14:textFill>
        </w:rPr>
        <w:t>（</w:t>
      </w:r>
      <w:r>
        <w:rPr>
          <w:rFonts w:hint="default" w:ascii="Times New Roman" w:hAnsi="Times New Roman" w:cs="Times New Roman"/>
          <w:b/>
          <w:bCs/>
          <w:color w:val="000000" w:themeColor="text1"/>
          <w:sz w:val="24"/>
          <w:highlight w:val="none"/>
          <w:lang w:val="en-US" w:eastAsia="zh-CN"/>
          <w14:textFill>
            <w14:solidFill>
              <w14:schemeClr w14:val="tx1"/>
            </w14:solidFill>
          </w14:textFill>
        </w:rPr>
        <w:t>1</w:t>
      </w:r>
      <w:r>
        <w:rPr>
          <w:rFonts w:hint="default" w:ascii="Times New Roman" w:hAnsi="Times New Roman" w:cs="Times New Roman"/>
          <w:b/>
          <w:bCs/>
          <w:color w:val="000000" w:themeColor="text1"/>
          <w:sz w:val="24"/>
          <w:highlight w:val="none"/>
          <w:lang w:eastAsia="zh-CN"/>
          <w14:textFill>
            <w14:solidFill>
              <w14:schemeClr w14:val="tx1"/>
            </w14:solidFill>
          </w14:textFill>
        </w:rPr>
        <w:t>）</w:t>
      </w:r>
      <w:r>
        <w:rPr>
          <w:rFonts w:hint="default" w:ascii="Times New Roman" w:hAnsi="Times New Roman" w:cs="Times New Roman"/>
          <w:b/>
          <w:bCs/>
          <w:color w:val="000000" w:themeColor="text1"/>
          <w:sz w:val="24"/>
          <w:highlight w:val="none"/>
          <w14:textFill>
            <w14:solidFill>
              <w14:schemeClr w14:val="tx1"/>
            </w14:solidFill>
          </w14:textFill>
        </w:rPr>
        <w:t>无机项目</w:t>
      </w:r>
      <w:r>
        <w:rPr>
          <w:rFonts w:hint="default" w:ascii="Times New Roman" w:hAnsi="Times New Roman" w:cs="Times New Roman"/>
          <w:b/>
          <w:bCs/>
          <w:color w:val="000000" w:themeColor="text1"/>
          <w:sz w:val="24"/>
          <w:highlight w:val="none"/>
          <w:lang w:eastAsia="zh-CN"/>
          <w14:textFill>
            <w14:solidFill>
              <w14:schemeClr w14:val="tx1"/>
            </w14:solidFill>
          </w14:textFill>
        </w:rPr>
        <w:t>（</w:t>
      </w:r>
      <w:r>
        <w:rPr>
          <w:rFonts w:hint="default" w:ascii="Times New Roman" w:hAnsi="Times New Roman" w:cs="Times New Roman"/>
          <w:b/>
          <w:bCs/>
          <w:color w:val="000000" w:themeColor="text1"/>
          <w:sz w:val="24"/>
          <w:highlight w:val="none"/>
          <w:lang w:val="en-US" w:eastAsia="zh-CN"/>
          <w14:textFill>
            <w14:solidFill>
              <w14:schemeClr w14:val="tx1"/>
            </w14:solidFill>
          </w14:textFill>
        </w:rPr>
        <w:t>14项</w:t>
      </w:r>
      <w:r>
        <w:rPr>
          <w:rFonts w:hint="default" w:ascii="Times New Roman" w:hAnsi="Times New Roman" w:cs="Times New Roman"/>
          <w:b/>
          <w:bCs/>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pH、总硬度、溶解性总固体、</w:t>
      </w:r>
      <w:r>
        <w:rPr>
          <w:rFonts w:hint="default" w:ascii="Times New Roman" w:hAnsi="Times New Roman" w:cs="Times New Roman"/>
          <w:color w:val="000000" w:themeColor="text1"/>
          <w:sz w:val="24"/>
          <w:highlight w:val="none"/>
          <w:lang w:eastAsia="zh-CN"/>
          <w14:textFill>
            <w14:solidFill>
              <w14:schemeClr w14:val="tx1"/>
            </w14:solidFill>
          </w14:textFill>
        </w:rPr>
        <w:t>耗氧量、</w:t>
      </w:r>
      <w:r>
        <w:rPr>
          <w:rFonts w:hint="default" w:ascii="Times New Roman" w:hAnsi="Times New Roman" w:cs="Times New Roman"/>
          <w:color w:val="000000" w:themeColor="text1"/>
          <w:sz w:val="24"/>
          <w:highlight w:val="none"/>
          <w14:textFill>
            <w14:solidFill>
              <w14:schemeClr w14:val="tx1"/>
            </w14:solidFill>
          </w14:textFill>
        </w:rPr>
        <w:t>硫酸盐、</w:t>
      </w:r>
      <w:r>
        <w:rPr>
          <w:rFonts w:hint="default" w:ascii="Times New Roman" w:hAnsi="Times New Roman" w:cs="Times New Roman"/>
          <w:color w:val="000000" w:themeColor="text1"/>
          <w:sz w:val="24"/>
          <w:highlight w:val="none"/>
          <w:lang w:eastAsia="zh-CN"/>
          <w14:textFill>
            <w14:solidFill>
              <w14:schemeClr w14:val="tx1"/>
            </w14:solidFill>
          </w14:textFill>
        </w:rPr>
        <w:t>硝酸盐、</w:t>
      </w:r>
      <w:r>
        <w:rPr>
          <w:rFonts w:hint="default" w:ascii="Times New Roman" w:hAnsi="Times New Roman" w:cs="Times New Roman"/>
          <w:color w:val="000000" w:themeColor="text1"/>
          <w:sz w:val="24"/>
          <w:highlight w:val="none"/>
          <w14:textFill>
            <w14:solidFill>
              <w14:schemeClr w14:val="tx1"/>
            </w14:solidFill>
          </w14:textFill>
        </w:rPr>
        <w:t>氯化物、</w:t>
      </w:r>
      <w:r>
        <w:rPr>
          <w:rFonts w:hint="eastAsia" w:cs="Times New Roman"/>
          <w:color w:val="000000" w:themeColor="text1"/>
          <w:sz w:val="24"/>
          <w:highlight w:val="none"/>
          <w:lang w:eastAsia="zh-CN"/>
          <w14:textFill>
            <w14:solidFill>
              <w14:schemeClr w14:val="tx1"/>
            </w14:solidFill>
          </w14:textFill>
        </w:rPr>
        <w:t>总氟化物</w:t>
      </w:r>
      <w:r>
        <w:rPr>
          <w:rFonts w:hint="default" w:ascii="Times New Roman" w:hAnsi="Times New Roman" w:cs="Times New Roman"/>
          <w:color w:val="000000" w:themeColor="text1"/>
          <w:sz w:val="24"/>
          <w:highlight w:val="none"/>
          <w:lang w:eastAsia="zh-CN"/>
          <w14:textFill>
            <w14:solidFill>
              <w14:schemeClr w14:val="tx1"/>
            </w14:solidFill>
          </w14:textFill>
        </w:rPr>
        <w:t>、挥发酚、</w:t>
      </w:r>
      <w:r>
        <w:rPr>
          <w:rFonts w:hint="default" w:ascii="Times New Roman" w:hAnsi="Times New Roman" w:cs="Times New Roman"/>
          <w:color w:val="000000" w:themeColor="text1"/>
          <w:sz w:val="24"/>
          <w:highlight w:val="none"/>
          <w14:textFill>
            <w14:solidFill>
              <w14:schemeClr w14:val="tx1"/>
            </w14:solidFill>
          </w14:textFill>
        </w:rPr>
        <w:t>阴离子表面活性剂、氨氮、</w:t>
      </w:r>
      <w:r>
        <w:rPr>
          <w:rFonts w:hint="default" w:ascii="Times New Roman" w:hAnsi="Times New Roman" w:cs="Times New Roman"/>
          <w:color w:val="000000" w:themeColor="text1"/>
          <w:sz w:val="24"/>
          <w:highlight w:val="none"/>
          <w:lang w:eastAsia="zh-CN"/>
          <w14:textFill>
            <w14:solidFill>
              <w14:schemeClr w14:val="tx1"/>
            </w14:solidFill>
          </w14:textFill>
        </w:rPr>
        <w:t>硫化物、</w:t>
      </w:r>
      <w:r>
        <w:rPr>
          <w:rFonts w:hint="default" w:ascii="Times New Roman" w:hAnsi="Times New Roman" w:cs="Times New Roman"/>
          <w:color w:val="000000" w:themeColor="text1"/>
          <w:sz w:val="24"/>
          <w:highlight w:val="none"/>
          <w14:textFill>
            <w14:solidFill>
              <w14:schemeClr w14:val="tx1"/>
            </w14:solidFill>
          </w14:textFill>
        </w:rPr>
        <w:t>亚硝酸盐、氰化物</w:t>
      </w:r>
      <w:r>
        <w:rPr>
          <w:rFonts w:hint="default" w:ascii="Times New Roman" w:hAnsi="Times New Roman" w:cs="Times New Roman"/>
          <w:color w:val="000000" w:themeColor="text1"/>
          <w:sz w:val="24"/>
          <w:highlight w:val="none"/>
          <w:lang w:eastAsia="zh-CN"/>
          <w14:textFill>
            <w14:solidFill>
              <w14:schemeClr w14:val="tx1"/>
            </w14:solidFill>
          </w14:textFill>
        </w:rPr>
        <w:t>；</w:t>
      </w:r>
    </w:p>
    <w:p w14:paraId="1E5ADF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default" w:ascii="Times New Roman" w:hAnsi="Times New Roman" w:cs="Times New Roman"/>
          <w:color w:val="000000" w:themeColor="text1"/>
          <w:sz w:val="24"/>
          <w:highlight w:val="none"/>
          <w:lang w:eastAsia="zh-CN"/>
          <w14:textFill>
            <w14:solidFill>
              <w14:schemeClr w14:val="tx1"/>
            </w14:solidFill>
          </w14:textFill>
        </w:rPr>
      </w:pPr>
      <w:r>
        <w:rPr>
          <w:rFonts w:hint="default" w:ascii="Times New Roman" w:hAnsi="Times New Roman" w:cs="Times New Roman"/>
          <w:b/>
          <w:bCs/>
          <w:color w:val="000000" w:themeColor="text1"/>
          <w:sz w:val="24"/>
          <w:highlight w:val="none"/>
          <w:lang w:eastAsia="zh-CN"/>
          <w14:textFill>
            <w14:solidFill>
              <w14:schemeClr w14:val="tx1"/>
            </w14:solidFill>
          </w14:textFill>
        </w:rPr>
        <w:t>（</w:t>
      </w:r>
      <w:r>
        <w:rPr>
          <w:rFonts w:hint="default" w:ascii="Times New Roman" w:hAnsi="Times New Roman" w:cs="Times New Roman"/>
          <w:b/>
          <w:bCs/>
          <w:color w:val="000000" w:themeColor="text1"/>
          <w:sz w:val="24"/>
          <w:highlight w:val="none"/>
          <w:lang w:val="en-US" w:eastAsia="zh-CN"/>
          <w14:textFill>
            <w14:solidFill>
              <w14:schemeClr w14:val="tx1"/>
            </w14:solidFill>
          </w14:textFill>
        </w:rPr>
        <w:t>2</w:t>
      </w:r>
      <w:r>
        <w:rPr>
          <w:rFonts w:hint="default" w:ascii="Times New Roman" w:hAnsi="Times New Roman" w:cs="Times New Roman"/>
          <w:b/>
          <w:bCs/>
          <w:color w:val="000000" w:themeColor="text1"/>
          <w:sz w:val="24"/>
          <w:highlight w:val="none"/>
          <w:lang w:eastAsia="zh-CN"/>
          <w14:textFill>
            <w14:solidFill>
              <w14:schemeClr w14:val="tx1"/>
            </w14:solidFill>
          </w14:textFill>
        </w:rPr>
        <w:t>）</w:t>
      </w:r>
      <w:r>
        <w:rPr>
          <w:rFonts w:hint="default" w:ascii="Times New Roman" w:hAnsi="Times New Roman" w:cs="Times New Roman"/>
          <w:b/>
          <w:bCs/>
          <w:color w:val="000000" w:themeColor="text1"/>
          <w:sz w:val="24"/>
          <w:highlight w:val="none"/>
          <w14:textFill>
            <w14:solidFill>
              <w14:schemeClr w14:val="tx1"/>
            </w14:solidFill>
          </w14:textFill>
        </w:rPr>
        <w:t>金属类</w:t>
      </w:r>
      <w:r>
        <w:rPr>
          <w:rFonts w:hint="default" w:ascii="Times New Roman" w:hAnsi="Times New Roman" w:cs="Times New Roman"/>
          <w:b/>
          <w:bCs/>
          <w:color w:val="000000" w:themeColor="text1"/>
          <w:sz w:val="24"/>
          <w:highlight w:val="none"/>
          <w:lang w:eastAsia="zh-CN"/>
          <w14:textFill>
            <w14:solidFill>
              <w14:schemeClr w14:val="tx1"/>
            </w14:solidFill>
          </w14:textFill>
        </w:rPr>
        <w:t>（</w:t>
      </w:r>
      <w:r>
        <w:rPr>
          <w:rFonts w:hint="default" w:ascii="Times New Roman" w:hAnsi="Times New Roman" w:cs="Times New Roman"/>
          <w:b/>
          <w:bCs/>
          <w:color w:val="000000" w:themeColor="text1"/>
          <w:sz w:val="24"/>
          <w:highlight w:val="none"/>
          <w:lang w:val="en-US" w:eastAsia="zh-CN"/>
          <w14:textFill>
            <w14:solidFill>
              <w14:schemeClr w14:val="tx1"/>
            </w14:solidFill>
          </w14:textFill>
        </w:rPr>
        <w:t>13项</w:t>
      </w:r>
      <w:r>
        <w:rPr>
          <w:rFonts w:hint="default" w:ascii="Times New Roman" w:hAnsi="Times New Roman" w:cs="Times New Roman"/>
          <w:b/>
          <w:bCs/>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铁、锰、铜、铝、钠、锌、</w:t>
      </w:r>
      <w:r>
        <w:rPr>
          <w:rFonts w:hint="default" w:ascii="Times New Roman" w:hAnsi="Times New Roman" w:cs="Times New Roman"/>
          <w:color w:val="000000" w:themeColor="text1"/>
          <w:sz w:val="24"/>
          <w:highlight w:val="none"/>
          <w:lang w:eastAsia="zh-CN"/>
          <w14:textFill>
            <w14:solidFill>
              <w14:schemeClr w14:val="tx1"/>
            </w14:solidFill>
          </w14:textFill>
        </w:rPr>
        <w:t>铬</w:t>
      </w:r>
      <w:r>
        <w:rPr>
          <w:rFonts w:hint="default" w:ascii="Times New Roman" w:hAnsi="Times New Roman" w:cs="Times New Roman"/>
          <w:color w:val="000000" w:themeColor="text1"/>
          <w:sz w:val="24"/>
          <w:highlight w:val="none"/>
          <w14:textFill>
            <w14:solidFill>
              <w14:schemeClr w14:val="tx1"/>
            </w14:solidFill>
          </w14:textFill>
        </w:rPr>
        <w:t>、汞、砷、硒、镉、铬（六价）</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铅</w:t>
      </w:r>
      <w:r>
        <w:rPr>
          <w:rFonts w:hint="default" w:ascii="Times New Roman" w:hAnsi="Times New Roman" w:cs="Times New Roman"/>
          <w:color w:val="000000" w:themeColor="text1"/>
          <w:sz w:val="24"/>
          <w:highlight w:val="none"/>
          <w:lang w:eastAsia="zh-CN"/>
          <w14:textFill>
            <w14:solidFill>
              <w14:schemeClr w14:val="tx1"/>
            </w14:solidFill>
          </w14:textFill>
        </w:rPr>
        <w:t>；</w:t>
      </w:r>
    </w:p>
    <w:p w14:paraId="6D740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b/>
          <w:bCs/>
          <w:color w:val="000000" w:themeColor="text1"/>
          <w:sz w:val="24"/>
          <w:highlight w:val="none"/>
          <w:lang w:eastAsia="zh-CN"/>
          <w14:textFill>
            <w14:solidFill>
              <w14:schemeClr w14:val="tx1"/>
            </w14:solidFill>
          </w14:textFill>
        </w:rPr>
        <w:t>（</w:t>
      </w:r>
      <w:r>
        <w:rPr>
          <w:rFonts w:hint="default" w:ascii="Times New Roman" w:hAnsi="Times New Roman" w:cs="Times New Roman"/>
          <w:b/>
          <w:bCs/>
          <w:color w:val="000000" w:themeColor="text1"/>
          <w:sz w:val="24"/>
          <w:highlight w:val="none"/>
          <w:lang w:val="en-US" w:eastAsia="zh-CN"/>
          <w14:textFill>
            <w14:solidFill>
              <w14:schemeClr w14:val="tx1"/>
            </w14:solidFill>
          </w14:textFill>
        </w:rPr>
        <w:t>3</w:t>
      </w:r>
      <w:r>
        <w:rPr>
          <w:rFonts w:hint="default" w:ascii="Times New Roman" w:hAnsi="Times New Roman" w:cs="Times New Roman"/>
          <w:b/>
          <w:bCs/>
          <w:color w:val="000000" w:themeColor="text1"/>
          <w:sz w:val="24"/>
          <w:highlight w:val="none"/>
          <w:lang w:eastAsia="zh-CN"/>
          <w14:textFill>
            <w14:solidFill>
              <w14:schemeClr w14:val="tx1"/>
            </w14:solidFill>
          </w14:textFill>
        </w:rPr>
        <w:t>）</w:t>
      </w:r>
      <w:r>
        <w:rPr>
          <w:rFonts w:hint="default" w:ascii="Times New Roman" w:hAnsi="Times New Roman" w:cs="Times New Roman"/>
          <w:b/>
          <w:bCs/>
          <w:color w:val="000000" w:themeColor="text1"/>
          <w:sz w:val="24"/>
          <w:highlight w:val="none"/>
          <w14:textFill>
            <w14:solidFill>
              <w14:schemeClr w14:val="tx1"/>
            </w14:solidFill>
          </w14:textFill>
        </w:rPr>
        <w:t>有机物类</w:t>
      </w:r>
      <w:r>
        <w:rPr>
          <w:rFonts w:hint="default" w:ascii="Times New Roman" w:hAnsi="Times New Roman" w:cs="Times New Roman"/>
          <w:b/>
          <w:bCs/>
          <w:color w:val="000000" w:themeColor="text1"/>
          <w:sz w:val="24"/>
          <w:highlight w:val="none"/>
          <w:lang w:eastAsia="zh-CN"/>
          <w14:textFill>
            <w14:solidFill>
              <w14:schemeClr w14:val="tx1"/>
            </w14:solidFill>
          </w14:textFill>
        </w:rPr>
        <w:t>（</w:t>
      </w:r>
      <w:r>
        <w:rPr>
          <w:rFonts w:hint="default" w:ascii="Times New Roman" w:hAnsi="Times New Roman" w:cs="Times New Roman"/>
          <w:b/>
          <w:bCs/>
          <w:color w:val="000000" w:themeColor="text1"/>
          <w:sz w:val="24"/>
          <w:highlight w:val="none"/>
          <w:lang w:val="en-US" w:eastAsia="zh-CN"/>
          <w14:textFill>
            <w14:solidFill>
              <w14:schemeClr w14:val="tx1"/>
            </w14:solidFill>
          </w14:textFill>
        </w:rPr>
        <w:t>5项</w:t>
      </w:r>
      <w:r>
        <w:rPr>
          <w:rFonts w:hint="default" w:ascii="Times New Roman" w:hAnsi="Times New Roman" w:cs="Times New Roman"/>
          <w:b/>
          <w:bCs/>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eastAsia" w:cs="Times New Roman"/>
          <w:color w:val="000000" w:themeColor="text1"/>
          <w:sz w:val="24"/>
          <w:highlight w:val="none"/>
          <w:lang w:eastAsia="zh-CN"/>
          <w14:textFill>
            <w14:solidFill>
              <w14:schemeClr w14:val="tx1"/>
            </w14:solidFill>
          </w14:textFill>
        </w:rPr>
        <w:t>氯仿</w:t>
      </w:r>
      <w:r>
        <w:rPr>
          <w:rFonts w:hint="default" w:ascii="Times New Roman" w:hAnsi="Times New Roman" w:cs="Times New Roman"/>
          <w:color w:val="000000" w:themeColor="text1"/>
          <w:sz w:val="24"/>
          <w:highlight w:val="none"/>
          <w14:textFill>
            <w14:solidFill>
              <w14:schemeClr w14:val="tx1"/>
            </w14:solidFill>
          </w14:textFill>
        </w:rPr>
        <w:t>、四氯化碳、苯、甲苯、</w:t>
      </w:r>
      <w:r>
        <w:rPr>
          <w:rFonts w:hint="default" w:ascii="Times New Roman" w:hAnsi="Times New Roman" w:cs="Times New Roman"/>
          <w:color w:val="000000" w:themeColor="text1"/>
          <w:sz w:val="24"/>
          <w:highlight w:val="none"/>
          <w:lang w:eastAsia="zh-CN"/>
          <w14:textFill>
            <w14:solidFill>
              <w14:schemeClr w14:val="tx1"/>
            </w14:solidFill>
          </w14:textFill>
        </w:rPr>
        <w:t>石油类</w:t>
      </w:r>
      <w:r>
        <w:rPr>
          <w:rFonts w:hint="default" w:ascii="Times New Roman" w:hAnsi="Times New Roman" w:cs="Times New Roman"/>
          <w:color w:val="000000" w:themeColor="text1"/>
          <w:sz w:val="24"/>
          <w:highlight w:val="none"/>
          <w14:textFill>
            <w14:solidFill>
              <w14:schemeClr w14:val="tx1"/>
            </w14:solidFill>
          </w14:textFill>
        </w:rPr>
        <w:t>。</w:t>
      </w:r>
    </w:p>
    <w:p w14:paraId="05D6FE3B">
      <w:pPr>
        <w:pStyle w:val="4"/>
        <w:tabs>
          <w:tab w:val="clear" w:pos="425"/>
        </w:tabs>
        <w:bidi w:val="0"/>
        <w:rPr>
          <w:rFonts w:hint="default" w:ascii="Times New Roman" w:hAnsi="Times New Roman" w:cs="Times New Roman"/>
          <w:highlight w:val="none"/>
        </w:rPr>
      </w:pPr>
      <w:bookmarkStart w:id="18" w:name="_Toc31108"/>
      <w:r>
        <w:rPr>
          <w:rFonts w:hint="default" w:ascii="Times New Roman" w:hAnsi="Times New Roman" w:cs="Times New Roman"/>
          <w:highlight w:val="none"/>
          <w:lang w:eastAsia="zh-CN"/>
        </w:rPr>
        <w:t>采样方案</w:t>
      </w:r>
      <w:bookmarkEnd w:id="18"/>
    </w:p>
    <w:p w14:paraId="13369AE4">
      <w:pPr>
        <w:pStyle w:val="5"/>
        <w:tabs>
          <w:tab w:val="left" w:pos="425"/>
        </w:tabs>
        <w:rPr>
          <w:rFonts w:hint="default" w:ascii="Times New Roman" w:hAnsi="Times New Roman" w:cs="Times New Roman"/>
          <w:highlight w:val="none"/>
        </w:rPr>
      </w:pPr>
      <w:r>
        <w:rPr>
          <w:rFonts w:hint="default" w:ascii="Times New Roman" w:hAnsi="Times New Roman" w:cs="Times New Roman"/>
          <w:highlight w:val="none"/>
        </w:rPr>
        <w:t>采样设备及材料</w:t>
      </w:r>
    </w:p>
    <w:p w14:paraId="641E137E">
      <w:pPr>
        <w:ind w:firstLine="480" w:firstLineChars="200"/>
        <w:rPr>
          <w:color w:val="000000"/>
          <w:highlight w:val="none"/>
        </w:rPr>
      </w:pPr>
      <w:r>
        <w:rPr>
          <w:color w:val="000000"/>
          <w:highlight w:val="none"/>
        </w:rPr>
        <w:t>园区样品采集过程以及样品保存需使用的设备及材料见表3-</w:t>
      </w:r>
      <w:r>
        <w:rPr>
          <w:rFonts w:hint="eastAsia"/>
          <w:color w:val="000000"/>
          <w:highlight w:val="none"/>
        </w:rPr>
        <w:t>3</w:t>
      </w:r>
      <w:r>
        <w:rPr>
          <w:color w:val="000000"/>
          <w:highlight w:val="none"/>
        </w:rPr>
        <w:t>-1。</w:t>
      </w:r>
      <w:r>
        <w:rPr>
          <w:color w:val="000000" w:themeColor="text1"/>
          <w:highlight w:val="none"/>
          <w14:textFill>
            <w14:solidFill>
              <w14:schemeClr w14:val="tx1"/>
            </w14:solidFill>
          </w14:textFill>
        </w:rPr>
        <w:t>根据现场考察和信息资料调研结果，本园区调查采样种类包括土壤及地下水样品。</w:t>
      </w:r>
    </w:p>
    <w:p w14:paraId="6FC5E2AF">
      <w:pPr>
        <w:pStyle w:val="31"/>
        <w:spacing w:before="62" w:beforeLines="20" w:after="0" w:line="240" w:lineRule="auto"/>
        <w:ind w:firstLine="0" w:firstLineChars="0"/>
        <w:jc w:val="center"/>
        <w:rPr>
          <w:rFonts w:hint="default" w:ascii="Times New Roman" w:hAnsi="Times New Roman" w:eastAsia="黑体" w:cs="Times New Roman"/>
          <w:b/>
          <w:szCs w:val="24"/>
          <w:highlight w:val="none"/>
        </w:rPr>
      </w:pPr>
      <w:r>
        <w:rPr>
          <w:rFonts w:hint="default" w:ascii="Times New Roman" w:hAnsi="Times New Roman" w:eastAsia="黑体" w:cs="Times New Roman"/>
          <w:b/>
          <w:szCs w:val="24"/>
          <w:highlight w:val="none"/>
        </w:rPr>
        <w:t>表3-</w:t>
      </w:r>
      <w:r>
        <w:rPr>
          <w:rFonts w:hint="default" w:ascii="Times New Roman" w:hAnsi="Times New Roman" w:eastAsia="黑体" w:cs="Times New Roman"/>
          <w:b/>
          <w:szCs w:val="24"/>
          <w:highlight w:val="none"/>
          <w:lang w:val="en-US" w:eastAsia="zh-CN"/>
        </w:rPr>
        <w:t>3</w:t>
      </w:r>
      <w:r>
        <w:rPr>
          <w:rFonts w:hint="default" w:ascii="Times New Roman" w:hAnsi="Times New Roman" w:eastAsia="黑体" w:cs="Times New Roman"/>
          <w:b/>
          <w:szCs w:val="24"/>
          <w:highlight w:val="none"/>
        </w:rPr>
        <w:t xml:space="preserve">-1  </w:t>
      </w:r>
      <w:r>
        <w:rPr>
          <w:rFonts w:hint="default" w:ascii="Times New Roman" w:hAnsi="Times New Roman" w:eastAsia="黑体" w:cs="Times New Roman"/>
          <w:b/>
          <w:szCs w:val="24"/>
          <w:highlight w:val="none"/>
          <w:lang w:eastAsia="zh-CN"/>
        </w:rPr>
        <w:t>园区</w:t>
      </w:r>
      <w:r>
        <w:rPr>
          <w:rFonts w:hint="default" w:ascii="Times New Roman" w:hAnsi="Times New Roman" w:eastAsia="黑体" w:cs="Times New Roman"/>
          <w:b/>
          <w:szCs w:val="24"/>
          <w:highlight w:val="none"/>
        </w:rPr>
        <w:t>调查采样及样品保存所需设备及材料</w:t>
      </w:r>
    </w:p>
    <w:tbl>
      <w:tblPr>
        <w:tblStyle w:val="21"/>
        <w:tblW w:w="979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111"/>
        <w:gridCol w:w="7687"/>
      </w:tblGrid>
      <w:tr w14:paraId="1D9AD6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111" w:type="dxa"/>
            <w:tcBorders>
              <w:bottom w:val="single" w:color="auto" w:sz="12" w:space="0"/>
            </w:tcBorders>
            <w:noWrap w:val="0"/>
            <w:vAlign w:val="center"/>
          </w:tcPr>
          <w:p w14:paraId="478CCF4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bCs w:val="0"/>
                <w:color w:val="000000"/>
                <w:sz w:val="21"/>
                <w:szCs w:val="21"/>
                <w:highlight w:val="none"/>
              </w:rPr>
            </w:pPr>
            <w:r>
              <w:rPr>
                <w:rFonts w:hint="default"/>
                <w:b/>
                <w:bCs w:val="0"/>
                <w:color w:val="000000"/>
                <w:sz w:val="21"/>
                <w:szCs w:val="21"/>
                <w:highlight w:val="none"/>
              </w:rPr>
              <w:t>类型</w:t>
            </w:r>
          </w:p>
        </w:tc>
        <w:tc>
          <w:tcPr>
            <w:tcW w:w="7687" w:type="dxa"/>
            <w:tcBorders>
              <w:bottom w:val="single" w:color="auto" w:sz="12" w:space="0"/>
            </w:tcBorders>
            <w:noWrap w:val="0"/>
            <w:vAlign w:val="center"/>
          </w:tcPr>
          <w:p w14:paraId="251EE5F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bCs w:val="0"/>
                <w:color w:val="000000"/>
                <w:sz w:val="21"/>
                <w:szCs w:val="21"/>
                <w:highlight w:val="none"/>
              </w:rPr>
            </w:pPr>
            <w:r>
              <w:rPr>
                <w:rFonts w:hint="default"/>
                <w:b/>
                <w:bCs w:val="0"/>
                <w:color w:val="000000"/>
                <w:sz w:val="21"/>
                <w:szCs w:val="21"/>
                <w:highlight w:val="none"/>
              </w:rPr>
              <w:t>设备及材料</w:t>
            </w:r>
          </w:p>
        </w:tc>
      </w:tr>
      <w:tr w14:paraId="03D8F6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111" w:type="dxa"/>
            <w:tcBorders>
              <w:top w:val="single" w:color="auto" w:sz="12" w:space="0"/>
              <w:tl2br w:val="nil"/>
              <w:tr2bl w:val="nil"/>
            </w:tcBorders>
            <w:noWrap w:val="0"/>
            <w:vAlign w:val="center"/>
          </w:tcPr>
          <w:p w14:paraId="26A64A6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r>
              <w:rPr>
                <w:rFonts w:hint="default"/>
                <w:color w:val="000000"/>
                <w:sz w:val="21"/>
                <w:szCs w:val="21"/>
                <w:highlight w:val="none"/>
              </w:rPr>
              <w:t>土壤样品采集</w:t>
            </w:r>
          </w:p>
        </w:tc>
        <w:tc>
          <w:tcPr>
            <w:tcW w:w="7687" w:type="dxa"/>
            <w:tcBorders>
              <w:top w:val="single" w:color="auto" w:sz="12" w:space="0"/>
              <w:tl2br w:val="nil"/>
              <w:tr2bl w:val="nil"/>
            </w:tcBorders>
            <w:noWrap w:val="0"/>
            <w:vAlign w:val="center"/>
          </w:tcPr>
          <w:p w14:paraId="128FE4CE">
            <w:pPr>
              <w:keepNext w:val="0"/>
              <w:keepLines w:val="0"/>
              <w:suppressLineNumbers w:val="0"/>
              <w:adjustRightInd w:val="0"/>
              <w:snapToGrid w:val="0"/>
              <w:spacing w:before="0" w:beforeAutospacing="0" w:after="0" w:afterAutospacing="0" w:line="240" w:lineRule="auto"/>
              <w:ind w:left="0" w:right="0"/>
              <w:jc w:val="left"/>
              <w:rPr>
                <w:rFonts w:hint="default" w:ascii="Times New Roman" w:hAnsi="Times New Roman" w:cs="Times New Roman"/>
                <w:color w:val="000000"/>
                <w:sz w:val="21"/>
                <w:szCs w:val="21"/>
                <w:highlight w:val="none"/>
              </w:rPr>
            </w:pPr>
            <w:r>
              <w:rPr>
                <w:rFonts w:hint="eastAsia"/>
                <w:color w:val="000000"/>
                <w:sz w:val="21"/>
                <w:szCs w:val="21"/>
                <w:highlight w:val="none"/>
                <w:lang w:val="en-US" w:eastAsia="zh-CN"/>
              </w:rPr>
              <w:t>手工</w:t>
            </w:r>
            <w:r>
              <w:rPr>
                <w:rFonts w:hint="default"/>
                <w:color w:val="000000"/>
                <w:sz w:val="21"/>
                <w:szCs w:val="21"/>
                <w:highlight w:val="none"/>
              </w:rPr>
              <w:t>铲，</w:t>
            </w:r>
            <w:r>
              <w:rPr>
                <w:rFonts w:hint="default"/>
                <w:bCs/>
                <w:color w:val="000000" w:themeColor="text1"/>
                <w:sz w:val="21"/>
                <w:szCs w:val="21"/>
                <w:highlight w:val="none"/>
                <w14:textFill>
                  <w14:solidFill>
                    <w14:schemeClr w14:val="tx1"/>
                  </w14:solidFill>
                </w14:textFill>
              </w:rPr>
              <w:t>封口袋，一次性无菌手套，土样瓶，无扰动采样器等</w:t>
            </w:r>
          </w:p>
        </w:tc>
      </w:tr>
      <w:tr w14:paraId="2FAE96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111" w:type="dxa"/>
            <w:tcBorders>
              <w:tl2br w:val="nil"/>
              <w:tr2bl w:val="nil"/>
            </w:tcBorders>
            <w:noWrap w:val="0"/>
            <w:vAlign w:val="center"/>
          </w:tcPr>
          <w:p w14:paraId="3327872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sz w:val="21"/>
                <w:szCs w:val="21"/>
                <w:highlight w:val="none"/>
                <w:lang w:eastAsia="zh-CN"/>
              </w:rPr>
            </w:pPr>
            <w:r>
              <w:rPr>
                <w:rFonts w:hint="default"/>
                <w:color w:val="000000"/>
                <w:sz w:val="21"/>
                <w:szCs w:val="21"/>
                <w:highlight w:val="none"/>
              </w:rPr>
              <w:t>地下水样品采集</w:t>
            </w:r>
          </w:p>
        </w:tc>
        <w:tc>
          <w:tcPr>
            <w:tcW w:w="7687" w:type="dxa"/>
            <w:tcBorders>
              <w:tl2br w:val="nil"/>
              <w:tr2bl w:val="nil"/>
            </w:tcBorders>
            <w:noWrap w:val="0"/>
            <w:vAlign w:val="center"/>
          </w:tcPr>
          <w:p w14:paraId="194E5CD0">
            <w:pPr>
              <w:keepNext w:val="0"/>
              <w:keepLines w:val="0"/>
              <w:suppressLineNumbers w:val="0"/>
              <w:adjustRightInd w:val="0"/>
              <w:snapToGrid w:val="0"/>
              <w:spacing w:before="0" w:beforeAutospacing="0" w:after="0" w:afterAutospacing="0" w:line="240" w:lineRule="auto"/>
              <w:ind w:left="0" w:right="0"/>
              <w:jc w:val="left"/>
              <w:rPr>
                <w:rFonts w:hint="default" w:ascii="Times New Roman" w:hAnsi="Times New Roman" w:cs="Times New Roman"/>
                <w:color w:val="000000"/>
                <w:sz w:val="21"/>
                <w:szCs w:val="21"/>
                <w:highlight w:val="none"/>
              </w:rPr>
            </w:pPr>
            <w:r>
              <w:rPr>
                <w:rFonts w:hint="default"/>
                <w:bCs/>
                <w:color w:val="000000" w:themeColor="text1"/>
                <w:sz w:val="21"/>
                <w:szCs w:val="21"/>
                <w:highlight w:val="none"/>
                <w14:textFill>
                  <w14:solidFill>
                    <w14:schemeClr w14:val="tx1"/>
                  </w14:solidFill>
                </w14:textFill>
              </w:rPr>
              <w:t>履带式钻机，</w:t>
            </w:r>
            <w:r>
              <w:rPr>
                <w:rFonts w:hint="eastAsia"/>
                <w:bCs/>
                <w:color w:val="000000" w:themeColor="text1"/>
                <w:sz w:val="21"/>
                <w:szCs w:val="21"/>
                <w:highlight w:val="none"/>
                <w:lang w:val="en-US" w:eastAsia="zh-CN"/>
                <w14:textFill>
                  <w14:solidFill>
                    <w14:schemeClr w14:val="tx1"/>
                  </w14:solidFill>
                </w14:textFill>
              </w:rPr>
              <w:t>地下水</w:t>
            </w:r>
            <w:r>
              <w:rPr>
                <w:rFonts w:hint="default"/>
                <w:bCs/>
                <w:color w:val="000000" w:themeColor="text1"/>
                <w:sz w:val="21"/>
                <w:szCs w:val="21"/>
                <w:highlight w:val="none"/>
                <w14:textFill>
                  <w14:solidFill>
                    <w14:schemeClr w14:val="tx1"/>
                  </w14:solidFill>
                </w14:textFill>
              </w:rPr>
              <w:t>监测井井管，建井材料（膨润土、石英砂、水泥等），水位尺，贝勒管，水样瓶等</w:t>
            </w:r>
          </w:p>
        </w:tc>
      </w:tr>
      <w:tr w14:paraId="749945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111" w:type="dxa"/>
            <w:tcBorders>
              <w:tl2br w:val="nil"/>
              <w:tr2bl w:val="nil"/>
            </w:tcBorders>
            <w:noWrap w:val="0"/>
            <w:vAlign w:val="center"/>
          </w:tcPr>
          <w:p w14:paraId="2926055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r>
              <w:rPr>
                <w:rFonts w:hint="default"/>
                <w:color w:val="000000"/>
                <w:sz w:val="21"/>
                <w:szCs w:val="21"/>
                <w:highlight w:val="none"/>
              </w:rPr>
              <w:t>辅助工具</w:t>
            </w:r>
          </w:p>
        </w:tc>
        <w:tc>
          <w:tcPr>
            <w:tcW w:w="7687" w:type="dxa"/>
            <w:tcBorders>
              <w:tl2br w:val="nil"/>
              <w:tr2bl w:val="nil"/>
            </w:tcBorders>
            <w:noWrap w:val="0"/>
            <w:vAlign w:val="center"/>
          </w:tcPr>
          <w:p w14:paraId="6156DD3C">
            <w:pPr>
              <w:keepNext w:val="0"/>
              <w:keepLines w:val="0"/>
              <w:suppressLineNumbers w:val="0"/>
              <w:adjustRightInd w:val="0"/>
              <w:snapToGrid w:val="0"/>
              <w:spacing w:before="0" w:beforeAutospacing="0" w:after="0" w:afterAutospacing="0" w:line="240" w:lineRule="auto"/>
              <w:ind w:left="0" w:right="0"/>
              <w:jc w:val="left"/>
              <w:rPr>
                <w:rFonts w:hint="default" w:ascii="Times New Roman" w:hAnsi="Times New Roman" w:cs="Times New Roman"/>
                <w:color w:val="000000"/>
                <w:sz w:val="21"/>
                <w:szCs w:val="21"/>
                <w:highlight w:val="none"/>
              </w:rPr>
            </w:pPr>
            <w:r>
              <w:rPr>
                <w:rFonts w:hint="default"/>
                <w:bCs/>
                <w:color w:val="000000" w:themeColor="text1"/>
                <w:sz w:val="21"/>
                <w:szCs w:val="21"/>
                <w:highlight w:val="none"/>
                <w14:textFill>
                  <w14:solidFill>
                    <w14:schemeClr w14:val="tx1"/>
                  </w14:solidFill>
                </w14:textFill>
              </w:rPr>
              <w:t>GPS，测距仪，数码相机，采样记录表，白板，记号笔，防护用具，清洗用具</w:t>
            </w:r>
          </w:p>
        </w:tc>
      </w:tr>
      <w:tr w14:paraId="3CDE81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111" w:type="dxa"/>
            <w:tcBorders>
              <w:tl2br w:val="nil"/>
              <w:tr2bl w:val="nil"/>
            </w:tcBorders>
            <w:noWrap w:val="0"/>
            <w:vAlign w:val="center"/>
          </w:tcPr>
          <w:p w14:paraId="0D726D4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r>
              <w:rPr>
                <w:rFonts w:hint="default"/>
                <w:color w:val="000000"/>
                <w:sz w:val="21"/>
                <w:szCs w:val="21"/>
                <w:highlight w:val="none"/>
              </w:rPr>
              <w:t>样品保存</w:t>
            </w:r>
          </w:p>
        </w:tc>
        <w:tc>
          <w:tcPr>
            <w:tcW w:w="7687" w:type="dxa"/>
            <w:tcBorders>
              <w:tl2br w:val="nil"/>
              <w:tr2bl w:val="nil"/>
            </w:tcBorders>
            <w:noWrap w:val="0"/>
            <w:vAlign w:val="center"/>
          </w:tcPr>
          <w:p w14:paraId="1F02914F">
            <w:pPr>
              <w:keepNext w:val="0"/>
              <w:keepLines w:val="0"/>
              <w:suppressLineNumbers w:val="0"/>
              <w:adjustRightInd w:val="0"/>
              <w:snapToGrid w:val="0"/>
              <w:spacing w:before="0" w:beforeAutospacing="0" w:after="0" w:afterAutospacing="0" w:line="240" w:lineRule="auto"/>
              <w:ind w:left="0" w:right="0"/>
              <w:jc w:val="left"/>
              <w:rPr>
                <w:rFonts w:hint="default" w:ascii="Times New Roman" w:hAnsi="Times New Roman" w:cs="Times New Roman"/>
                <w:color w:val="000000"/>
                <w:sz w:val="21"/>
                <w:szCs w:val="21"/>
                <w:highlight w:val="none"/>
              </w:rPr>
            </w:pPr>
            <w:r>
              <w:rPr>
                <w:rFonts w:hint="default"/>
                <w:bCs/>
                <w:color w:val="000000" w:themeColor="text1"/>
                <w:sz w:val="21"/>
                <w:szCs w:val="21"/>
                <w:highlight w:val="none"/>
                <w14:textFill>
                  <w14:solidFill>
                    <w14:schemeClr w14:val="tx1"/>
                  </w14:solidFill>
                </w14:textFill>
              </w:rPr>
              <w:t>保温样品箱</w:t>
            </w:r>
          </w:p>
        </w:tc>
      </w:tr>
    </w:tbl>
    <w:p w14:paraId="5DE1EBB0">
      <w:pPr>
        <w:pStyle w:val="5"/>
        <w:tabs>
          <w:tab w:val="left" w:pos="425"/>
        </w:tabs>
        <w:rPr>
          <w:rFonts w:hint="default" w:ascii="Times New Roman" w:hAnsi="Times New Roman" w:cs="Times New Roman"/>
          <w:highlight w:val="none"/>
        </w:rPr>
      </w:pPr>
      <w:r>
        <w:rPr>
          <w:rFonts w:hint="default" w:ascii="Times New Roman" w:hAnsi="Times New Roman" w:cs="Times New Roman"/>
          <w:highlight w:val="none"/>
        </w:rPr>
        <w:t>土壤样品采集</w:t>
      </w:r>
    </w:p>
    <w:p w14:paraId="4387865A">
      <w:pPr>
        <w:spacing w:line="360" w:lineRule="auto"/>
        <w:ind w:firstLine="480" w:firstLineChars="200"/>
        <w:rPr>
          <w:rFonts w:hint="default" w:ascii="Times New Roman" w:hAnsi="Times New Roman" w:cs="Times New Roman"/>
          <w:color w:val="000000"/>
          <w:sz w:val="24"/>
          <w:highlight w:val="none"/>
          <w:lang w:eastAsia="zh-CN"/>
        </w:rPr>
      </w:pPr>
      <w:r>
        <w:rPr>
          <w:rFonts w:hint="default" w:ascii="Times New Roman" w:hAnsi="Times New Roman" w:cs="Times New Roman"/>
          <w:color w:val="000000"/>
          <w:sz w:val="24"/>
          <w:highlight w:val="none"/>
          <w:lang w:eastAsia="zh-CN"/>
        </w:rPr>
        <w:t>土壤样品收集：采用手工铲采集表层（</w:t>
      </w:r>
      <w:r>
        <w:rPr>
          <w:rFonts w:hint="default" w:ascii="Times New Roman" w:hAnsi="Times New Roman" w:cs="Times New Roman"/>
          <w:color w:val="000000"/>
          <w:sz w:val="24"/>
          <w:highlight w:val="none"/>
          <w:lang w:val="en-US" w:eastAsia="zh-CN"/>
        </w:rPr>
        <w:t>0</w:t>
      </w:r>
      <w:r>
        <w:rPr>
          <w:rFonts w:hint="default" w:ascii="Times New Roman" w:hAnsi="Times New Roman" w:cs="Times New Roman"/>
          <w:color w:val="000000"/>
          <w:sz w:val="24"/>
          <w:highlight w:val="none"/>
          <w:lang w:eastAsia="zh-CN"/>
        </w:rPr>
        <w:t>~</w:t>
      </w:r>
      <w:r>
        <w:rPr>
          <w:rFonts w:hint="eastAsia" w:cs="Times New Roman"/>
          <w:color w:val="000000"/>
          <w:sz w:val="24"/>
          <w:highlight w:val="none"/>
          <w:lang w:val="en-US" w:eastAsia="zh-CN"/>
        </w:rPr>
        <w:t>0.5m</w:t>
      </w:r>
      <w:r>
        <w:rPr>
          <w:rFonts w:hint="default" w:ascii="Times New Roman" w:hAnsi="Times New Roman" w:cs="Times New Roman"/>
          <w:color w:val="000000"/>
          <w:sz w:val="24"/>
          <w:highlight w:val="none"/>
          <w:lang w:eastAsia="zh-CN"/>
        </w:rPr>
        <w:t>）土壤样品，记录土壤的颜色和气味等信息，根据现场土样的观察结果，筛选出分析检测的土壤样品，送检土样装于一次性封口袋或螺口玻璃采样瓶中。</w:t>
      </w:r>
    </w:p>
    <w:p w14:paraId="4ABD58EA">
      <w:pPr>
        <w:spacing w:line="360" w:lineRule="auto"/>
        <w:ind w:firstLine="480" w:firstLineChars="200"/>
        <w:rPr>
          <w:rFonts w:hint="default" w:ascii="Times New Roman" w:hAnsi="Times New Roman" w:cs="Times New Roman"/>
          <w:color w:val="000000"/>
          <w:sz w:val="24"/>
          <w:highlight w:val="none"/>
          <w:lang w:eastAsia="zh-CN"/>
        </w:rPr>
      </w:pPr>
      <w:r>
        <w:rPr>
          <w:rFonts w:hint="default" w:ascii="Times New Roman" w:hAnsi="Times New Roman" w:cs="Times New Roman"/>
          <w:color w:val="000000"/>
          <w:sz w:val="24"/>
          <w:highlight w:val="none"/>
          <w:lang w:eastAsia="zh-CN"/>
        </w:rPr>
        <w:t>采样根据《土壤环境监测技术规范》（HJ/T 166-2004）严格执行。</w:t>
      </w:r>
      <w:r>
        <w:rPr>
          <w:rFonts w:hint="default" w:ascii="Times New Roman" w:hAnsi="Times New Roman" w:cs="Times New Roman"/>
          <w:color w:val="000000"/>
          <w:sz w:val="24"/>
          <w:highlight w:val="none"/>
          <w:lang w:val="en-US" w:eastAsia="zh-CN"/>
        </w:rPr>
        <w:t>采样时</w:t>
      </w:r>
      <w:r>
        <w:rPr>
          <w:rFonts w:hint="default" w:ascii="Times New Roman" w:hAnsi="Times New Roman" w:cs="Times New Roman"/>
          <w:color w:val="000000"/>
          <w:sz w:val="24"/>
          <w:highlight w:val="none"/>
          <w:lang w:eastAsia="zh-CN"/>
        </w:rPr>
        <w:t>记录土壤地层特性、颜色、气味、夹杂物等信息，观察土壤受污染状况。土壤样品采集后，由技术人员装袋封存，贴好标签，将样品放入保温箱中。及时填写采样记录，注明采样地点、孔号、采样深度、土样名称、采样日期等信息。在采样过程中，为避免交叉污染，均使用一次性手套，并对采样设备进行清洗去污处理。</w:t>
      </w:r>
    </w:p>
    <w:p w14:paraId="2DEEFEFA">
      <w:pPr>
        <w:ind w:firstLine="480" w:firstLineChars="200"/>
        <w:rPr>
          <w:color w:val="000000"/>
          <w:highlight w:val="none"/>
        </w:rPr>
      </w:pPr>
      <w:r>
        <w:rPr>
          <w:color w:val="000000"/>
          <w:highlight w:val="none"/>
        </w:rPr>
        <w:t>土壤采样过程中应做好人员安全和健康防护，佩戴安全帽和一次性的口罩、手套，严禁用手直接采集土样，使用后废弃的个人防护用品应统一收集处置，采样前后应对采样器进行除污和清洗，不同土壤样品采集应更换手套，避免交叉污染；所有样品存放于保温箱中，随后随样品流转单送往实验室进行分析。现场采样信息记录在标准的土壤采样记录单上。</w:t>
      </w:r>
    </w:p>
    <w:p w14:paraId="29327057">
      <w:pPr>
        <w:pStyle w:val="5"/>
        <w:tabs>
          <w:tab w:val="left" w:pos="425"/>
        </w:tabs>
        <w:rPr>
          <w:highlight w:val="none"/>
        </w:rPr>
      </w:pPr>
      <w:r>
        <w:rPr>
          <w:highlight w:val="none"/>
        </w:rPr>
        <w:t>地下水样品采集</w:t>
      </w:r>
    </w:p>
    <w:p w14:paraId="1C1D8D45">
      <w:pPr>
        <w:ind w:firstLine="480" w:firstLineChars="200"/>
        <w:rPr>
          <w:color w:val="000000"/>
          <w:highlight w:val="none"/>
        </w:rPr>
      </w:pPr>
      <w:r>
        <w:rPr>
          <w:color w:val="000000"/>
          <w:highlight w:val="none"/>
        </w:rPr>
        <w:t>在监测井洗井稳定24</w:t>
      </w:r>
      <w:r>
        <w:rPr>
          <w:rFonts w:hint="eastAsia"/>
          <w:color w:val="000000"/>
          <w:highlight w:val="none"/>
        </w:rPr>
        <w:t>h</w:t>
      </w:r>
      <w:r>
        <w:rPr>
          <w:color w:val="000000"/>
          <w:highlight w:val="none"/>
        </w:rPr>
        <w:t>后，</w:t>
      </w:r>
      <w:r>
        <w:rPr>
          <w:rFonts w:hint="eastAsia"/>
          <w:color w:val="000000"/>
          <w:highlight w:val="none"/>
          <w:lang w:val="en-US" w:eastAsia="zh-CN"/>
        </w:rPr>
        <w:t>采用</w:t>
      </w:r>
      <w:r>
        <w:rPr>
          <w:color w:val="000000"/>
          <w:highlight w:val="none"/>
        </w:rPr>
        <w:t>贝勒管进行</w:t>
      </w:r>
      <w:r>
        <w:rPr>
          <w:rFonts w:hint="eastAsia"/>
          <w:color w:val="000000"/>
          <w:highlight w:val="none"/>
          <w:lang w:val="en-US" w:eastAsia="zh-CN"/>
        </w:rPr>
        <w:t>地下水样品</w:t>
      </w:r>
      <w:r>
        <w:rPr>
          <w:color w:val="000000"/>
          <w:highlight w:val="none"/>
        </w:rPr>
        <w:t>的采集。为避免监测井中发生混浊，贝勒管放入和提出时应缓慢进行。</w:t>
      </w:r>
    </w:p>
    <w:p w14:paraId="528A6585">
      <w:pPr>
        <w:ind w:firstLine="480" w:firstLineChars="200"/>
        <w:rPr>
          <w:color w:val="000000"/>
          <w:highlight w:val="none"/>
        </w:rPr>
      </w:pPr>
      <w:r>
        <w:rPr>
          <w:color w:val="000000"/>
          <w:highlight w:val="none"/>
        </w:rPr>
        <w:t>采样时，所有</w:t>
      </w:r>
      <w:r>
        <w:rPr>
          <w:rFonts w:hint="eastAsia"/>
          <w:color w:val="000000"/>
          <w:highlight w:val="none"/>
          <w:lang w:val="en-US" w:eastAsia="zh-CN"/>
        </w:rPr>
        <w:t>地下水</w:t>
      </w:r>
      <w:r>
        <w:rPr>
          <w:color w:val="000000"/>
          <w:highlight w:val="none"/>
        </w:rPr>
        <w:t>样品均迅速转入由实验室提供的带有标签以及保护剂的专用样品瓶中并保存在装有冰袋的冷藏箱中，及时送往实验室分析。</w:t>
      </w:r>
    </w:p>
    <w:p w14:paraId="45AB08A1">
      <w:pPr>
        <w:pStyle w:val="6"/>
        <w:numPr>
          <w:ilvl w:val="0"/>
          <w:numId w:val="0"/>
        </w:numPr>
        <w:spacing w:before="0" w:after="0" w:line="360" w:lineRule="auto"/>
        <w:ind w:leftChars="0"/>
        <w:jc w:val="left"/>
        <w:rPr>
          <w:rFonts w:hint="default" w:ascii="Times New Roman" w:hAnsi="Times New Roman"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lang w:val="en-US" w:eastAsia="zh-CN"/>
        </w:rPr>
        <w:t xml:space="preserve">3.3.3.1 </w:t>
      </w:r>
      <w:r>
        <w:rPr>
          <w:rFonts w:hint="default" w:ascii="Times New Roman" w:hAnsi="Times New Roman" w:eastAsia="宋体" w:cs="Times New Roman"/>
          <w:color w:val="000000"/>
          <w:kern w:val="0"/>
          <w:sz w:val="24"/>
          <w:szCs w:val="24"/>
          <w:highlight w:val="none"/>
        </w:rPr>
        <w:t>监测井设立与洗井</w:t>
      </w:r>
    </w:p>
    <w:tbl>
      <w:tblPr>
        <w:tblStyle w:val="21"/>
        <w:tblpPr w:leftFromText="180" w:rightFromText="180" w:vertAnchor="text" w:horzAnchor="margin" w:tblpXSpec="right" w:tblpY="21"/>
        <w:tblOverlap w:val="never"/>
        <w:tblW w:w="3951" w:type="dxa"/>
        <w:tblInd w:w="0" w:type="dxa"/>
        <w:tblLayout w:type="fixed"/>
        <w:tblCellMar>
          <w:top w:w="0" w:type="dxa"/>
          <w:left w:w="108" w:type="dxa"/>
          <w:bottom w:w="0" w:type="dxa"/>
          <w:right w:w="108" w:type="dxa"/>
        </w:tblCellMar>
      </w:tblPr>
      <w:tblGrid>
        <w:gridCol w:w="3951"/>
      </w:tblGrid>
      <w:tr w14:paraId="6E9CCECE">
        <w:tblPrEx>
          <w:tblCellMar>
            <w:top w:w="0" w:type="dxa"/>
            <w:left w:w="108" w:type="dxa"/>
            <w:bottom w:w="0" w:type="dxa"/>
            <w:right w:w="108" w:type="dxa"/>
          </w:tblCellMar>
        </w:tblPrEx>
        <w:tc>
          <w:tcPr>
            <w:tcW w:w="3951" w:type="dxa"/>
            <w:noWrap w:val="0"/>
            <w:vAlign w:val="top"/>
          </w:tcPr>
          <w:p w14:paraId="359DCE0E">
            <w:pPr>
              <w:keepNext w:val="0"/>
              <w:keepLines w:val="0"/>
              <w:suppressLineNumbers w:val="0"/>
              <w:spacing w:before="0" w:beforeAutospacing="0" w:after="0" w:afterAutospacing="0"/>
              <w:ind w:left="0" w:right="0"/>
              <w:jc w:val="center"/>
              <w:rPr>
                <w:rFonts w:hint="default" w:ascii="Times New Roman" w:hAnsi="Times New Roman" w:cs="Times New Roman"/>
                <w:color w:val="000000"/>
                <w:highlight w:val="none"/>
              </w:rPr>
            </w:pPr>
            <w:r>
              <w:rPr>
                <w:rFonts w:hint="default" w:ascii="Times New Roman" w:hAnsi="Times New Roman" w:cs="Times New Roman"/>
                <w:color w:val="000000"/>
                <w:highlight w:val="none"/>
              </w:rPr>
              <w:drawing>
                <wp:inline distT="0" distB="0" distL="114300" distR="114300">
                  <wp:extent cx="2286000" cy="3794760"/>
                  <wp:effectExtent l="19050" t="19050" r="19050" b="34290"/>
                  <wp:docPr id="1" name="图片 1" descr="说明: 浅层地下水监测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浅层地下水监测井"/>
                          <pic:cNvPicPr>
                            <a:picLocks noChangeAspect="1"/>
                          </pic:cNvPicPr>
                        </pic:nvPicPr>
                        <pic:blipFill>
                          <a:blip r:embed="rId23"/>
                          <a:stretch>
                            <a:fillRect/>
                          </a:stretch>
                        </pic:blipFill>
                        <pic:spPr>
                          <a:xfrm>
                            <a:off x="0" y="0"/>
                            <a:ext cx="2286000" cy="3794760"/>
                          </a:xfrm>
                          <a:prstGeom prst="rect">
                            <a:avLst/>
                          </a:prstGeom>
                          <a:noFill/>
                          <a:ln w="19050" cmpd="sng">
                            <a:solidFill>
                              <a:schemeClr val="tx1"/>
                            </a:solidFill>
                            <a:prstDash val="solid"/>
                          </a:ln>
                        </pic:spPr>
                      </pic:pic>
                    </a:graphicData>
                  </a:graphic>
                </wp:inline>
              </w:drawing>
            </w:r>
            <w:r>
              <w:rPr>
                <w:rFonts w:hint="default" w:ascii="Times New Roman" w:hAnsi="Times New Roman" w:cs="Times New Roman"/>
                <w:b/>
                <w:color w:val="000000"/>
                <w:sz w:val="24"/>
                <w:highlight w:val="none"/>
              </w:rPr>
              <w:t>图3-</w:t>
            </w:r>
            <w:r>
              <w:rPr>
                <w:rFonts w:hint="default" w:ascii="Times New Roman" w:hAnsi="Times New Roman" w:cs="Times New Roman"/>
                <w:b/>
                <w:color w:val="000000"/>
                <w:sz w:val="24"/>
                <w:highlight w:val="none"/>
                <w:lang w:val="en-US" w:eastAsia="zh-CN"/>
              </w:rPr>
              <w:t>3</w:t>
            </w:r>
            <w:r>
              <w:rPr>
                <w:rFonts w:hint="default" w:ascii="Times New Roman" w:hAnsi="Times New Roman" w:cs="Times New Roman"/>
                <w:b/>
                <w:color w:val="000000"/>
                <w:sz w:val="24"/>
                <w:highlight w:val="none"/>
              </w:rPr>
              <w:t>-1 监测井示意图</w:t>
            </w:r>
          </w:p>
        </w:tc>
      </w:tr>
    </w:tbl>
    <w:p w14:paraId="730B5B1E">
      <w:pPr>
        <w:spacing w:line="360" w:lineRule="auto"/>
        <w:ind w:left="1" w:firstLine="480" w:firstLineChars="200"/>
        <w:rPr>
          <w:rFonts w:hint="default" w:ascii="Times New Roman" w:hAnsi="Times New Roman" w:eastAsia="宋体" w:cs="Times New Roman"/>
          <w:color w:val="000000"/>
          <w:sz w:val="24"/>
          <w:highlight w:val="none"/>
          <w:lang w:val="en-US" w:eastAsia="zh-CN"/>
        </w:rPr>
      </w:pPr>
      <w:r>
        <w:rPr>
          <w:rFonts w:hint="default" w:ascii="Times New Roman" w:hAnsi="Times New Roman" w:cs="Times New Roman"/>
          <w:color w:val="000000"/>
          <w:sz w:val="24"/>
          <w:highlight w:val="none"/>
          <w:lang w:val="en-US" w:eastAsia="zh-CN"/>
        </w:rPr>
        <w:t>由于本次土壤采样只采集表层土壤样品，</w:t>
      </w:r>
      <w:r>
        <w:rPr>
          <w:rFonts w:hint="default" w:ascii="Times New Roman" w:hAnsi="Times New Roman" w:cs="Times New Roman"/>
          <w:color w:val="000000"/>
          <w:sz w:val="24"/>
          <w:highlight w:val="none"/>
        </w:rPr>
        <w:t>地下水监测</w:t>
      </w:r>
      <w:r>
        <w:rPr>
          <w:rFonts w:hint="default" w:ascii="Times New Roman" w:hAnsi="Times New Roman" w:cs="Times New Roman"/>
          <w:color w:val="000000"/>
          <w:sz w:val="24"/>
          <w:highlight w:val="none"/>
          <w:lang w:val="en-US" w:eastAsia="zh-CN"/>
        </w:rPr>
        <w:t>井设立与土壤采样分开进行。</w:t>
      </w:r>
    </w:p>
    <w:p w14:paraId="50F8105E">
      <w:pPr>
        <w:spacing w:line="360" w:lineRule="auto"/>
        <w:ind w:left="1" w:firstLine="480" w:firstLineChars="200"/>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监测井钻探完成后，安装一根封底的内径不小于50mm的硬质PVC井管，硬质PVC井管由底部密闭、管壁可滤水的筛管、上部延伸到地表的实管组成。筛管部分表面含水平细缝，细缝宽为0.25mm。监测井的深度和筛管的安装位置由专业人员根据现场地下水位的相对位置及各监测井的不同监测要求综合考虑后设定。</w:t>
      </w:r>
    </w:p>
    <w:p w14:paraId="27E55507">
      <w:pPr>
        <w:spacing w:line="360" w:lineRule="auto"/>
        <w:ind w:left="1" w:firstLine="480" w:firstLineChars="200"/>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监测井筛管外侧周围用粒径≥0.25mm的清洁石英砂回填作为滤水层，石英砂回填至地下水水位线处，其上部再回填不透水的膨润土至自然地坪处，安装井盖。地下水监测井剖面示意图见图3-</w:t>
      </w:r>
      <w:r>
        <w:rPr>
          <w:rFonts w:hint="default" w:ascii="Times New Roman" w:hAnsi="Times New Roman" w:cs="Times New Roman"/>
          <w:color w:val="000000"/>
          <w:sz w:val="24"/>
          <w:highlight w:val="none"/>
          <w:lang w:val="en-US" w:eastAsia="zh-CN"/>
        </w:rPr>
        <w:t>3</w:t>
      </w:r>
      <w:r>
        <w:rPr>
          <w:rFonts w:hint="default" w:ascii="Times New Roman" w:hAnsi="Times New Roman" w:cs="Times New Roman"/>
          <w:color w:val="000000"/>
          <w:sz w:val="24"/>
          <w:highlight w:val="none"/>
        </w:rPr>
        <w:t>-1。</w:t>
      </w:r>
    </w:p>
    <w:p w14:paraId="24F72D00">
      <w:pPr>
        <w:pStyle w:val="6"/>
        <w:numPr>
          <w:ilvl w:val="0"/>
          <w:numId w:val="0"/>
        </w:numPr>
        <w:spacing w:after="0"/>
        <w:jc w:val="left"/>
        <w:rPr>
          <w:color w:val="000000"/>
          <w:kern w:val="0"/>
          <w:highlight w:val="none"/>
        </w:rPr>
      </w:pPr>
      <w:r>
        <w:rPr>
          <w:color w:val="000000"/>
          <w:kern w:val="0"/>
          <w:highlight w:val="none"/>
        </w:rPr>
        <w:t>3.3.3.2 地下水样品采集</w:t>
      </w:r>
    </w:p>
    <w:p w14:paraId="27A38F02">
      <w:pPr>
        <w:ind w:left="1" w:firstLine="480" w:firstLineChars="200"/>
        <w:rPr>
          <w:color w:val="000000"/>
          <w:highlight w:val="none"/>
        </w:rPr>
      </w:pPr>
      <w:bookmarkStart w:id="19" w:name="_Toc7081054"/>
      <w:bookmarkStart w:id="20" w:name="_Toc55399872"/>
      <w:bookmarkStart w:id="21" w:name="_Toc26697"/>
      <w:bookmarkStart w:id="22" w:name="_Toc22200"/>
      <w:bookmarkStart w:id="23" w:name="_Toc15371866"/>
      <w:bookmarkStart w:id="24" w:name="_Toc6498459"/>
      <w:bookmarkStart w:id="25" w:name="_Toc27444"/>
      <w:r>
        <w:rPr>
          <w:rFonts w:hint="eastAsia"/>
          <w:color w:val="000000"/>
          <w:highlight w:val="none"/>
          <w:lang w:val="en-US" w:eastAsia="zh-CN"/>
        </w:rPr>
        <w:t>采样前进行监测井清洗工作，</w:t>
      </w:r>
      <w:r>
        <w:rPr>
          <w:color w:val="000000"/>
          <w:highlight w:val="none"/>
        </w:rPr>
        <w:t>清洗采用贝勒管洗去3</w:t>
      </w:r>
      <w:r>
        <w:rPr>
          <w:rFonts w:hint="eastAsia"/>
          <w:color w:val="000000"/>
          <w:highlight w:val="none"/>
          <w:lang w:val="en-US" w:eastAsia="zh-CN"/>
        </w:rPr>
        <w:t>-5</w:t>
      </w:r>
      <w:r>
        <w:rPr>
          <w:color w:val="000000"/>
          <w:highlight w:val="none"/>
        </w:rPr>
        <w:t>倍监测井</w:t>
      </w:r>
      <w:r>
        <w:rPr>
          <w:rFonts w:hint="eastAsia"/>
          <w:color w:val="000000"/>
          <w:highlight w:val="none"/>
          <w:lang w:val="en-US" w:eastAsia="zh-CN"/>
        </w:rPr>
        <w:t>总量</w:t>
      </w:r>
      <w:r>
        <w:rPr>
          <w:color w:val="000000"/>
          <w:highlight w:val="none"/>
        </w:rPr>
        <w:t>的水。洗井完成后</w:t>
      </w:r>
      <w:r>
        <w:rPr>
          <w:rFonts w:hint="eastAsia"/>
          <w:color w:val="000000"/>
          <w:highlight w:val="none"/>
        </w:rPr>
        <w:t>2</w:t>
      </w:r>
      <w:r>
        <w:rPr>
          <w:color w:val="000000"/>
          <w:highlight w:val="none"/>
        </w:rPr>
        <w:t>4</w:t>
      </w:r>
      <w:r>
        <w:rPr>
          <w:rFonts w:hint="eastAsia"/>
          <w:color w:val="000000"/>
          <w:highlight w:val="none"/>
        </w:rPr>
        <w:t>h</w:t>
      </w:r>
      <w:r>
        <w:rPr>
          <w:color w:val="000000"/>
          <w:highlight w:val="none"/>
        </w:rPr>
        <w:t>，待监测井内地下水稳定后，方可进行地下水采集。</w:t>
      </w:r>
    </w:p>
    <w:p w14:paraId="329767F0">
      <w:pPr>
        <w:ind w:left="1" w:firstLine="480" w:firstLineChars="200"/>
        <w:rPr>
          <w:color w:val="000000"/>
          <w:highlight w:val="none"/>
        </w:rPr>
      </w:pPr>
      <w:r>
        <w:rPr>
          <w:color w:val="000000"/>
          <w:highlight w:val="none"/>
        </w:rPr>
        <w:t>取样时使用贝勒管采样器采集地下水样品，从每口监测井中采取1组地下水样进行化学分析。每口地下水监测井均配备一套一次性使用的贝勒管采样器防止发生交叉污染。</w:t>
      </w:r>
    </w:p>
    <w:p w14:paraId="6272ACF6">
      <w:pPr>
        <w:ind w:left="1" w:firstLine="480" w:firstLineChars="200"/>
        <w:rPr>
          <w:color w:val="000000"/>
          <w:highlight w:val="none"/>
        </w:rPr>
      </w:pPr>
      <w:r>
        <w:rPr>
          <w:color w:val="000000"/>
          <w:highlight w:val="none"/>
        </w:rPr>
        <w:t>采样时，所有地下水样品均迅速转入由实验室提供的带有标签以及保护剂的专用样品瓶中并保存在装有冰袋的冷藏箱中。</w:t>
      </w:r>
    </w:p>
    <w:p w14:paraId="38D5EBA7">
      <w:pPr>
        <w:pStyle w:val="5"/>
        <w:tabs>
          <w:tab w:val="clear" w:pos="851"/>
        </w:tabs>
        <w:spacing w:after="0"/>
        <w:jc w:val="left"/>
        <w:rPr>
          <w:color w:val="000000"/>
          <w:szCs w:val="24"/>
          <w:highlight w:val="none"/>
        </w:rPr>
      </w:pPr>
      <w:r>
        <w:rPr>
          <w:color w:val="000000"/>
          <w:szCs w:val="24"/>
          <w:highlight w:val="none"/>
        </w:rPr>
        <w:t>现场快速检测</w:t>
      </w:r>
    </w:p>
    <w:p w14:paraId="01B9564C">
      <w:pPr>
        <w:ind w:left="1" w:firstLine="480" w:firstLineChars="200"/>
        <w:rPr>
          <w:color w:val="000000"/>
          <w:highlight w:val="none"/>
        </w:rPr>
      </w:pPr>
      <w:r>
        <w:rPr>
          <w:color w:val="000000"/>
          <w:highlight w:val="none"/>
        </w:rPr>
        <w:t>为了现场判断采样区可疑情况，本次调查采用光离子化检测（PID）进行现场快速检测，用于测量挥发性有机物的综合浓度水平。</w:t>
      </w:r>
    </w:p>
    <w:p w14:paraId="45CDCFFA">
      <w:pPr>
        <w:pStyle w:val="4"/>
        <w:tabs>
          <w:tab w:val="left" w:leader="dot" w:pos="0"/>
          <w:tab w:val="clear" w:pos="425"/>
        </w:tabs>
        <w:rPr>
          <w:rFonts w:hint="default" w:ascii="Times New Roman" w:hAnsi="Times New Roman" w:cs="Times New Roman"/>
          <w:color w:val="000000"/>
          <w:highlight w:val="none"/>
        </w:rPr>
      </w:pPr>
      <w:r>
        <w:rPr>
          <w:rFonts w:hint="default" w:ascii="Times New Roman" w:hAnsi="Times New Roman" w:cs="Times New Roman"/>
          <w:color w:val="000000"/>
          <w:highlight w:val="none"/>
        </w:rPr>
        <w:t>质量保证与质量控制</w:t>
      </w:r>
      <w:bookmarkEnd w:id="19"/>
      <w:bookmarkEnd w:id="20"/>
      <w:bookmarkEnd w:id="21"/>
      <w:bookmarkEnd w:id="22"/>
      <w:bookmarkEnd w:id="23"/>
      <w:bookmarkEnd w:id="24"/>
      <w:bookmarkEnd w:id="25"/>
    </w:p>
    <w:p w14:paraId="58310B90">
      <w:pPr>
        <w:spacing w:line="360" w:lineRule="auto"/>
        <w:ind w:firstLine="482"/>
        <w:rPr>
          <w:rFonts w:hint="default" w:ascii="Times New Roman" w:hAnsi="Times New Roman" w:cs="Times New Roman"/>
          <w:color w:val="000000"/>
          <w:highlight w:val="none"/>
        </w:rPr>
      </w:pPr>
      <w:r>
        <w:rPr>
          <w:rFonts w:hint="default" w:ascii="Times New Roman" w:hAnsi="Times New Roman" w:cs="Times New Roman"/>
          <w:color w:val="000000"/>
          <w:sz w:val="24"/>
          <w:highlight w:val="none"/>
        </w:rPr>
        <w:t>本次调查现场采样和实验室分析均委托第三方有资质单位承担，各检测指标检测方法选用国家或地方推荐的检测分析方法。</w:t>
      </w:r>
    </w:p>
    <w:p w14:paraId="3D22F6FF">
      <w:pPr>
        <w:pStyle w:val="5"/>
        <w:tabs>
          <w:tab w:val="clear" w:pos="851"/>
        </w:tabs>
        <w:rPr>
          <w:rFonts w:hint="default" w:ascii="Times New Roman" w:hAnsi="Times New Roman" w:cs="Times New Roman"/>
          <w:color w:val="000000"/>
          <w:highlight w:val="none"/>
        </w:rPr>
      </w:pPr>
      <w:r>
        <w:rPr>
          <w:rFonts w:hint="default" w:ascii="Times New Roman" w:hAnsi="Times New Roman" w:cs="Times New Roman"/>
          <w:color w:val="000000"/>
          <w:highlight w:val="none"/>
        </w:rPr>
        <w:t>现场作业质量控制</w:t>
      </w:r>
    </w:p>
    <w:p w14:paraId="2C4FD7D1">
      <w:pPr>
        <w:spacing w:line="360" w:lineRule="auto"/>
        <w:ind w:firstLine="482"/>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项目组人员负责调查作业的现场技术支持和质量控制工作。每个作业班组均有一名项目组人员工作跟进，负责对现场调查和取样工作进行作业技术支持和质量控制，包括：现场识别，钻探记录，样品取样装瓶，并据现场实际情况提出作业内容改进调整和建议等工作内容。</w:t>
      </w:r>
    </w:p>
    <w:p w14:paraId="4A9329F8">
      <w:pPr>
        <w:pStyle w:val="5"/>
        <w:tabs>
          <w:tab w:val="clear" w:pos="851"/>
        </w:tabs>
        <w:spacing w:after="0"/>
        <w:jc w:val="left"/>
        <w:rPr>
          <w:rFonts w:hint="default" w:ascii="Times New Roman" w:hAnsi="Times New Roman" w:cs="Times New Roman"/>
          <w:color w:val="000000"/>
          <w:szCs w:val="24"/>
          <w:highlight w:val="none"/>
        </w:rPr>
      </w:pPr>
      <w:bookmarkStart w:id="26" w:name="_Toc464822938"/>
      <w:r>
        <w:rPr>
          <w:rFonts w:hint="default" w:ascii="Times New Roman" w:hAnsi="Times New Roman" w:cs="Times New Roman"/>
          <w:color w:val="000000"/>
          <w:szCs w:val="24"/>
          <w:highlight w:val="none"/>
        </w:rPr>
        <w:t>采样过程质量控制</w:t>
      </w:r>
      <w:bookmarkEnd w:id="26"/>
    </w:p>
    <w:p w14:paraId="2B8A736A">
      <w:pPr>
        <w:spacing w:line="360" w:lineRule="auto"/>
        <w:ind w:left="1" w:firstLine="480" w:firstLineChars="200"/>
        <w:rPr>
          <w:rFonts w:hint="default" w:ascii="Times New Roman" w:hAnsi="Times New Roman" w:eastAsia="宋体" w:cs="Times New Roman"/>
          <w:color w:val="000000"/>
          <w:sz w:val="24"/>
          <w:highlight w:val="none"/>
          <w:lang w:val="en-US" w:eastAsia="zh-CN"/>
        </w:rPr>
      </w:pPr>
      <w:r>
        <w:rPr>
          <w:rFonts w:hint="default" w:ascii="Times New Roman" w:hAnsi="Times New Roman" w:cs="Times New Roman"/>
          <w:color w:val="000000"/>
          <w:sz w:val="24"/>
          <w:highlight w:val="none"/>
        </w:rPr>
        <w:t>为保证在允许误差范围内获得具有代表性的样品，在采样的全过程进行质量控制。实验室分析质量保证和质量控制要求见HJ/T 164和HJ/T 166。采样前制定详细的采样计划（采样方案），采样过程中认真按采样计划进行操作。对采样人员进行专门的培训，采样人员应掌握采样技术、懂得安全操作的有关知识和处理方法。采样时，由2人以上在场进行操作。采样工具、设备保持干燥、清洁。采样过程中要防止待采样品受到污染和发生变质。样品盛入容器后，在容器壁上应随即贴上标签并做好记录。样品运输过程中，应防止样品间的交叉污染。盛样容器不可倒置、倒放，防止破损、浸湿和污染。填写好、保存好采集记录、流转清单等文件。采样全过程由专人负责。</w:t>
      </w:r>
    </w:p>
    <w:p w14:paraId="6B2E14CF">
      <w:pPr>
        <w:pStyle w:val="5"/>
        <w:tabs>
          <w:tab w:val="clear" w:pos="851"/>
        </w:tabs>
        <w:rPr>
          <w:rFonts w:hint="default" w:ascii="Times New Roman" w:hAnsi="Times New Roman" w:cs="Times New Roman"/>
          <w:color w:val="000000"/>
          <w:highlight w:val="none"/>
        </w:rPr>
      </w:pPr>
      <w:r>
        <w:rPr>
          <w:rFonts w:hint="default" w:ascii="Times New Roman" w:hAnsi="Times New Roman" w:cs="Times New Roman"/>
          <w:color w:val="000000"/>
          <w:highlight w:val="none"/>
        </w:rPr>
        <w:t>设备校正和清洗</w:t>
      </w:r>
    </w:p>
    <w:p w14:paraId="75AD69F2">
      <w:pPr>
        <w:spacing w:line="360" w:lineRule="auto"/>
        <w:ind w:firstLine="482"/>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所有测量仪器在使用前均预先进行了校正，以确保测量结果的准确性。所有取样瓶由实验室提供，统一进行了消毒处理。在采集土样时，始终佩戴干净的一次性手套。</w:t>
      </w:r>
    </w:p>
    <w:p w14:paraId="7FEDC967">
      <w:pPr>
        <w:spacing w:line="360" w:lineRule="auto"/>
        <w:ind w:firstLine="482"/>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取样过程中采用标准操作程序以确保采集到能代表</w:t>
      </w:r>
      <w:r>
        <w:rPr>
          <w:rFonts w:hint="default" w:ascii="Times New Roman" w:hAnsi="Times New Roman" w:cs="Times New Roman"/>
          <w:color w:val="000000"/>
          <w:sz w:val="24"/>
          <w:highlight w:val="none"/>
          <w:lang w:eastAsia="zh-CN"/>
        </w:rPr>
        <w:t>园区</w:t>
      </w:r>
      <w:r>
        <w:rPr>
          <w:rFonts w:hint="default" w:ascii="Times New Roman" w:hAnsi="Times New Roman" w:cs="Times New Roman"/>
          <w:color w:val="000000"/>
          <w:sz w:val="24"/>
          <w:highlight w:val="none"/>
        </w:rPr>
        <w:t>条件的样品。采用的取样方法包括：清洗程序、样品准备和保存、通过样品跟踪单进行样品追踪。现场的质量控制（QC）要填写详细现场观察的记录单，如采样深度、土壤质地、气味、颜色等，以便于后期定性分析。</w:t>
      </w:r>
    </w:p>
    <w:p w14:paraId="613E6C04">
      <w:pPr>
        <w:pStyle w:val="5"/>
        <w:tabs>
          <w:tab w:val="clear" w:pos="851"/>
        </w:tabs>
        <w:rPr>
          <w:rFonts w:hint="default" w:ascii="Times New Roman" w:hAnsi="Times New Roman" w:cs="Times New Roman"/>
          <w:color w:val="000000"/>
          <w:highlight w:val="none"/>
        </w:rPr>
      </w:pPr>
      <w:r>
        <w:rPr>
          <w:rFonts w:hint="default" w:ascii="Times New Roman" w:hAnsi="Times New Roman" w:cs="Times New Roman"/>
          <w:color w:val="000000"/>
          <w:highlight w:val="none"/>
        </w:rPr>
        <w:t>样品交接与运输</w:t>
      </w:r>
    </w:p>
    <w:p w14:paraId="7F61C246">
      <w:pPr>
        <w:ind w:left="1" w:firstLine="480" w:firstLineChars="200"/>
        <w:rPr>
          <w:color w:val="000000"/>
          <w:highlight w:val="none"/>
        </w:rPr>
      </w:pPr>
      <w:r>
        <w:rPr>
          <w:color w:val="000000"/>
          <w:highlight w:val="none"/>
        </w:rPr>
        <w:t>样品采集后尽快装运核对后送往分析实验室。对于有时限要求的监测指标进行严格的时间把控</w:t>
      </w:r>
      <w:r>
        <w:rPr>
          <w:rFonts w:hint="default"/>
          <w:color w:val="000000"/>
          <w:highlight w:val="none"/>
        </w:rPr>
        <w:t>，例如铬（六价）样品，从采集到实验室预处理时间</w:t>
      </w:r>
      <w:r>
        <w:rPr>
          <w:rFonts w:hint="eastAsia"/>
          <w:color w:val="000000"/>
          <w:highlight w:val="none"/>
          <w:lang w:val="en-US" w:eastAsia="zh-CN"/>
        </w:rPr>
        <w:t>不应</w:t>
      </w:r>
      <w:r>
        <w:rPr>
          <w:rFonts w:hint="default"/>
          <w:color w:val="000000"/>
          <w:highlight w:val="none"/>
        </w:rPr>
        <w:t>超过24小时</w:t>
      </w:r>
      <w:r>
        <w:rPr>
          <w:color w:val="000000"/>
          <w:highlight w:val="none"/>
        </w:rPr>
        <w:t>。</w:t>
      </w:r>
    </w:p>
    <w:p w14:paraId="654C36F3">
      <w:pPr>
        <w:spacing w:line="360" w:lineRule="auto"/>
        <w:ind w:left="1" w:firstLine="482" w:firstLineChars="200"/>
        <w:rPr>
          <w:rFonts w:hint="default" w:ascii="Times New Roman" w:hAnsi="Times New Roman" w:cs="Times New Roman"/>
          <w:color w:val="000000"/>
          <w:sz w:val="24"/>
          <w:highlight w:val="none"/>
        </w:rPr>
      </w:pPr>
      <w:r>
        <w:rPr>
          <w:rFonts w:hint="default" w:ascii="Times New Roman" w:hAnsi="Times New Roman" w:cs="Times New Roman"/>
          <w:b/>
          <w:color w:val="000000"/>
          <w:sz w:val="24"/>
          <w:highlight w:val="none"/>
        </w:rPr>
        <w:t>装运前核对：</w:t>
      </w:r>
      <w:r>
        <w:rPr>
          <w:rFonts w:hint="default" w:ascii="Times New Roman" w:hAnsi="Times New Roman" w:cs="Times New Roman"/>
          <w:color w:val="000000"/>
          <w:sz w:val="24"/>
          <w:highlight w:val="none"/>
        </w:rPr>
        <w:t>采样结束后现场逐项检查，如采样记录表、样品标签等，如有缺项、漏项和错误处，应及时补齐和修正后方可装运。</w:t>
      </w:r>
    </w:p>
    <w:p w14:paraId="6D5D0A6A">
      <w:pPr>
        <w:spacing w:line="360" w:lineRule="auto"/>
        <w:ind w:left="1" w:firstLine="482" w:firstLineChars="200"/>
        <w:rPr>
          <w:rFonts w:hint="default" w:ascii="Times New Roman" w:hAnsi="Times New Roman" w:cs="Times New Roman"/>
          <w:color w:val="000000"/>
          <w:sz w:val="24"/>
          <w:highlight w:val="none"/>
        </w:rPr>
      </w:pPr>
      <w:r>
        <w:rPr>
          <w:rFonts w:hint="default" w:ascii="Times New Roman" w:hAnsi="Times New Roman" w:cs="Times New Roman"/>
          <w:b/>
          <w:color w:val="000000"/>
          <w:sz w:val="24"/>
          <w:highlight w:val="none"/>
        </w:rPr>
        <w:t>样品运输：</w:t>
      </w:r>
      <w:r>
        <w:rPr>
          <w:rFonts w:hint="default" w:ascii="Times New Roman" w:hAnsi="Times New Roman" w:cs="Times New Roman"/>
          <w:color w:val="000000"/>
          <w:sz w:val="24"/>
          <w:highlight w:val="none"/>
        </w:rPr>
        <w:t>样品运输过程中严防损失、混淆，并尽快送至实验室分析测试。</w:t>
      </w:r>
    </w:p>
    <w:p w14:paraId="385704A1">
      <w:pPr>
        <w:spacing w:line="360" w:lineRule="auto"/>
        <w:ind w:left="1" w:firstLine="482" w:firstLineChars="200"/>
        <w:rPr>
          <w:rFonts w:hint="default" w:ascii="Times New Roman" w:hAnsi="Times New Roman" w:cs="Times New Roman"/>
          <w:color w:val="000000"/>
          <w:sz w:val="24"/>
          <w:highlight w:val="none"/>
        </w:rPr>
      </w:pPr>
      <w:r>
        <w:rPr>
          <w:rFonts w:hint="default" w:ascii="Times New Roman" w:hAnsi="Times New Roman" w:cs="Times New Roman"/>
          <w:b/>
          <w:color w:val="000000"/>
          <w:sz w:val="24"/>
          <w:highlight w:val="none"/>
        </w:rPr>
        <w:t>样品交接：</w:t>
      </w:r>
      <w:r>
        <w:rPr>
          <w:rFonts w:hint="default" w:ascii="Times New Roman" w:hAnsi="Times New Roman" w:cs="Times New Roman"/>
          <w:color w:val="000000"/>
          <w:sz w:val="24"/>
          <w:highlight w:val="none"/>
        </w:rPr>
        <w:t>样品送到实验室后，采样人员和实验室样品管理员双方同时清点核实样品。</w:t>
      </w:r>
    </w:p>
    <w:p w14:paraId="39B9E928">
      <w:pPr>
        <w:pStyle w:val="5"/>
        <w:tabs>
          <w:tab w:val="clear" w:pos="851"/>
        </w:tabs>
        <w:rPr>
          <w:rFonts w:hint="default" w:ascii="Times New Roman" w:hAnsi="Times New Roman" w:cs="Times New Roman"/>
          <w:color w:val="000000"/>
          <w:highlight w:val="none"/>
        </w:rPr>
      </w:pPr>
      <w:r>
        <w:rPr>
          <w:rFonts w:hint="default" w:ascii="Times New Roman" w:hAnsi="Times New Roman" w:cs="Times New Roman"/>
          <w:color w:val="000000"/>
          <w:highlight w:val="none"/>
        </w:rPr>
        <w:t>实验室质量控制</w:t>
      </w:r>
    </w:p>
    <w:p w14:paraId="423D4069">
      <w:pPr>
        <w:spacing w:line="360" w:lineRule="auto"/>
        <w:ind w:firstLine="480" w:firstLineChars="200"/>
        <w:rPr>
          <w:rFonts w:hint="default" w:ascii="Times New Roman" w:hAnsi="Times New Roman" w:cs="Times New Roman"/>
          <w:color w:val="000000"/>
          <w:sz w:val="24"/>
          <w:highlight w:val="none"/>
        </w:rPr>
        <w:sectPr>
          <w:pgSz w:w="11849" w:h="16781"/>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0" w:charSpace="0"/>
        </w:sectPr>
      </w:pPr>
      <w:r>
        <w:rPr>
          <w:rFonts w:hint="default" w:ascii="Times New Roman" w:hAnsi="Times New Roman" w:cs="Times New Roman"/>
          <w:color w:val="000000"/>
          <w:sz w:val="24"/>
          <w:highlight w:val="none"/>
        </w:rPr>
        <w:t>实验室分析时设实验室空白、平行样、基质加标。要求分析结果中平行样的相对标准偏差均在要求的范围内，实验室加标和基质加标的平行样品均在要求的相对百分偏差内。样品的保留时间、保留温度等实验室内部质量保证/控制措施均符合规定的要求。</w:t>
      </w:r>
    </w:p>
    <w:p w14:paraId="04B3EE18">
      <w:pPr>
        <w:pStyle w:val="3"/>
        <w:numPr>
          <w:ilvl w:val="0"/>
          <w:numId w:val="1"/>
        </w:numPr>
        <w:tabs>
          <w:tab w:val="clear" w:pos="425"/>
        </w:tabs>
        <w:rPr>
          <w:rFonts w:hint="default" w:ascii="Times New Roman" w:hAnsi="Times New Roman" w:cs="Times New Roman"/>
          <w:highlight w:val="none"/>
          <w:lang w:eastAsia="zh-CN"/>
        </w:rPr>
      </w:pPr>
      <w:bookmarkStart w:id="27" w:name="_Toc10707"/>
      <w:r>
        <w:rPr>
          <w:rFonts w:hint="default" w:ascii="Times New Roman" w:hAnsi="Times New Roman" w:cs="Times New Roman"/>
          <w:highlight w:val="none"/>
          <w:lang w:eastAsia="zh-CN"/>
        </w:rPr>
        <w:t>现场工作及实验室分析</w:t>
      </w:r>
      <w:bookmarkEnd w:id="27"/>
    </w:p>
    <w:p w14:paraId="61A0A191">
      <w:pPr>
        <w:pStyle w:val="31"/>
        <w:spacing w:after="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2020年10月</w:t>
      </w:r>
      <w:r>
        <w:rPr>
          <w:rFonts w:hint="default" w:ascii="Times New Roman" w:hAnsi="Times New Roman" w:cs="Times New Roman"/>
          <w:kern w:val="0"/>
          <w:sz w:val="24"/>
          <w:highlight w:val="none"/>
          <w:lang w:val="en-US" w:eastAsia="zh-CN"/>
        </w:rPr>
        <w:t>20</w:t>
      </w:r>
      <w:r>
        <w:rPr>
          <w:rFonts w:hint="default" w:ascii="Times New Roman" w:hAnsi="Times New Roman" w:cs="Times New Roman"/>
          <w:kern w:val="0"/>
          <w:sz w:val="24"/>
          <w:highlight w:val="none"/>
        </w:rPr>
        <w:t>~30日，我公司与协作单位前往</w:t>
      </w:r>
      <w:r>
        <w:rPr>
          <w:rFonts w:hint="default" w:ascii="Times New Roman" w:hAnsi="Times New Roman" w:cs="Times New Roman"/>
          <w:kern w:val="0"/>
          <w:sz w:val="24"/>
          <w:highlight w:val="none"/>
          <w:lang w:val="en-US" w:eastAsia="zh-CN"/>
        </w:rPr>
        <w:t>华容工业园区</w:t>
      </w:r>
      <w:r>
        <w:rPr>
          <w:rFonts w:hint="eastAsia" w:cs="Times New Roman"/>
          <w:kern w:val="0"/>
          <w:sz w:val="24"/>
          <w:highlight w:val="none"/>
          <w:lang w:val="en-US" w:eastAsia="zh-CN"/>
        </w:rPr>
        <w:t>开</w:t>
      </w:r>
      <w:r>
        <w:rPr>
          <w:rFonts w:hint="default" w:ascii="Times New Roman" w:hAnsi="Times New Roman" w:cs="Times New Roman"/>
          <w:kern w:val="0"/>
          <w:sz w:val="24"/>
          <w:highlight w:val="none"/>
        </w:rPr>
        <w:t>展了现场定点、土壤</w:t>
      </w:r>
      <w:r>
        <w:rPr>
          <w:rFonts w:hint="default" w:ascii="Times New Roman" w:hAnsi="Times New Roman" w:cs="Times New Roman"/>
          <w:kern w:val="0"/>
          <w:sz w:val="24"/>
          <w:highlight w:val="none"/>
          <w:lang w:val="en-US" w:eastAsia="zh-CN"/>
        </w:rPr>
        <w:t>采集和地下水钻井及采样</w:t>
      </w:r>
      <w:r>
        <w:rPr>
          <w:rFonts w:hint="default" w:ascii="Times New Roman" w:hAnsi="Times New Roman" w:cs="Times New Roman"/>
          <w:kern w:val="0"/>
          <w:sz w:val="24"/>
          <w:highlight w:val="none"/>
        </w:rPr>
        <w:t>工作</w:t>
      </w:r>
      <w:r>
        <w:rPr>
          <w:rFonts w:hint="eastAsia" w:cs="Times New Roman"/>
          <w:kern w:val="0"/>
          <w:sz w:val="24"/>
          <w:highlight w:val="none"/>
          <w:lang w:eastAsia="zh-CN"/>
        </w:rPr>
        <w:t>。</w:t>
      </w:r>
      <w:r>
        <w:rPr>
          <w:rFonts w:hint="eastAsia" w:cs="Times New Roman"/>
          <w:kern w:val="0"/>
          <w:sz w:val="24"/>
          <w:highlight w:val="none"/>
          <w:lang w:val="en-US" w:eastAsia="zh-CN"/>
        </w:rPr>
        <w:t>土壤表层（0-0.5m）样品采用手工铲的方式采集，地下水样品</w:t>
      </w:r>
      <w:r>
        <w:rPr>
          <w:rFonts w:hint="default" w:ascii="Times New Roman" w:hAnsi="Times New Roman" w:cs="Times New Roman"/>
          <w:kern w:val="0"/>
          <w:sz w:val="24"/>
          <w:highlight w:val="none"/>
        </w:rPr>
        <w:t>采用XY-150履带式钻机钻取了</w:t>
      </w:r>
      <w:r>
        <w:rPr>
          <w:rFonts w:hint="default" w:ascii="Times New Roman" w:hAnsi="Times New Roman" w:cs="Times New Roman"/>
          <w:kern w:val="0"/>
          <w:sz w:val="24"/>
          <w:highlight w:val="none"/>
          <w:lang w:val="en-US" w:eastAsia="zh-CN"/>
        </w:rPr>
        <w:t>2</w:t>
      </w:r>
      <w:r>
        <w:rPr>
          <w:rFonts w:hint="default" w:ascii="Times New Roman" w:hAnsi="Times New Roman" w:cs="Times New Roman"/>
          <w:kern w:val="0"/>
          <w:sz w:val="24"/>
          <w:highlight w:val="none"/>
        </w:rPr>
        <w:t>口直径为90-130mm的</w:t>
      </w:r>
      <w:r>
        <w:rPr>
          <w:rFonts w:hint="default" w:ascii="Times New Roman" w:hAnsi="Times New Roman" w:cs="Times New Roman"/>
          <w:kern w:val="0"/>
          <w:sz w:val="24"/>
          <w:highlight w:val="none"/>
          <w:lang w:val="en-US" w:eastAsia="zh-CN"/>
        </w:rPr>
        <w:t>土孔并建成地下水井</w:t>
      </w:r>
      <w:r>
        <w:rPr>
          <w:rFonts w:hint="eastAsia" w:cs="Times New Roman"/>
          <w:kern w:val="0"/>
          <w:sz w:val="24"/>
          <w:highlight w:val="none"/>
          <w:lang w:val="en-US" w:eastAsia="zh-CN"/>
        </w:rPr>
        <w:t>后采集。</w:t>
      </w:r>
      <w:r>
        <w:rPr>
          <w:rFonts w:hint="default" w:ascii="Times New Roman" w:hAnsi="Times New Roman" w:cs="Times New Roman"/>
          <w:kern w:val="0"/>
          <w:sz w:val="24"/>
          <w:highlight w:val="none"/>
        </w:rPr>
        <w:t>本次调查主要工作内容总结如下：</w:t>
      </w:r>
    </w:p>
    <w:p w14:paraId="2E8900C6">
      <w:pPr>
        <w:pStyle w:val="31"/>
        <w:spacing w:after="0"/>
        <w:ind w:firstLine="480"/>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（1）设置土壤采样点</w:t>
      </w:r>
      <w:r>
        <w:rPr>
          <w:rFonts w:hint="default" w:ascii="Times New Roman" w:hAnsi="Times New Roman" w:cs="Times New Roman"/>
          <w:color w:val="000000"/>
          <w:szCs w:val="24"/>
          <w:highlight w:val="none"/>
          <w:lang w:val="en-US" w:eastAsia="zh-CN"/>
        </w:rPr>
        <w:t>20</w:t>
      </w:r>
      <w:r>
        <w:rPr>
          <w:rFonts w:hint="default" w:ascii="Times New Roman" w:hAnsi="Times New Roman" w:cs="Times New Roman"/>
          <w:color w:val="000000"/>
          <w:szCs w:val="24"/>
          <w:highlight w:val="none"/>
        </w:rPr>
        <w:t>个，采集土壤样品</w:t>
      </w:r>
      <w:r>
        <w:rPr>
          <w:rFonts w:hint="default" w:ascii="Times New Roman" w:hAnsi="Times New Roman" w:cs="Times New Roman"/>
          <w:color w:val="000000"/>
          <w:highlight w:val="none"/>
          <w:lang w:val="en-US" w:eastAsia="zh-CN"/>
        </w:rPr>
        <w:t>20</w:t>
      </w:r>
      <w:r>
        <w:rPr>
          <w:rFonts w:hint="default" w:ascii="Times New Roman" w:hAnsi="Times New Roman" w:cs="Times New Roman"/>
          <w:color w:val="000000"/>
          <w:highlight w:val="none"/>
        </w:rPr>
        <w:t>个</w:t>
      </w:r>
      <w:r>
        <w:rPr>
          <w:rFonts w:hint="default" w:ascii="Times New Roman" w:hAnsi="Times New Roman" w:cs="Times New Roman"/>
          <w:highlight w:val="none"/>
          <w:lang w:eastAsia="zh-CN"/>
        </w:rPr>
        <w:t>、现场平行盲样</w:t>
      </w:r>
      <w:r>
        <w:rPr>
          <w:rFonts w:hint="default" w:ascii="Times New Roman" w:hAnsi="Times New Roman" w:cs="Times New Roman"/>
          <w:highlight w:val="none"/>
          <w:lang w:val="en-US" w:eastAsia="zh-CN"/>
        </w:rPr>
        <w:t>3个和运输空白样1个，共送检24个样品</w:t>
      </w:r>
      <w:r>
        <w:rPr>
          <w:rFonts w:hint="default" w:ascii="Times New Roman" w:hAnsi="Times New Roman" w:cs="Times New Roman"/>
          <w:color w:val="000000"/>
          <w:szCs w:val="24"/>
          <w:highlight w:val="none"/>
        </w:rPr>
        <w:t>，测试项目包括</w:t>
      </w:r>
      <w:r>
        <w:rPr>
          <w:rFonts w:hint="default" w:ascii="Times New Roman" w:hAnsi="Times New Roman" w:cs="Times New Roman"/>
          <w:color w:val="000000"/>
          <w:highlight w:val="none"/>
        </w:rPr>
        <w:t>pH、重金属、挥发性有机物、半挥发性有机物</w:t>
      </w:r>
      <w:r>
        <w:rPr>
          <w:rFonts w:hint="default" w:ascii="Times New Roman" w:hAnsi="Times New Roman" w:cs="Times New Roman"/>
          <w:color w:val="000000"/>
          <w:highlight w:val="none"/>
          <w:lang w:eastAsia="zh-CN"/>
        </w:rPr>
        <w:t>、</w:t>
      </w:r>
      <w:r>
        <w:rPr>
          <w:rFonts w:hint="default" w:ascii="Times New Roman" w:hAnsi="Times New Roman" w:cs="Times New Roman"/>
          <w:color w:val="000000"/>
          <w:highlight w:val="none"/>
        </w:rPr>
        <w:t>石油烃</w:t>
      </w:r>
      <w:r>
        <w:rPr>
          <w:rFonts w:hint="default" w:ascii="Times New Roman" w:hAnsi="Times New Roman" w:cs="Times New Roman"/>
          <w:color w:val="000000"/>
          <w:highlight w:val="none"/>
          <w:lang w:eastAsia="zh-CN"/>
        </w:rPr>
        <w:t>（</w:t>
      </w:r>
      <w:r>
        <w:rPr>
          <w:rFonts w:hint="default" w:ascii="Times New Roman" w:hAnsi="Times New Roman" w:cs="Times New Roman"/>
          <w:color w:val="000000"/>
          <w:highlight w:val="none"/>
          <w:lang w:val="en-US" w:eastAsia="zh-CN"/>
        </w:rPr>
        <w:t>C</w:t>
      </w:r>
      <w:r>
        <w:rPr>
          <w:rFonts w:hint="default" w:ascii="Times New Roman" w:hAnsi="Times New Roman" w:cs="Times New Roman"/>
          <w:color w:val="000000"/>
          <w:highlight w:val="none"/>
          <w:vertAlign w:val="subscript"/>
          <w:lang w:val="en-US" w:eastAsia="zh-CN"/>
        </w:rPr>
        <w:t>10</w:t>
      </w:r>
      <w:r>
        <w:rPr>
          <w:rFonts w:hint="default" w:ascii="Times New Roman" w:hAnsi="Times New Roman" w:cs="Times New Roman"/>
          <w:color w:val="000000"/>
          <w:highlight w:val="none"/>
          <w:lang w:val="en-US" w:eastAsia="zh-CN"/>
        </w:rPr>
        <w:t>-C</w:t>
      </w:r>
      <w:r>
        <w:rPr>
          <w:rFonts w:hint="default" w:ascii="Times New Roman" w:hAnsi="Times New Roman" w:cs="Times New Roman"/>
          <w:color w:val="000000"/>
          <w:highlight w:val="none"/>
          <w:vertAlign w:val="subscript"/>
          <w:lang w:val="en-US" w:eastAsia="zh-CN"/>
        </w:rPr>
        <w:t>40</w:t>
      </w:r>
      <w:r>
        <w:rPr>
          <w:rFonts w:hint="default" w:ascii="Times New Roman" w:hAnsi="Times New Roman" w:cs="Times New Roman"/>
          <w:color w:val="000000"/>
          <w:highlight w:val="none"/>
          <w:lang w:eastAsia="zh-CN"/>
        </w:rPr>
        <w:t>）、</w:t>
      </w:r>
      <w:r>
        <w:rPr>
          <w:rFonts w:hint="eastAsia" w:cs="Times New Roman"/>
          <w:color w:val="000000"/>
          <w:highlight w:val="none"/>
          <w:lang w:val="en-US" w:eastAsia="zh-CN"/>
        </w:rPr>
        <w:t>总氟化物</w:t>
      </w:r>
      <w:r>
        <w:rPr>
          <w:rFonts w:hint="default" w:ascii="Times New Roman" w:hAnsi="Times New Roman" w:cs="Times New Roman"/>
          <w:color w:val="000000"/>
          <w:highlight w:val="none"/>
          <w:lang w:val="en-US" w:eastAsia="zh-CN"/>
        </w:rPr>
        <w:t>、二噁英、氰化物、苯酚、2-甲基苯酚、4-甲基苯酚</w:t>
      </w:r>
      <w:r>
        <w:rPr>
          <w:rFonts w:hint="default" w:ascii="Times New Roman" w:hAnsi="Times New Roman" w:cs="Times New Roman"/>
          <w:color w:val="000000"/>
          <w:highlight w:val="none"/>
        </w:rPr>
        <w:t>共计</w:t>
      </w:r>
      <w:r>
        <w:rPr>
          <w:rFonts w:hint="default" w:ascii="Times New Roman" w:hAnsi="Times New Roman" w:cs="Times New Roman"/>
          <w:color w:val="000000"/>
          <w:highlight w:val="none"/>
          <w:lang w:val="en-US" w:eastAsia="zh-CN"/>
        </w:rPr>
        <w:t>57</w:t>
      </w:r>
      <w:r>
        <w:rPr>
          <w:rFonts w:hint="default" w:ascii="Times New Roman" w:hAnsi="Times New Roman" w:cs="Times New Roman"/>
          <w:color w:val="000000"/>
          <w:highlight w:val="none"/>
        </w:rPr>
        <w:t>项</w:t>
      </w:r>
      <w:r>
        <w:rPr>
          <w:rFonts w:hint="default" w:ascii="Times New Roman" w:hAnsi="Times New Roman" w:cs="Times New Roman"/>
          <w:color w:val="000000"/>
          <w:szCs w:val="24"/>
          <w:highlight w:val="none"/>
        </w:rPr>
        <w:t>；</w:t>
      </w:r>
    </w:p>
    <w:p w14:paraId="0E4179C1">
      <w:pPr>
        <w:pStyle w:val="31"/>
        <w:spacing w:after="0"/>
        <w:ind w:firstLine="480"/>
        <w:rPr>
          <w:rFonts w:hint="default" w:ascii="Times New Roman" w:hAnsi="Times New Roman" w:cs="Times New Roman"/>
          <w:highlight w:val="none"/>
        </w:rPr>
      </w:pPr>
      <w:r>
        <w:rPr>
          <w:rFonts w:hint="default" w:ascii="Times New Roman" w:hAnsi="Times New Roman" w:cs="Times New Roman"/>
          <w:kern w:val="0"/>
          <w:sz w:val="24"/>
          <w:highlight w:val="none"/>
        </w:rPr>
        <w:t>（2）设置地下水</w:t>
      </w:r>
      <w:r>
        <w:rPr>
          <w:rFonts w:hint="default" w:ascii="Times New Roman" w:hAnsi="Times New Roman" w:cs="Times New Roman"/>
          <w:color w:val="000000"/>
          <w:sz w:val="24"/>
          <w:highlight w:val="none"/>
        </w:rPr>
        <w:t>采样点</w:t>
      </w:r>
      <w:r>
        <w:rPr>
          <w:rFonts w:hint="default" w:ascii="Times New Roman" w:hAnsi="Times New Roman" w:cs="Times New Roman"/>
          <w:color w:val="000000"/>
          <w:sz w:val="24"/>
          <w:highlight w:val="none"/>
          <w:lang w:val="en-US" w:eastAsia="zh-CN"/>
        </w:rPr>
        <w:t>2</w:t>
      </w:r>
      <w:r>
        <w:rPr>
          <w:rFonts w:hint="default" w:ascii="Times New Roman" w:hAnsi="Times New Roman" w:cs="Times New Roman"/>
          <w:color w:val="000000"/>
          <w:sz w:val="24"/>
          <w:highlight w:val="none"/>
        </w:rPr>
        <w:t>个，采集并送检</w:t>
      </w:r>
      <w:r>
        <w:rPr>
          <w:rFonts w:hint="default" w:ascii="Times New Roman" w:hAnsi="Times New Roman" w:cs="Times New Roman"/>
          <w:kern w:val="0"/>
          <w:sz w:val="24"/>
          <w:highlight w:val="none"/>
        </w:rPr>
        <w:t>地下水样品</w:t>
      </w:r>
      <w:r>
        <w:rPr>
          <w:rFonts w:hint="default" w:ascii="Times New Roman" w:hAnsi="Times New Roman" w:cs="Times New Roman"/>
          <w:kern w:val="0"/>
          <w:sz w:val="24"/>
          <w:highlight w:val="none"/>
          <w:lang w:val="en-US" w:eastAsia="zh-CN"/>
        </w:rPr>
        <w:t>2</w:t>
      </w:r>
      <w:r>
        <w:rPr>
          <w:rFonts w:hint="default" w:ascii="Times New Roman" w:hAnsi="Times New Roman" w:cs="Times New Roman"/>
          <w:kern w:val="0"/>
          <w:sz w:val="24"/>
          <w:highlight w:val="none"/>
        </w:rPr>
        <w:t>个，测试项目包括</w:t>
      </w:r>
      <w:r>
        <w:rPr>
          <w:rFonts w:hint="default" w:ascii="Times New Roman" w:hAnsi="Times New Roman" w:cs="Times New Roman"/>
          <w:color w:val="000000"/>
          <w:sz w:val="24"/>
          <w:highlight w:val="none"/>
        </w:rPr>
        <w:t>无机项目（</w:t>
      </w:r>
      <w:r>
        <w:rPr>
          <w:rFonts w:hint="default" w:ascii="Times New Roman" w:hAnsi="Times New Roman" w:cs="Times New Roman"/>
          <w:color w:val="000000"/>
          <w:sz w:val="24"/>
          <w:highlight w:val="none"/>
          <w:lang w:val="en-US" w:eastAsia="zh-CN"/>
        </w:rPr>
        <w:t>14</w:t>
      </w:r>
      <w:r>
        <w:rPr>
          <w:rFonts w:hint="default" w:ascii="Times New Roman" w:hAnsi="Times New Roman" w:cs="Times New Roman"/>
          <w:color w:val="000000"/>
          <w:sz w:val="24"/>
          <w:highlight w:val="none"/>
        </w:rPr>
        <w:t>项）、金属类（</w:t>
      </w:r>
      <w:r>
        <w:rPr>
          <w:rFonts w:hint="default" w:ascii="Times New Roman" w:hAnsi="Times New Roman" w:cs="Times New Roman"/>
          <w:color w:val="000000"/>
          <w:sz w:val="24"/>
          <w:highlight w:val="none"/>
          <w:lang w:val="en-US" w:eastAsia="zh-CN"/>
        </w:rPr>
        <w:t>13</w:t>
      </w:r>
      <w:r>
        <w:rPr>
          <w:rFonts w:hint="default" w:ascii="Times New Roman" w:hAnsi="Times New Roman" w:cs="Times New Roman"/>
          <w:color w:val="000000"/>
          <w:sz w:val="24"/>
          <w:highlight w:val="none"/>
        </w:rPr>
        <w:t>项）、有机类（</w:t>
      </w:r>
      <w:r>
        <w:rPr>
          <w:rFonts w:hint="default" w:ascii="Times New Roman" w:hAnsi="Times New Roman" w:cs="Times New Roman"/>
          <w:color w:val="000000"/>
          <w:sz w:val="24"/>
          <w:highlight w:val="none"/>
          <w:lang w:val="en-US" w:eastAsia="zh-CN"/>
        </w:rPr>
        <w:t>5</w:t>
      </w:r>
      <w:r>
        <w:rPr>
          <w:rFonts w:hint="default" w:ascii="Times New Roman" w:hAnsi="Times New Roman" w:cs="Times New Roman"/>
          <w:color w:val="000000"/>
          <w:sz w:val="24"/>
          <w:highlight w:val="none"/>
        </w:rPr>
        <w:t>项）等</w:t>
      </w:r>
      <w:r>
        <w:rPr>
          <w:rFonts w:hint="default" w:ascii="Times New Roman" w:hAnsi="Times New Roman" w:cs="Times New Roman"/>
          <w:color w:val="000000"/>
          <w:sz w:val="24"/>
          <w:highlight w:val="none"/>
          <w:lang w:val="en-US" w:eastAsia="zh-CN"/>
        </w:rPr>
        <w:t>32</w:t>
      </w:r>
      <w:r>
        <w:rPr>
          <w:rFonts w:hint="default" w:ascii="Times New Roman" w:hAnsi="Times New Roman" w:cs="Times New Roman"/>
          <w:color w:val="000000"/>
          <w:sz w:val="24"/>
          <w:highlight w:val="none"/>
        </w:rPr>
        <w:t>项。</w:t>
      </w:r>
    </w:p>
    <w:p w14:paraId="6EF96B0B">
      <w:pPr>
        <w:pStyle w:val="4"/>
        <w:tabs>
          <w:tab w:val="clear" w:pos="425"/>
        </w:tabs>
        <w:rPr>
          <w:rFonts w:hint="default" w:ascii="Times New Roman" w:hAnsi="Times New Roman" w:cs="Times New Roman"/>
          <w:highlight w:val="none"/>
        </w:rPr>
      </w:pPr>
      <w:bookmarkStart w:id="28" w:name="_Toc30602"/>
      <w:r>
        <w:rPr>
          <w:rFonts w:hint="default" w:ascii="Times New Roman" w:hAnsi="Times New Roman" w:cs="Times New Roman"/>
          <w:highlight w:val="none"/>
          <w:lang w:eastAsia="zh-CN"/>
        </w:rPr>
        <w:t>现场定点测绘</w:t>
      </w:r>
      <w:bookmarkEnd w:id="28"/>
    </w:p>
    <w:p w14:paraId="36C306CD">
      <w:pPr>
        <w:pStyle w:val="31"/>
        <w:spacing w:after="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为了进一步明确，统一各采样点位的实际地理坐标，根据采样布点方案，对每个采样点使用GPS进行现场定点。若存在部分点位因</w:t>
      </w:r>
      <w:r>
        <w:rPr>
          <w:rFonts w:hint="default" w:ascii="Times New Roman" w:hAnsi="Times New Roman" w:cs="Times New Roman"/>
          <w:kern w:val="0"/>
          <w:sz w:val="24"/>
          <w:highlight w:val="none"/>
          <w:lang w:eastAsia="zh-CN"/>
        </w:rPr>
        <w:t>园区</w:t>
      </w:r>
      <w:r>
        <w:rPr>
          <w:rFonts w:hint="default" w:ascii="Times New Roman" w:hAnsi="Times New Roman" w:cs="Times New Roman"/>
          <w:kern w:val="0"/>
          <w:sz w:val="24"/>
          <w:highlight w:val="none"/>
        </w:rPr>
        <w:t>实际条件无法采样时，记录调整后的坐标、偏移方位及距离，及时修正点位，并用GPS记录实际采样点坐标。</w:t>
      </w:r>
    </w:p>
    <w:p w14:paraId="5C1AF668">
      <w:pPr>
        <w:pStyle w:val="4"/>
        <w:tabs>
          <w:tab w:val="clear" w:pos="425"/>
        </w:tabs>
        <w:rPr>
          <w:rFonts w:hint="default" w:ascii="Times New Roman" w:hAnsi="Times New Roman" w:cs="Times New Roman"/>
          <w:highlight w:val="none"/>
        </w:rPr>
      </w:pPr>
      <w:bookmarkStart w:id="29" w:name="_Toc25534"/>
      <w:r>
        <w:rPr>
          <w:rFonts w:hint="default" w:ascii="Times New Roman" w:hAnsi="Times New Roman" w:cs="Times New Roman"/>
          <w:highlight w:val="none"/>
          <w:lang w:eastAsia="zh-CN"/>
        </w:rPr>
        <w:t>样品采集</w:t>
      </w:r>
      <w:bookmarkEnd w:id="29"/>
    </w:p>
    <w:p w14:paraId="166D26A4">
      <w:pPr>
        <w:pStyle w:val="5"/>
        <w:tabs>
          <w:tab w:val="left" w:pos="425"/>
        </w:tabs>
        <w:bidi w:val="0"/>
        <w:rPr>
          <w:rFonts w:hint="default" w:ascii="Times New Roman" w:hAnsi="Times New Roman" w:cs="Times New Roman"/>
          <w:highlight w:val="none"/>
        </w:rPr>
      </w:pPr>
      <w:r>
        <w:rPr>
          <w:rFonts w:hint="default" w:ascii="Times New Roman" w:hAnsi="Times New Roman" w:cs="Times New Roman"/>
          <w:highlight w:val="none"/>
          <w:lang w:eastAsia="zh-CN"/>
        </w:rPr>
        <w:t>土壤</w:t>
      </w:r>
      <w:r>
        <w:rPr>
          <w:rFonts w:hint="default" w:ascii="Times New Roman" w:hAnsi="Times New Roman" w:cs="Times New Roman"/>
          <w:highlight w:val="none"/>
        </w:rPr>
        <w:t>样品采集</w:t>
      </w:r>
    </w:p>
    <w:p w14:paraId="38667139">
      <w:pPr>
        <w:ind w:firstLine="480" w:firstLineChars="200"/>
        <w:rPr>
          <w:highlight w:val="none"/>
        </w:rPr>
      </w:pPr>
      <w:r>
        <w:rPr>
          <w:rFonts w:hint="default" w:ascii="Times New Roman" w:hAnsi="Times New Roman" w:cs="Times New Roman"/>
          <w:sz w:val="24"/>
          <w:highlight w:val="none"/>
          <w:lang w:eastAsia="zh-CN"/>
        </w:rPr>
        <w:t>园区</w:t>
      </w:r>
      <w:r>
        <w:rPr>
          <w:rFonts w:hint="default" w:ascii="Times New Roman" w:hAnsi="Times New Roman" w:cs="Times New Roman"/>
          <w:sz w:val="24"/>
          <w:highlight w:val="none"/>
        </w:rPr>
        <w:t>土壤样品采集工作委托苏伊士环境检测技术（上海）有限公司承担</w:t>
      </w:r>
      <w:r>
        <w:rPr>
          <w:rFonts w:hint="eastAsia" w:cs="Times New Roman"/>
          <w:color w:val="auto"/>
          <w:highlight w:val="none"/>
          <w:lang w:eastAsia="zh-CN"/>
        </w:rPr>
        <w:t>，</w:t>
      </w:r>
      <w:r>
        <w:rPr>
          <w:rFonts w:hint="eastAsia" w:cs="Times New Roman"/>
          <w:color w:val="auto"/>
          <w:highlight w:val="none"/>
          <w:lang w:val="en-US" w:eastAsia="zh-CN"/>
        </w:rPr>
        <w:t>现场采样情况说明详见附件5</w:t>
      </w:r>
      <w:r>
        <w:rPr>
          <w:highlight w:val="none"/>
        </w:rPr>
        <w:t>。</w:t>
      </w:r>
    </w:p>
    <w:p w14:paraId="7BCE9B7B">
      <w:pPr>
        <w:pStyle w:val="6"/>
        <w:numPr>
          <w:ilvl w:val="0"/>
          <w:numId w:val="0"/>
        </w:numPr>
        <w:spacing w:before="0" w:after="0" w:line="360" w:lineRule="auto"/>
        <w:ind w:leftChars="0"/>
        <w:jc w:val="left"/>
        <w:rPr>
          <w:rFonts w:hint="default" w:ascii="Times New Roman" w:hAnsi="Times New Roman" w:eastAsia="宋体" w:cs="Times New Roman"/>
          <w:color w:val="000000"/>
          <w:kern w:val="0"/>
          <w:sz w:val="24"/>
          <w:szCs w:val="24"/>
          <w:highlight w:val="none"/>
          <w:lang w:val="en-US" w:eastAsia="zh-CN"/>
        </w:rPr>
      </w:pPr>
      <w:r>
        <w:rPr>
          <w:rFonts w:hint="default" w:ascii="Times New Roman" w:hAnsi="Times New Roman" w:eastAsia="宋体" w:cs="Times New Roman"/>
          <w:color w:val="000000"/>
          <w:kern w:val="0"/>
          <w:sz w:val="24"/>
          <w:szCs w:val="24"/>
          <w:highlight w:val="none"/>
          <w:lang w:val="en-US" w:eastAsia="zh-CN"/>
        </w:rPr>
        <w:t>4.2.1.1 采集工具和方法</w:t>
      </w:r>
    </w:p>
    <w:p w14:paraId="419127A3">
      <w:pPr>
        <w:spacing w:line="360" w:lineRule="auto"/>
        <w:ind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土壤样品采用</w:t>
      </w:r>
      <w:r>
        <w:rPr>
          <w:rFonts w:hint="default" w:ascii="Times New Roman" w:hAnsi="Times New Roman" w:cs="Times New Roman"/>
          <w:sz w:val="24"/>
          <w:highlight w:val="none"/>
          <w:lang w:eastAsia="zh-CN"/>
        </w:rPr>
        <w:t>手工铲</w:t>
      </w:r>
      <w:r>
        <w:rPr>
          <w:rFonts w:hint="default" w:ascii="Times New Roman" w:hAnsi="Times New Roman" w:cs="Times New Roman"/>
          <w:sz w:val="24"/>
          <w:highlight w:val="none"/>
        </w:rPr>
        <w:t>采集，在技术人员的指导下进行，根据相关技术导则操作。</w:t>
      </w:r>
    </w:p>
    <w:p w14:paraId="28CC00DA">
      <w:pPr>
        <w:spacing w:line="360" w:lineRule="auto"/>
        <w:ind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现场采样时，通过辅以样品性状、气味等污染识别方法，取相应深度土壤，专业技术人员戴上一次性的无污染手术用橡胶手套，用</w:t>
      </w:r>
      <w:r>
        <w:rPr>
          <w:rFonts w:hint="default" w:ascii="Times New Roman" w:hAnsi="Times New Roman" w:cs="Times New Roman"/>
          <w:sz w:val="24"/>
          <w:highlight w:val="none"/>
          <w:lang w:eastAsia="zh-CN"/>
        </w:rPr>
        <w:t>手工铲</w:t>
      </w:r>
      <w:r>
        <w:rPr>
          <w:rFonts w:hint="default" w:ascii="Times New Roman" w:hAnsi="Times New Roman" w:cs="Times New Roman"/>
          <w:sz w:val="24"/>
          <w:highlight w:val="none"/>
        </w:rPr>
        <w:t>将取出的土壤装入样品瓶（袋）中，压实密封。用记号笔在每个样品瓶中记录样品名称、编号、采样日期等信息，边采边记，避免遗漏。样品瓶是由负责样品检测单位的实验室提供的、事先准备好带到现场。典型监测点位现场采样及样品照片</w:t>
      </w:r>
      <w:r>
        <w:rPr>
          <w:rFonts w:hint="default" w:ascii="Times New Roman" w:hAnsi="Times New Roman" w:cs="Times New Roman"/>
          <w:sz w:val="24"/>
          <w:highlight w:val="none"/>
          <w:lang w:eastAsia="zh-CN"/>
        </w:rPr>
        <w:t>见下图</w:t>
      </w:r>
      <w:r>
        <w:rPr>
          <w:rFonts w:hint="default" w:ascii="Times New Roman" w:hAnsi="Times New Roman" w:cs="Times New Roman"/>
          <w:sz w:val="24"/>
          <w:highlight w:val="none"/>
        </w:rPr>
        <w:t>。</w:t>
      </w:r>
    </w:p>
    <w:tbl>
      <w:tblPr>
        <w:tblStyle w:val="21"/>
        <w:tblW w:w="97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719"/>
        <w:gridCol w:w="5079"/>
      </w:tblGrid>
      <w:tr w14:paraId="67F4DD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719" w:type="dxa"/>
            <w:noWrap w:val="0"/>
            <w:vAlign w:val="center"/>
          </w:tcPr>
          <w:p w14:paraId="7579596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highlight w:val="none"/>
                <w:lang w:eastAsia="zh-CN"/>
              </w:rPr>
            </w:pPr>
            <w:r>
              <w:rPr>
                <w:rFonts w:hint="default" w:ascii="Times New Roman" w:hAnsi="Times New Roman" w:eastAsia="宋体" w:cs="Times New Roman"/>
                <w:highlight w:val="none"/>
                <w:lang w:eastAsia="zh-CN"/>
              </w:rPr>
              <w:drawing>
                <wp:inline distT="0" distB="0" distL="114300" distR="114300">
                  <wp:extent cx="2857500" cy="2143125"/>
                  <wp:effectExtent l="0" t="0" r="0" b="9525"/>
                  <wp:docPr id="16" name="图片 16" descr="IMG_20201020_103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G_20201020_103422"/>
                          <pic:cNvPicPr>
                            <a:picLocks noChangeAspect="1"/>
                          </pic:cNvPicPr>
                        </pic:nvPicPr>
                        <pic:blipFill>
                          <a:blip r:embed="rId24"/>
                          <a:stretch>
                            <a:fillRect/>
                          </a:stretch>
                        </pic:blipFill>
                        <pic:spPr>
                          <a:xfrm>
                            <a:off x="0" y="0"/>
                            <a:ext cx="2857500" cy="2143125"/>
                          </a:xfrm>
                          <a:prstGeom prst="rect">
                            <a:avLst/>
                          </a:prstGeom>
                        </pic:spPr>
                      </pic:pic>
                    </a:graphicData>
                  </a:graphic>
                </wp:inline>
              </w:drawing>
            </w:r>
          </w:p>
        </w:tc>
        <w:tc>
          <w:tcPr>
            <w:tcW w:w="5079" w:type="dxa"/>
            <w:noWrap w:val="0"/>
            <w:vAlign w:val="center"/>
          </w:tcPr>
          <w:p w14:paraId="6AD29F6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highlight w:val="none"/>
                <w:lang w:eastAsia="zh-CN"/>
              </w:rPr>
            </w:pPr>
            <w:r>
              <w:rPr>
                <w:rFonts w:hint="default" w:ascii="Times New Roman" w:hAnsi="Times New Roman" w:eastAsia="宋体" w:cs="Times New Roman"/>
                <w:highlight w:val="none"/>
                <w:lang w:eastAsia="zh-CN"/>
              </w:rPr>
              <w:drawing>
                <wp:inline distT="0" distB="0" distL="114300" distR="114300">
                  <wp:extent cx="2879725" cy="2160270"/>
                  <wp:effectExtent l="0" t="0" r="15875" b="11430"/>
                  <wp:docPr id="15" name="图片 15" descr="IMG_20201020_103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0201020_103750"/>
                          <pic:cNvPicPr>
                            <a:picLocks noChangeAspect="1"/>
                          </pic:cNvPicPr>
                        </pic:nvPicPr>
                        <pic:blipFill>
                          <a:blip r:embed="rId25"/>
                          <a:stretch>
                            <a:fillRect/>
                          </a:stretch>
                        </pic:blipFill>
                        <pic:spPr>
                          <a:xfrm>
                            <a:off x="0" y="0"/>
                            <a:ext cx="2879725" cy="2160270"/>
                          </a:xfrm>
                          <a:prstGeom prst="rect">
                            <a:avLst/>
                          </a:prstGeom>
                        </pic:spPr>
                      </pic:pic>
                    </a:graphicData>
                  </a:graphic>
                </wp:inline>
              </w:drawing>
            </w:r>
          </w:p>
        </w:tc>
      </w:tr>
      <w:tr w14:paraId="029DBF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719" w:type="dxa"/>
            <w:noWrap w:val="0"/>
            <w:vAlign w:val="center"/>
          </w:tcPr>
          <w:p w14:paraId="48619C44">
            <w:pPr>
              <w:keepNext w:val="0"/>
              <w:keepLines w:val="0"/>
              <w:suppressLineNumbers w:val="0"/>
              <w:snapToGrid w:val="0"/>
              <w:spacing w:before="0" w:beforeAutospacing="0" w:after="0" w:afterAutospacing="0" w:line="240" w:lineRule="auto"/>
              <w:ind w:left="0" w:right="0"/>
              <w:jc w:val="center"/>
              <w:rPr>
                <w:rFonts w:hint="default" w:ascii="Times New Roman" w:hAnsi="Times New Roman" w:cs="Times New Roman"/>
                <w:highlight w:val="none"/>
              </w:rPr>
            </w:pPr>
            <w:r>
              <w:rPr>
                <w:rFonts w:hint="default" w:ascii="Times New Roman" w:hAnsi="Times New Roman" w:cs="Times New Roman"/>
                <w:b/>
                <w:bCs/>
                <w:highlight w:val="none"/>
              </w:rPr>
              <w:t>现场采样照片</w:t>
            </w:r>
          </w:p>
        </w:tc>
        <w:tc>
          <w:tcPr>
            <w:tcW w:w="5079" w:type="dxa"/>
            <w:noWrap w:val="0"/>
            <w:vAlign w:val="center"/>
          </w:tcPr>
          <w:p w14:paraId="4D1B4E5F">
            <w:pPr>
              <w:keepNext w:val="0"/>
              <w:keepLines w:val="0"/>
              <w:suppressLineNumbers w:val="0"/>
              <w:snapToGrid w:val="0"/>
              <w:spacing w:before="0" w:beforeAutospacing="0" w:after="0" w:afterAutospacing="0" w:line="240" w:lineRule="auto"/>
              <w:ind w:left="0" w:right="0"/>
              <w:jc w:val="center"/>
              <w:rPr>
                <w:rFonts w:hint="default" w:ascii="Times New Roman" w:hAnsi="Times New Roman" w:cs="Times New Roman"/>
                <w:highlight w:val="none"/>
              </w:rPr>
            </w:pPr>
            <w:r>
              <w:rPr>
                <w:rFonts w:hint="default" w:ascii="Times New Roman" w:hAnsi="Times New Roman" w:cs="Times New Roman"/>
                <w:b/>
                <w:bCs/>
                <w:highlight w:val="none"/>
              </w:rPr>
              <w:t>现场取样照片</w:t>
            </w:r>
          </w:p>
        </w:tc>
      </w:tr>
      <w:tr w14:paraId="0FA918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719" w:type="dxa"/>
            <w:noWrap w:val="0"/>
            <w:vAlign w:val="center"/>
          </w:tcPr>
          <w:p w14:paraId="4C58A30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b/>
                <w:bCs/>
                <w:highlight w:val="none"/>
                <w:lang w:eastAsia="zh-CN"/>
              </w:rPr>
            </w:pPr>
            <w:r>
              <w:rPr>
                <w:rFonts w:hint="default" w:ascii="Times New Roman" w:hAnsi="Times New Roman" w:eastAsia="宋体" w:cs="Times New Roman"/>
                <w:b/>
                <w:bCs/>
                <w:highlight w:val="none"/>
                <w:lang w:eastAsia="zh-CN"/>
              </w:rPr>
              <w:drawing>
                <wp:inline distT="0" distB="0" distL="114300" distR="114300">
                  <wp:extent cx="1537335" cy="2051050"/>
                  <wp:effectExtent l="0" t="0" r="5715" b="6350"/>
                  <wp:docPr id="24" name="图片 24" descr="6315fffdfc858db3cadb8f1356e5c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6315fffdfc858db3cadb8f1356e5c99"/>
                          <pic:cNvPicPr>
                            <a:picLocks noChangeAspect="1"/>
                          </pic:cNvPicPr>
                        </pic:nvPicPr>
                        <pic:blipFill>
                          <a:blip r:embed="rId26"/>
                          <a:stretch>
                            <a:fillRect/>
                          </a:stretch>
                        </pic:blipFill>
                        <pic:spPr>
                          <a:xfrm>
                            <a:off x="0" y="0"/>
                            <a:ext cx="1537335" cy="2051050"/>
                          </a:xfrm>
                          <a:prstGeom prst="rect">
                            <a:avLst/>
                          </a:prstGeom>
                        </pic:spPr>
                      </pic:pic>
                    </a:graphicData>
                  </a:graphic>
                </wp:inline>
              </w:drawing>
            </w:r>
          </w:p>
        </w:tc>
        <w:tc>
          <w:tcPr>
            <w:tcW w:w="5079" w:type="dxa"/>
            <w:noWrap w:val="0"/>
            <w:vAlign w:val="center"/>
          </w:tcPr>
          <w:p w14:paraId="4E45634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b/>
                <w:bCs/>
                <w:highlight w:val="none"/>
                <w:lang w:eastAsia="zh-CN"/>
              </w:rPr>
            </w:pPr>
            <w:r>
              <w:rPr>
                <w:rFonts w:hint="default" w:ascii="Times New Roman" w:hAnsi="Times New Roman" w:eastAsia="宋体" w:cs="Times New Roman"/>
                <w:b/>
                <w:bCs/>
                <w:highlight w:val="none"/>
                <w:lang w:eastAsia="zh-CN"/>
              </w:rPr>
              <w:drawing>
                <wp:inline distT="0" distB="0" distL="114300" distR="114300">
                  <wp:extent cx="1652905" cy="2141855"/>
                  <wp:effectExtent l="0" t="0" r="4445" b="10795"/>
                  <wp:docPr id="28" name="图片 28" descr="cac2906de5a81b7ad1a22bea2e36e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ac2906de5a81b7ad1a22bea2e36e93"/>
                          <pic:cNvPicPr>
                            <a:picLocks noChangeAspect="1"/>
                          </pic:cNvPicPr>
                        </pic:nvPicPr>
                        <pic:blipFill>
                          <a:blip r:embed="rId27"/>
                          <a:stretch>
                            <a:fillRect/>
                          </a:stretch>
                        </pic:blipFill>
                        <pic:spPr>
                          <a:xfrm>
                            <a:off x="0" y="0"/>
                            <a:ext cx="1652905" cy="2141855"/>
                          </a:xfrm>
                          <a:prstGeom prst="rect">
                            <a:avLst/>
                          </a:prstGeom>
                        </pic:spPr>
                      </pic:pic>
                    </a:graphicData>
                  </a:graphic>
                </wp:inline>
              </w:drawing>
            </w:r>
          </w:p>
        </w:tc>
      </w:tr>
      <w:tr w14:paraId="6C576E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719" w:type="dxa"/>
            <w:noWrap w:val="0"/>
            <w:vAlign w:val="center"/>
          </w:tcPr>
          <w:p w14:paraId="09FC6D7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highlight w:val="none"/>
                <w:lang w:eastAsia="zh-CN"/>
              </w:rPr>
            </w:pPr>
            <w:r>
              <w:rPr>
                <w:rFonts w:hint="default" w:ascii="Times New Roman" w:hAnsi="Times New Roman" w:cs="Times New Roman"/>
                <w:b/>
                <w:bCs/>
                <w:highlight w:val="none"/>
              </w:rPr>
              <w:t>现场</w:t>
            </w:r>
            <w:r>
              <w:rPr>
                <w:rFonts w:hint="default" w:ascii="Times New Roman" w:hAnsi="Times New Roman" w:cs="Times New Roman"/>
                <w:b/>
                <w:bCs/>
                <w:highlight w:val="none"/>
                <w:lang w:eastAsia="zh-CN"/>
              </w:rPr>
              <w:t>样品照片</w:t>
            </w:r>
          </w:p>
        </w:tc>
        <w:tc>
          <w:tcPr>
            <w:tcW w:w="5079" w:type="dxa"/>
            <w:noWrap w:val="0"/>
            <w:vAlign w:val="center"/>
          </w:tcPr>
          <w:p w14:paraId="2111C733">
            <w:pPr>
              <w:keepNext w:val="0"/>
              <w:keepLines w:val="0"/>
              <w:suppressLineNumbers w:val="0"/>
              <w:snapToGrid w:val="0"/>
              <w:spacing w:before="0" w:beforeAutospacing="0" w:after="0" w:afterAutospacing="0" w:line="240" w:lineRule="auto"/>
              <w:ind w:left="0" w:right="0"/>
              <w:jc w:val="center"/>
              <w:rPr>
                <w:rFonts w:hint="default" w:ascii="Times New Roman" w:hAnsi="Times New Roman" w:cs="Times New Roman"/>
                <w:highlight w:val="none"/>
              </w:rPr>
            </w:pPr>
            <w:r>
              <w:rPr>
                <w:rFonts w:hint="default" w:ascii="Times New Roman" w:hAnsi="Times New Roman" w:cs="Times New Roman"/>
                <w:b/>
                <w:bCs/>
                <w:highlight w:val="none"/>
              </w:rPr>
              <w:t>现场</w:t>
            </w:r>
            <w:r>
              <w:rPr>
                <w:rFonts w:hint="default" w:ascii="Times New Roman" w:hAnsi="Times New Roman" w:cs="Times New Roman"/>
                <w:b/>
                <w:bCs/>
                <w:highlight w:val="none"/>
                <w:lang w:val="en-US" w:eastAsia="zh-CN"/>
              </w:rPr>
              <w:t>样品</w:t>
            </w:r>
            <w:r>
              <w:rPr>
                <w:rFonts w:hint="default" w:ascii="Times New Roman" w:hAnsi="Times New Roman" w:cs="Times New Roman"/>
                <w:b/>
                <w:bCs/>
                <w:highlight w:val="none"/>
              </w:rPr>
              <w:t>照片</w:t>
            </w:r>
          </w:p>
        </w:tc>
      </w:tr>
    </w:tbl>
    <w:p w14:paraId="106C9615">
      <w:pPr>
        <w:spacing w:line="360" w:lineRule="auto"/>
        <w:ind w:firstLine="482"/>
        <w:jc w:val="center"/>
        <w:rPr>
          <w:rFonts w:hint="default" w:ascii="Times New Roman" w:hAnsi="Times New Roman" w:cs="Times New Roman"/>
          <w:highlight w:val="none"/>
        </w:rPr>
      </w:pPr>
      <w:r>
        <w:rPr>
          <w:rFonts w:hint="default" w:ascii="Times New Roman" w:hAnsi="Times New Roman" w:eastAsia="黑体" w:cs="Times New Roman"/>
          <w:b/>
          <w:sz w:val="24"/>
          <w:szCs w:val="20"/>
          <w:highlight w:val="none"/>
        </w:rPr>
        <w:t>图4-2-3  典型监测点位现场采样及样品照片</w:t>
      </w:r>
    </w:p>
    <w:p w14:paraId="36EEEB07">
      <w:pPr>
        <w:pStyle w:val="6"/>
        <w:numPr>
          <w:ilvl w:val="0"/>
          <w:numId w:val="0"/>
        </w:numPr>
        <w:spacing w:before="0" w:after="0" w:line="360" w:lineRule="auto"/>
        <w:ind w:leftChars="0"/>
        <w:jc w:val="left"/>
        <w:rPr>
          <w:rFonts w:hint="default" w:ascii="Times New Roman" w:hAnsi="Times New Roman" w:eastAsia="宋体" w:cs="Times New Roman"/>
          <w:color w:val="000000"/>
          <w:kern w:val="0"/>
          <w:sz w:val="24"/>
          <w:szCs w:val="24"/>
          <w:highlight w:val="none"/>
          <w:lang w:val="en-US" w:eastAsia="zh-CN"/>
        </w:rPr>
      </w:pPr>
      <w:r>
        <w:rPr>
          <w:rFonts w:hint="default" w:ascii="Times New Roman" w:hAnsi="Times New Roman" w:eastAsia="宋体" w:cs="Times New Roman"/>
          <w:color w:val="000000"/>
          <w:kern w:val="0"/>
          <w:sz w:val="24"/>
          <w:szCs w:val="24"/>
          <w:highlight w:val="none"/>
          <w:lang w:val="en-US" w:eastAsia="zh-CN"/>
        </w:rPr>
        <w:t>4.2.1.2 样品现场筛测</w:t>
      </w:r>
    </w:p>
    <w:p w14:paraId="174FAFE7">
      <w:pPr>
        <w:spacing w:line="360" w:lineRule="auto"/>
        <w:ind w:firstLine="480" w:firstLineChars="200"/>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现场技术人员检查和记录土壤的类型，通过目测或嗅闻判断土壤是否有污染痕迹。为了现场判断采样区可疑情况，本次调查采用手持式光离子化检测器（PID）检测土壤中挥发性有机物的含量。同时采集平行样品，用于质量保证和质量控制。现场快速检测典型照片见</w:t>
      </w:r>
      <w:r>
        <w:rPr>
          <w:rFonts w:hint="default" w:ascii="Times New Roman" w:hAnsi="Times New Roman" w:cs="Times New Roman"/>
          <w:color w:val="000000"/>
          <w:sz w:val="24"/>
          <w:highlight w:val="none"/>
          <w:lang w:eastAsia="zh-CN"/>
        </w:rPr>
        <w:t>下图</w:t>
      </w:r>
      <w:r>
        <w:rPr>
          <w:rFonts w:hint="default" w:ascii="Times New Roman" w:hAnsi="Times New Roman" w:cs="Times New Roman"/>
          <w:color w:val="000000"/>
          <w:sz w:val="24"/>
          <w:highlight w:val="none"/>
        </w:rPr>
        <w:t>。</w:t>
      </w:r>
    </w:p>
    <w:tbl>
      <w:tblPr>
        <w:tblStyle w:val="21"/>
        <w:tblW w:w="93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320"/>
      </w:tblGrid>
      <w:tr w14:paraId="32EE1D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70" w:hRule="atLeast"/>
          <w:jc w:val="center"/>
        </w:trPr>
        <w:tc>
          <w:tcPr>
            <w:tcW w:w="9320" w:type="dxa"/>
            <w:noWrap w:val="0"/>
            <w:vAlign w:val="center"/>
          </w:tcPr>
          <w:p w14:paraId="519FD56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highlight w:val="none"/>
                <w:lang w:eastAsia="zh-CN"/>
              </w:rPr>
            </w:pPr>
            <w:r>
              <w:rPr>
                <w:rFonts w:hint="default" w:ascii="Times New Roman" w:hAnsi="Times New Roman" w:eastAsia="宋体" w:cs="Times New Roman"/>
                <w:highlight w:val="none"/>
                <w:lang w:eastAsia="zh-CN"/>
              </w:rPr>
              <w:drawing>
                <wp:inline distT="0" distB="0" distL="114300" distR="114300">
                  <wp:extent cx="5629910" cy="3360420"/>
                  <wp:effectExtent l="0" t="0" r="8890" b="11430"/>
                  <wp:docPr id="17" name="图片 1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1"/>
                          <pic:cNvPicPr>
                            <a:picLocks noChangeAspect="1"/>
                          </pic:cNvPicPr>
                        </pic:nvPicPr>
                        <pic:blipFill>
                          <a:blip r:embed="rId28"/>
                          <a:stretch>
                            <a:fillRect/>
                          </a:stretch>
                        </pic:blipFill>
                        <pic:spPr>
                          <a:xfrm>
                            <a:off x="0" y="0"/>
                            <a:ext cx="5629910" cy="3360420"/>
                          </a:xfrm>
                          <a:prstGeom prst="rect">
                            <a:avLst/>
                          </a:prstGeom>
                        </pic:spPr>
                      </pic:pic>
                    </a:graphicData>
                  </a:graphic>
                </wp:inline>
              </w:drawing>
            </w:r>
          </w:p>
        </w:tc>
      </w:tr>
      <w:tr w14:paraId="48DD13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9320" w:type="dxa"/>
            <w:noWrap w:val="0"/>
            <w:vAlign w:val="center"/>
          </w:tcPr>
          <w:p w14:paraId="315FB7EF">
            <w:pPr>
              <w:keepNext w:val="0"/>
              <w:keepLines w:val="0"/>
              <w:suppressLineNumbers w:val="0"/>
              <w:snapToGrid w:val="0"/>
              <w:spacing w:before="0" w:beforeAutospacing="0" w:after="0" w:afterAutospacing="0" w:line="240" w:lineRule="auto"/>
              <w:ind w:left="0" w:right="0"/>
              <w:jc w:val="center"/>
              <w:rPr>
                <w:rFonts w:hint="default" w:ascii="Times New Roman" w:hAnsi="Times New Roman" w:cs="Times New Roman"/>
                <w:b/>
                <w:bCs/>
                <w:highlight w:val="none"/>
              </w:rPr>
            </w:pPr>
            <w:r>
              <w:rPr>
                <w:rFonts w:hint="default" w:ascii="Times New Roman" w:hAnsi="Times New Roman" w:cs="Times New Roman"/>
                <w:b/>
                <w:bCs/>
                <w:highlight w:val="none"/>
              </w:rPr>
              <w:t>现场PID快速检测</w:t>
            </w:r>
          </w:p>
        </w:tc>
      </w:tr>
    </w:tbl>
    <w:p w14:paraId="4F4FB62B">
      <w:pPr>
        <w:spacing w:line="360" w:lineRule="auto"/>
        <w:ind w:firstLine="482"/>
        <w:jc w:val="center"/>
        <w:rPr>
          <w:rFonts w:hint="default" w:ascii="Times New Roman" w:hAnsi="Times New Roman" w:eastAsia="黑体" w:cs="Times New Roman"/>
          <w:b/>
          <w:sz w:val="24"/>
          <w:szCs w:val="20"/>
          <w:highlight w:val="none"/>
        </w:rPr>
      </w:pPr>
      <w:r>
        <w:rPr>
          <w:rFonts w:hint="default" w:ascii="Times New Roman" w:hAnsi="Times New Roman" w:eastAsia="黑体" w:cs="Times New Roman"/>
          <w:b/>
          <w:sz w:val="24"/>
          <w:szCs w:val="20"/>
          <w:highlight w:val="none"/>
        </w:rPr>
        <w:t>图4-2-2  典型监测点位现场快速检测照片</w:t>
      </w:r>
    </w:p>
    <w:p w14:paraId="3976186D">
      <w:pPr>
        <w:pStyle w:val="6"/>
        <w:numPr>
          <w:ilvl w:val="0"/>
          <w:numId w:val="0"/>
        </w:numPr>
        <w:spacing w:before="0" w:after="0" w:line="360" w:lineRule="auto"/>
        <w:ind w:leftChars="0"/>
        <w:jc w:val="left"/>
        <w:rPr>
          <w:rFonts w:hint="default" w:ascii="Times New Roman" w:hAnsi="Times New Roman" w:eastAsia="宋体" w:cs="Times New Roman"/>
          <w:color w:val="000000"/>
          <w:kern w:val="0"/>
          <w:sz w:val="24"/>
          <w:szCs w:val="24"/>
          <w:highlight w:val="none"/>
          <w:lang w:val="en-US" w:eastAsia="zh-CN"/>
        </w:rPr>
      </w:pPr>
      <w:r>
        <w:rPr>
          <w:rFonts w:hint="default" w:ascii="Times New Roman" w:hAnsi="Times New Roman" w:eastAsia="宋体" w:cs="Times New Roman"/>
          <w:color w:val="000000"/>
          <w:kern w:val="0"/>
          <w:sz w:val="24"/>
          <w:szCs w:val="24"/>
          <w:highlight w:val="none"/>
          <w:lang w:val="en-US" w:eastAsia="zh-CN"/>
        </w:rPr>
        <w:t>4.2.1.3样品保存</w:t>
      </w:r>
    </w:p>
    <w:p w14:paraId="207FD558">
      <w:pPr>
        <w:spacing w:line="360" w:lineRule="auto"/>
        <w:ind w:firstLine="480" w:firstLineChars="200"/>
        <w:jc w:val="left"/>
        <w:rPr>
          <w:rFonts w:hint="default" w:ascii="Times New Roman" w:hAnsi="Times New Roman" w:cs="Times New Roman"/>
          <w:sz w:val="24"/>
          <w:highlight w:val="none"/>
        </w:rPr>
      </w:pPr>
      <w:r>
        <w:rPr>
          <w:rFonts w:hint="default" w:ascii="Times New Roman" w:hAnsi="Times New Roman" w:cs="Times New Roman"/>
          <w:sz w:val="24"/>
          <w:highlight w:val="none"/>
        </w:rPr>
        <w:t>装入土壤样品的样品瓶（袋），需立即放置到冷藏箱中，低温保存。样品采集完成后在样品保存流转时限内送至实验室分析。样品装运前核对采样记录表、样品标签等，如有缺漏项和错误处，将及时补充和修正后方可装运。样品运输过程中严防损失、混淆或玷污。样品送到实验室后，采样人员和实验室样品管理员双方同时清点核实样品，并在样品流转单上签字确认。</w:t>
      </w:r>
    </w:p>
    <w:p w14:paraId="0649184C">
      <w:pPr>
        <w:pStyle w:val="6"/>
        <w:numPr>
          <w:ilvl w:val="0"/>
          <w:numId w:val="0"/>
        </w:numPr>
        <w:spacing w:before="0" w:after="0" w:line="360" w:lineRule="auto"/>
        <w:ind w:leftChars="0"/>
        <w:jc w:val="left"/>
        <w:rPr>
          <w:rFonts w:hint="default" w:ascii="Times New Roman" w:hAnsi="Times New Roman" w:eastAsia="宋体" w:cs="Times New Roman"/>
          <w:color w:val="000000"/>
          <w:kern w:val="0"/>
          <w:sz w:val="24"/>
          <w:szCs w:val="24"/>
          <w:highlight w:val="none"/>
          <w:lang w:val="en-US" w:eastAsia="zh-CN"/>
        </w:rPr>
      </w:pPr>
      <w:r>
        <w:rPr>
          <w:rFonts w:hint="default" w:ascii="Times New Roman" w:hAnsi="Times New Roman" w:eastAsia="宋体" w:cs="Times New Roman"/>
          <w:color w:val="000000"/>
          <w:kern w:val="0"/>
          <w:sz w:val="24"/>
          <w:szCs w:val="24"/>
          <w:highlight w:val="none"/>
          <w:lang w:val="en-US" w:eastAsia="zh-CN"/>
        </w:rPr>
        <w:t>4.2.1.4样品质量控制</w:t>
      </w:r>
    </w:p>
    <w:p w14:paraId="7D4D17D6">
      <w:pPr>
        <w:spacing w:line="360" w:lineRule="auto"/>
        <w:ind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采样人员均已通过岗前培训、持证上岗，切实掌握土壤、地下水采样技术，熟知采样器具的使用和样品固定、保存、运输条件。样品的质量控制措施严格按照《建设用地土壤污染风险管控和修复监测技术导则》（HJ 25.2-2019）中的技术规范进行操作。</w:t>
      </w:r>
    </w:p>
    <w:p w14:paraId="2A34E79C">
      <w:pPr>
        <w:spacing w:line="360" w:lineRule="auto"/>
        <w:ind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（1）所有土壤样品采集后立即装入样品瓶中，保证样品中污染物不会挥发出来。所有样品放置在冷藏箱保存并在样品保存流转时限内运送至实验室。</w:t>
      </w:r>
    </w:p>
    <w:p w14:paraId="6F6997F2">
      <w:pPr>
        <w:spacing w:line="360" w:lineRule="auto"/>
        <w:ind w:firstLine="480" w:firstLineChars="200"/>
        <w:rPr>
          <w:rFonts w:hint="default" w:ascii="Times New Roman" w:hAnsi="Times New Roman" w:cs="Times New Roman"/>
          <w:sz w:val="24"/>
          <w:highlight w:val="none"/>
        </w:rPr>
      </w:pPr>
      <w:r>
        <w:rPr>
          <w:rFonts w:hint="default" w:ascii="Times New Roman" w:hAnsi="Times New Roman" w:cs="Times New Roman"/>
          <w:color w:val="000000"/>
          <w:sz w:val="24"/>
          <w:highlight w:val="none"/>
        </w:rPr>
        <w:t>（2）现场采样</w:t>
      </w:r>
      <w:r>
        <w:rPr>
          <w:rFonts w:hint="default" w:ascii="Times New Roman" w:hAnsi="Times New Roman" w:cs="Times New Roman"/>
          <w:color w:val="000000"/>
          <w:highlight w:val="none"/>
        </w:rPr>
        <w:t>5个园区连续采样，分批次送样，每一批次按10%比例设置现场平行盲样</w:t>
      </w:r>
      <w:r>
        <w:rPr>
          <w:rFonts w:hint="eastAsia" w:cs="Times New Roman"/>
          <w:color w:val="000000"/>
          <w:highlight w:val="none"/>
          <w:lang w:eastAsia="zh-CN"/>
        </w:rPr>
        <w:t>。</w:t>
      </w:r>
      <w:r>
        <w:rPr>
          <w:rFonts w:hint="default" w:ascii="Times New Roman" w:hAnsi="Times New Roman" w:cs="Times New Roman"/>
          <w:color w:val="000000"/>
          <w:sz w:val="24"/>
          <w:highlight w:val="none"/>
        </w:rPr>
        <w:t>每批次样品设置一个运输空白样，与样品一起送实验室分析。</w:t>
      </w:r>
    </w:p>
    <w:p w14:paraId="28E79FFA">
      <w:pPr>
        <w:pStyle w:val="5"/>
        <w:tabs>
          <w:tab w:val="left" w:pos="425"/>
        </w:tabs>
        <w:bidi w:val="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地下水样品采集</w:t>
      </w:r>
    </w:p>
    <w:p w14:paraId="4519E453">
      <w:pPr>
        <w:pStyle w:val="6"/>
        <w:numPr>
          <w:ilvl w:val="0"/>
          <w:numId w:val="0"/>
        </w:numPr>
        <w:spacing w:before="0" w:after="0" w:line="360" w:lineRule="auto"/>
        <w:ind w:leftChars="0"/>
        <w:jc w:val="left"/>
        <w:rPr>
          <w:rFonts w:hint="default" w:ascii="Times New Roman" w:hAnsi="Times New Roman" w:eastAsia="宋体" w:cs="Times New Roman"/>
          <w:color w:val="000000"/>
          <w:kern w:val="0"/>
          <w:sz w:val="24"/>
          <w:szCs w:val="24"/>
          <w:highlight w:val="none"/>
          <w:lang w:val="en-US" w:eastAsia="zh-CN"/>
        </w:rPr>
      </w:pPr>
      <w:r>
        <w:rPr>
          <w:rFonts w:hint="default" w:ascii="Times New Roman" w:hAnsi="Times New Roman" w:eastAsia="宋体" w:cs="Times New Roman"/>
          <w:color w:val="000000"/>
          <w:kern w:val="0"/>
          <w:sz w:val="24"/>
          <w:szCs w:val="24"/>
          <w:highlight w:val="none"/>
          <w:lang w:val="en-US" w:eastAsia="zh-CN"/>
        </w:rPr>
        <w:t>4.2.2.1监测井安装</w:t>
      </w:r>
    </w:p>
    <w:p w14:paraId="43470207">
      <w:pPr>
        <w:spacing w:line="360" w:lineRule="auto"/>
        <w:ind w:left="1" w:firstLine="480" w:firstLineChars="200"/>
        <w:rPr>
          <w:rFonts w:hint="default" w:ascii="Times New Roman" w:hAnsi="Times New Roman" w:cs="Times New Roman"/>
          <w:highlight w:val="none"/>
        </w:rPr>
      </w:pPr>
      <w:r>
        <w:rPr>
          <w:rFonts w:hint="default" w:ascii="Times New Roman" w:hAnsi="Times New Roman" w:cs="Times New Roman"/>
          <w:color w:val="000000"/>
          <w:sz w:val="24"/>
          <w:highlight w:val="none"/>
        </w:rPr>
        <w:t>监测井钻探完成后，安装一根封底硬质PVC井管，PVC井管由底部密闭、管壁可滤水的筛管、上部延伸到地表的实管组成。监测井的深度和筛管的安装位置由专业人员根据现场水位的相对位置及各监测井的不同监测要求综合考虑设定。监测井筛管外侧周围用粒径大于0.25mm的清洁石英砂回填作为滤水层，石英砂回填至地下水水位线处，其上部再回填膨润土至自然地坪处。</w:t>
      </w:r>
    </w:p>
    <w:p w14:paraId="1B84F388">
      <w:pPr>
        <w:pStyle w:val="6"/>
        <w:numPr>
          <w:ilvl w:val="0"/>
          <w:numId w:val="0"/>
        </w:numPr>
        <w:spacing w:before="0" w:after="0" w:line="360" w:lineRule="auto"/>
        <w:ind w:leftChars="0"/>
        <w:jc w:val="left"/>
        <w:rPr>
          <w:rFonts w:hint="default" w:ascii="Times New Roman" w:hAnsi="Times New Roman" w:eastAsia="宋体" w:cs="Times New Roman"/>
          <w:color w:val="000000"/>
          <w:kern w:val="0"/>
          <w:sz w:val="24"/>
          <w:szCs w:val="24"/>
          <w:highlight w:val="none"/>
          <w:lang w:val="en-US" w:eastAsia="zh-CN"/>
        </w:rPr>
      </w:pPr>
      <w:r>
        <w:rPr>
          <w:rFonts w:hint="default" w:ascii="Times New Roman" w:hAnsi="Times New Roman" w:eastAsia="宋体" w:cs="Times New Roman"/>
          <w:color w:val="000000"/>
          <w:kern w:val="0"/>
          <w:sz w:val="24"/>
          <w:szCs w:val="24"/>
          <w:highlight w:val="none"/>
          <w:lang w:val="en-US" w:eastAsia="zh-CN"/>
        </w:rPr>
        <w:t>4.2.2.2 样品采集</w:t>
      </w:r>
    </w:p>
    <w:p w14:paraId="681922C7">
      <w:pPr>
        <w:spacing w:line="360" w:lineRule="auto"/>
        <w:ind w:firstLine="480" w:firstLineChars="200"/>
        <w:rPr>
          <w:rFonts w:hint="default" w:ascii="Times New Roman" w:hAnsi="Times New Roman" w:cs="Times New Roman"/>
          <w:sz w:val="24"/>
          <w:highlight w:val="none"/>
        </w:rPr>
      </w:pPr>
      <w:r>
        <w:rPr>
          <w:rFonts w:hint="eastAsia"/>
          <w:color w:val="000000"/>
          <w:highlight w:val="none"/>
        </w:rPr>
        <w:t>采样前</w:t>
      </w:r>
      <w:r>
        <w:rPr>
          <w:color w:val="000000"/>
          <w:highlight w:val="none"/>
        </w:rPr>
        <w:t>用贝勒管进行洗井。</w:t>
      </w:r>
      <w:r>
        <w:rPr>
          <w:rFonts w:hint="default" w:ascii="Times New Roman" w:hAnsi="Times New Roman" w:cs="Times New Roman"/>
          <w:color w:val="000000"/>
          <w:highlight w:val="none"/>
        </w:rPr>
        <w:t>洗井时抽提出来的水量</w:t>
      </w:r>
      <w:r>
        <w:rPr>
          <w:rFonts w:hint="eastAsia" w:cs="Times New Roman"/>
          <w:color w:val="000000"/>
          <w:highlight w:val="none"/>
          <w:lang w:val="en-US" w:eastAsia="zh-CN"/>
        </w:rPr>
        <w:t>为</w:t>
      </w:r>
      <w:r>
        <w:rPr>
          <w:rFonts w:hint="default" w:ascii="Times New Roman" w:hAnsi="Times New Roman" w:cs="Times New Roman"/>
          <w:color w:val="000000"/>
          <w:highlight w:val="none"/>
        </w:rPr>
        <w:t>监测井总量的3</w:t>
      </w:r>
      <w:r>
        <w:rPr>
          <w:rFonts w:hint="eastAsia" w:cs="Times New Roman"/>
          <w:color w:val="000000"/>
          <w:highlight w:val="none"/>
          <w:lang w:val="en-US" w:eastAsia="zh-CN"/>
        </w:rPr>
        <w:t>-5</w:t>
      </w:r>
      <w:r>
        <w:rPr>
          <w:rFonts w:hint="default" w:ascii="Times New Roman" w:hAnsi="Times New Roman" w:cs="Times New Roman"/>
          <w:color w:val="000000"/>
          <w:highlight w:val="none"/>
        </w:rPr>
        <w:t>倍</w:t>
      </w:r>
      <w:r>
        <w:rPr>
          <w:color w:val="000000"/>
          <w:highlight w:val="none"/>
        </w:rPr>
        <w:t>。在监测井洗井稳定24</w:t>
      </w:r>
      <w:r>
        <w:rPr>
          <w:rFonts w:hint="eastAsia"/>
          <w:color w:val="000000"/>
          <w:highlight w:val="none"/>
        </w:rPr>
        <w:t>h</w:t>
      </w:r>
      <w:r>
        <w:rPr>
          <w:color w:val="000000"/>
          <w:highlight w:val="none"/>
        </w:rPr>
        <w:t>后，使用贝勒管进行地下水样的采集。</w:t>
      </w:r>
      <w:r>
        <w:rPr>
          <w:rFonts w:hint="default" w:ascii="Times New Roman" w:hAnsi="Times New Roman" w:cs="Times New Roman"/>
          <w:color w:val="000000"/>
          <w:sz w:val="24"/>
          <w:highlight w:val="none"/>
        </w:rPr>
        <w:t>为避免监测井中发生浑浊，贝勒管放入和提出时均缓慢进行。采样时，所有地下水样品均迅速转入由实验室提供的专用样品瓶中保存。</w:t>
      </w:r>
      <w:r>
        <w:rPr>
          <w:rFonts w:hint="default" w:ascii="Times New Roman" w:hAnsi="Times New Roman" w:cs="Times New Roman"/>
          <w:sz w:val="24"/>
          <w:highlight w:val="none"/>
        </w:rPr>
        <w:t>调查</w:t>
      </w:r>
      <w:r>
        <w:rPr>
          <w:rFonts w:hint="default" w:ascii="Times New Roman" w:hAnsi="Times New Roman" w:cs="Times New Roman"/>
          <w:sz w:val="24"/>
          <w:highlight w:val="none"/>
          <w:lang w:eastAsia="zh-CN"/>
        </w:rPr>
        <w:t>园区</w:t>
      </w:r>
      <w:r>
        <w:rPr>
          <w:rFonts w:hint="default" w:ascii="Times New Roman" w:hAnsi="Times New Roman" w:cs="Times New Roman"/>
          <w:sz w:val="24"/>
          <w:highlight w:val="none"/>
        </w:rPr>
        <w:t>下水监测井成井情况及水样采集照片见图4-2-3。</w:t>
      </w:r>
      <w:r>
        <w:rPr>
          <w:rFonts w:hint="eastAsia" w:cs="Times New Roman"/>
          <w:highlight w:val="none"/>
          <w:lang w:val="en-US" w:eastAsia="zh-CN"/>
        </w:rPr>
        <w:t>地下水监测井洗井记录单见附件6。</w:t>
      </w:r>
    </w:p>
    <w:tbl>
      <w:tblPr>
        <w:tblStyle w:val="21"/>
        <w:tblW w:w="97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902"/>
        <w:gridCol w:w="4896"/>
      </w:tblGrid>
      <w:tr w14:paraId="0F688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4902" w:type="dxa"/>
            <w:tcBorders>
              <w:tl2br w:val="nil"/>
              <w:tr2bl w:val="nil"/>
            </w:tcBorders>
            <w:noWrap w:val="0"/>
            <w:vAlign w:val="center"/>
          </w:tcPr>
          <w:p w14:paraId="16DA28A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bCs/>
                <w:sz w:val="18"/>
                <w:szCs w:val="18"/>
                <w:highlight w:val="none"/>
                <w:lang w:eastAsia="zh-CN"/>
              </w:rPr>
            </w:pPr>
            <w:r>
              <w:rPr>
                <w:rFonts w:hint="default" w:ascii="Times New Roman" w:hAnsi="Times New Roman" w:eastAsia="宋体" w:cs="Times New Roman"/>
                <w:bCs/>
                <w:sz w:val="18"/>
                <w:szCs w:val="18"/>
                <w:highlight w:val="none"/>
                <w:lang w:eastAsia="zh-CN"/>
              </w:rPr>
              <w:drawing>
                <wp:inline distT="0" distB="0" distL="114300" distR="114300">
                  <wp:extent cx="2946400" cy="2209800"/>
                  <wp:effectExtent l="0" t="0" r="10160" b="0"/>
                  <wp:docPr id="22" name="图片 22" descr="IMG_20201020_122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IMG_20201020_122550"/>
                          <pic:cNvPicPr>
                            <a:picLocks noChangeAspect="1"/>
                          </pic:cNvPicPr>
                        </pic:nvPicPr>
                        <pic:blipFill>
                          <a:blip r:embed="rId29"/>
                          <a:stretch>
                            <a:fillRect/>
                          </a:stretch>
                        </pic:blipFill>
                        <pic:spPr>
                          <a:xfrm>
                            <a:off x="0" y="0"/>
                            <a:ext cx="2946400" cy="2209800"/>
                          </a:xfrm>
                          <a:prstGeom prst="rect">
                            <a:avLst/>
                          </a:prstGeom>
                        </pic:spPr>
                      </pic:pic>
                    </a:graphicData>
                  </a:graphic>
                </wp:inline>
              </w:drawing>
            </w:r>
          </w:p>
        </w:tc>
        <w:tc>
          <w:tcPr>
            <w:tcW w:w="4896" w:type="dxa"/>
            <w:tcBorders>
              <w:tl2br w:val="nil"/>
              <w:tr2bl w:val="nil"/>
            </w:tcBorders>
            <w:noWrap w:val="0"/>
            <w:vAlign w:val="center"/>
          </w:tcPr>
          <w:p w14:paraId="4A8FCB58">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bCs/>
                <w:sz w:val="18"/>
                <w:szCs w:val="18"/>
                <w:highlight w:val="none"/>
                <w:lang w:eastAsia="zh-CN"/>
              </w:rPr>
            </w:pPr>
            <w:r>
              <w:rPr>
                <w:rFonts w:hint="default" w:ascii="Times New Roman" w:hAnsi="Times New Roman" w:eastAsia="宋体" w:cs="Times New Roman"/>
                <w:bCs/>
                <w:sz w:val="18"/>
                <w:szCs w:val="18"/>
                <w:highlight w:val="none"/>
                <w:lang w:eastAsia="zh-CN"/>
              </w:rPr>
              <w:drawing>
                <wp:inline distT="0" distB="0" distL="114300" distR="114300">
                  <wp:extent cx="2430145" cy="3239770"/>
                  <wp:effectExtent l="0" t="0" r="8255" b="6350"/>
                  <wp:docPr id="14" name="图片 14" descr="IMG_20201022_102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20201022_102343"/>
                          <pic:cNvPicPr>
                            <a:picLocks noChangeAspect="1"/>
                          </pic:cNvPicPr>
                        </pic:nvPicPr>
                        <pic:blipFill>
                          <a:blip r:embed="rId30"/>
                          <a:stretch>
                            <a:fillRect/>
                          </a:stretch>
                        </pic:blipFill>
                        <pic:spPr>
                          <a:xfrm>
                            <a:off x="0" y="0"/>
                            <a:ext cx="2430145" cy="3239770"/>
                          </a:xfrm>
                          <a:prstGeom prst="rect">
                            <a:avLst/>
                          </a:prstGeom>
                        </pic:spPr>
                      </pic:pic>
                    </a:graphicData>
                  </a:graphic>
                </wp:inline>
              </w:drawing>
            </w:r>
          </w:p>
        </w:tc>
      </w:tr>
      <w:tr w14:paraId="48C579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4902" w:type="dxa"/>
            <w:tcBorders>
              <w:tl2br w:val="nil"/>
              <w:tr2bl w:val="nil"/>
            </w:tcBorders>
            <w:noWrap w:val="0"/>
            <w:vAlign w:val="center"/>
          </w:tcPr>
          <w:p w14:paraId="0963632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kern w:val="0"/>
                <w:sz w:val="18"/>
                <w:szCs w:val="18"/>
                <w:highlight w:val="none"/>
                <w:lang w:val="en-US" w:eastAsia="zh-CN"/>
              </w:rPr>
            </w:pPr>
            <w:r>
              <w:rPr>
                <w:rFonts w:hint="eastAsia" w:cs="Times New Roman"/>
                <w:b/>
                <w:bCs/>
                <w:kern w:val="0"/>
                <w:sz w:val="18"/>
                <w:szCs w:val="18"/>
                <w:highlight w:val="none"/>
                <w:lang w:val="en-US" w:eastAsia="zh-CN"/>
              </w:rPr>
              <w:t>点位标记</w:t>
            </w:r>
          </w:p>
        </w:tc>
        <w:tc>
          <w:tcPr>
            <w:tcW w:w="4896" w:type="dxa"/>
            <w:tcBorders>
              <w:tl2br w:val="nil"/>
              <w:tr2bl w:val="nil"/>
            </w:tcBorders>
            <w:noWrap w:val="0"/>
            <w:vAlign w:val="center"/>
          </w:tcPr>
          <w:p w14:paraId="744D7BC7">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
                <w:bCs/>
                <w:kern w:val="0"/>
                <w:sz w:val="18"/>
                <w:szCs w:val="18"/>
                <w:highlight w:val="none"/>
                <w:lang w:val="en-US" w:eastAsia="zh-CN"/>
              </w:rPr>
            </w:pPr>
            <w:r>
              <w:rPr>
                <w:rFonts w:hint="default" w:ascii="Times New Roman" w:hAnsi="Times New Roman" w:cs="Times New Roman"/>
                <w:b/>
                <w:bCs/>
                <w:kern w:val="0"/>
                <w:sz w:val="18"/>
                <w:szCs w:val="18"/>
                <w:highlight w:val="none"/>
              </w:rPr>
              <w:t>地下水</w:t>
            </w:r>
            <w:r>
              <w:rPr>
                <w:rFonts w:hint="eastAsia" w:cs="Times New Roman"/>
                <w:b/>
                <w:bCs/>
                <w:kern w:val="0"/>
                <w:sz w:val="18"/>
                <w:szCs w:val="18"/>
                <w:highlight w:val="none"/>
                <w:lang w:val="en-US" w:eastAsia="zh-CN"/>
              </w:rPr>
              <w:t>钻井</w:t>
            </w:r>
          </w:p>
        </w:tc>
      </w:tr>
      <w:tr w14:paraId="760890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4902" w:type="dxa"/>
            <w:tcBorders>
              <w:tl2br w:val="nil"/>
              <w:tr2bl w:val="nil"/>
            </w:tcBorders>
            <w:noWrap w:val="0"/>
            <w:vAlign w:val="center"/>
          </w:tcPr>
          <w:p w14:paraId="20F3EBB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kern w:val="0"/>
                <w:sz w:val="18"/>
                <w:szCs w:val="18"/>
                <w:highlight w:val="none"/>
                <w:lang w:eastAsia="zh-CN"/>
              </w:rPr>
            </w:pPr>
            <w:r>
              <w:rPr>
                <w:rFonts w:hint="default" w:ascii="Times New Roman" w:hAnsi="Times New Roman" w:eastAsia="宋体" w:cs="Times New Roman"/>
                <w:bCs/>
                <w:sz w:val="18"/>
                <w:szCs w:val="18"/>
                <w:highlight w:val="none"/>
                <w:lang w:eastAsia="zh-CN"/>
              </w:rPr>
              <w:drawing>
                <wp:inline distT="0" distB="0" distL="114300" distR="114300">
                  <wp:extent cx="2879725" cy="2160270"/>
                  <wp:effectExtent l="0" t="0" r="635" b="3810"/>
                  <wp:docPr id="13" name="图片 13" descr="IMG_20201022_165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20201022_165211"/>
                          <pic:cNvPicPr>
                            <a:picLocks noChangeAspect="1"/>
                          </pic:cNvPicPr>
                        </pic:nvPicPr>
                        <pic:blipFill>
                          <a:blip r:embed="rId31"/>
                          <a:stretch>
                            <a:fillRect/>
                          </a:stretch>
                        </pic:blipFill>
                        <pic:spPr>
                          <a:xfrm>
                            <a:off x="0" y="0"/>
                            <a:ext cx="2879725" cy="2160270"/>
                          </a:xfrm>
                          <a:prstGeom prst="rect">
                            <a:avLst/>
                          </a:prstGeom>
                        </pic:spPr>
                      </pic:pic>
                    </a:graphicData>
                  </a:graphic>
                </wp:inline>
              </w:drawing>
            </w:r>
          </w:p>
        </w:tc>
        <w:tc>
          <w:tcPr>
            <w:tcW w:w="4896" w:type="dxa"/>
            <w:tcBorders>
              <w:tl2br w:val="nil"/>
              <w:tr2bl w:val="nil"/>
            </w:tcBorders>
            <w:noWrap w:val="0"/>
            <w:vAlign w:val="center"/>
          </w:tcPr>
          <w:p w14:paraId="213B237B">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
                <w:bCs/>
                <w:kern w:val="0"/>
                <w:sz w:val="18"/>
                <w:szCs w:val="18"/>
                <w:highlight w:val="none"/>
                <w:lang w:eastAsia="zh-CN"/>
              </w:rPr>
            </w:pPr>
            <w:r>
              <w:rPr>
                <w:rFonts w:hint="default" w:ascii="Times New Roman" w:hAnsi="Times New Roman" w:cs="Times New Roman"/>
                <w:b/>
                <w:bCs/>
                <w:kern w:val="0"/>
                <w:sz w:val="18"/>
                <w:szCs w:val="18"/>
                <w:highlight w:val="none"/>
                <w:lang w:eastAsia="zh-CN"/>
              </w:rPr>
              <w:drawing>
                <wp:inline distT="0" distB="0" distL="114300" distR="114300">
                  <wp:extent cx="2946400" cy="2209800"/>
                  <wp:effectExtent l="0" t="0" r="10160" b="0"/>
                  <wp:docPr id="12" name="图片 12" descr="IMG_20201027_09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0201027_092813"/>
                          <pic:cNvPicPr>
                            <a:picLocks noChangeAspect="1"/>
                          </pic:cNvPicPr>
                        </pic:nvPicPr>
                        <pic:blipFill>
                          <a:blip r:embed="rId32"/>
                          <a:stretch>
                            <a:fillRect/>
                          </a:stretch>
                        </pic:blipFill>
                        <pic:spPr>
                          <a:xfrm>
                            <a:off x="0" y="0"/>
                            <a:ext cx="2946400" cy="2209800"/>
                          </a:xfrm>
                          <a:prstGeom prst="rect">
                            <a:avLst/>
                          </a:prstGeom>
                        </pic:spPr>
                      </pic:pic>
                    </a:graphicData>
                  </a:graphic>
                </wp:inline>
              </w:drawing>
            </w:r>
          </w:p>
        </w:tc>
      </w:tr>
      <w:tr w14:paraId="352C0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4902" w:type="dxa"/>
            <w:tcBorders>
              <w:tl2br w:val="nil"/>
              <w:tr2bl w:val="nil"/>
            </w:tcBorders>
            <w:noWrap w:val="0"/>
            <w:vAlign w:val="center"/>
          </w:tcPr>
          <w:p w14:paraId="0565B24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kern w:val="0"/>
                <w:sz w:val="18"/>
                <w:szCs w:val="18"/>
                <w:highlight w:val="none"/>
                <w:lang w:val="en-US" w:eastAsia="zh-CN"/>
              </w:rPr>
            </w:pPr>
            <w:r>
              <w:rPr>
                <w:rFonts w:hint="eastAsia" w:cs="Times New Roman"/>
                <w:b/>
                <w:bCs/>
                <w:kern w:val="0"/>
                <w:sz w:val="18"/>
                <w:szCs w:val="18"/>
                <w:highlight w:val="none"/>
                <w:lang w:val="en-US" w:eastAsia="zh-CN"/>
              </w:rPr>
              <w:t>地下水成井</w:t>
            </w:r>
          </w:p>
        </w:tc>
        <w:tc>
          <w:tcPr>
            <w:tcW w:w="4896" w:type="dxa"/>
            <w:tcBorders>
              <w:tl2br w:val="nil"/>
              <w:tr2bl w:val="nil"/>
            </w:tcBorders>
            <w:noWrap w:val="0"/>
            <w:vAlign w:val="center"/>
          </w:tcPr>
          <w:p w14:paraId="080CB63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kern w:val="0"/>
                <w:sz w:val="18"/>
                <w:szCs w:val="18"/>
                <w:highlight w:val="none"/>
                <w:lang w:val="en-US" w:eastAsia="zh-CN"/>
              </w:rPr>
            </w:pPr>
            <w:r>
              <w:rPr>
                <w:rFonts w:hint="eastAsia" w:cs="Times New Roman"/>
                <w:b/>
                <w:bCs/>
                <w:kern w:val="0"/>
                <w:sz w:val="18"/>
                <w:szCs w:val="18"/>
                <w:highlight w:val="none"/>
                <w:lang w:val="en-US" w:eastAsia="zh-CN"/>
              </w:rPr>
              <w:t>地下水采样</w:t>
            </w:r>
          </w:p>
        </w:tc>
      </w:tr>
    </w:tbl>
    <w:p w14:paraId="5C763C0C">
      <w:pPr>
        <w:pStyle w:val="34"/>
        <w:spacing w:before="0" w:beforeLines="0"/>
        <w:rPr>
          <w:rFonts w:hint="default" w:ascii="Times New Roman" w:hAnsi="Times New Roman" w:eastAsia="宋体" w:cs="Times New Roman"/>
          <w:color w:val="000000"/>
          <w:kern w:val="0"/>
          <w:szCs w:val="24"/>
          <w:highlight w:val="none"/>
        </w:rPr>
      </w:pPr>
      <w:r>
        <w:rPr>
          <w:rFonts w:hint="default" w:ascii="Times New Roman" w:hAnsi="Times New Roman" w:eastAsia="宋体" w:cs="Times New Roman"/>
          <w:color w:val="000000"/>
          <w:kern w:val="0"/>
          <w:szCs w:val="24"/>
          <w:highlight w:val="none"/>
        </w:rPr>
        <w:t xml:space="preserve">图4-2-3  </w:t>
      </w:r>
      <w:r>
        <w:rPr>
          <w:rFonts w:eastAsia="宋体"/>
          <w:color w:val="000000"/>
          <w:kern w:val="0"/>
          <w:szCs w:val="24"/>
          <w:highlight w:val="none"/>
        </w:rPr>
        <w:t>典型监测井及地下水取样照片</w:t>
      </w:r>
    </w:p>
    <w:p w14:paraId="32B229EC">
      <w:pPr>
        <w:pStyle w:val="6"/>
        <w:numPr>
          <w:ilvl w:val="0"/>
          <w:numId w:val="0"/>
        </w:numPr>
        <w:spacing w:before="0" w:after="0" w:line="360" w:lineRule="auto"/>
        <w:ind w:leftChars="0"/>
        <w:jc w:val="left"/>
        <w:rPr>
          <w:rFonts w:hint="default" w:ascii="Times New Roman" w:hAnsi="Times New Roman" w:eastAsia="宋体" w:cs="Times New Roman"/>
          <w:color w:val="000000"/>
          <w:kern w:val="0"/>
          <w:sz w:val="24"/>
          <w:szCs w:val="24"/>
          <w:highlight w:val="none"/>
          <w:lang w:val="en-US" w:eastAsia="zh-CN"/>
        </w:rPr>
      </w:pPr>
      <w:r>
        <w:rPr>
          <w:rFonts w:hint="default" w:ascii="Times New Roman" w:hAnsi="Times New Roman" w:eastAsia="宋体" w:cs="Times New Roman"/>
          <w:color w:val="000000"/>
          <w:kern w:val="0"/>
          <w:sz w:val="24"/>
          <w:szCs w:val="24"/>
          <w:highlight w:val="none"/>
          <w:lang w:val="en-US" w:eastAsia="zh-CN"/>
        </w:rPr>
        <w:t>4.2.2.3样品保存</w:t>
      </w:r>
    </w:p>
    <w:p w14:paraId="70D54CE5">
      <w:pPr>
        <w:spacing w:line="360" w:lineRule="auto"/>
        <w:ind w:left="1" w:firstLine="480" w:firstLineChars="200"/>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样品贮存间置冷藏柜，防水、防盗和保密措施。样品管理员负责保持样品贮存间的清洁、通风、无腐蚀的环境，并对贮存环境条件加以维持和监控。</w:t>
      </w:r>
    </w:p>
    <w:p w14:paraId="63430AF3">
      <w:pPr>
        <w:pStyle w:val="6"/>
        <w:numPr>
          <w:ilvl w:val="0"/>
          <w:numId w:val="0"/>
        </w:numPr>
        <w:spacing w:before="0" w:after="0" w:line="360" w:lineRule="auto"/>
        <w:ind w:leftChars="0"/>
        <w:jc w:val="left"/>
        <w:rPr>
          <w:rFonts w:hint="default" w:ascii="Times New Roman" w:hAnsi="Times New Roman" w:eastAsia="宋体" w:cs="Times New Roman"/>
          <w:color w:val="000000"/>
          <w:kern w:val="0"/>
          <w:sz w:val="24"/>
          <w:szCs w:val="24"/>
          <w:highlight w:val="none"/>
          <w:lang w:val="en-US" w:eastAsia="zh-CN"/>
        </w:rPr>
      </w:pPr>
      <w:r>
        <w:rPr>
          <w:rFonts w:hint="default" w:ascii="Times New Roman" w:hAnsi="Times New Roman" w:eastAsia="宋体" w:cs="Times New Roman"/>
          <w:color w:val="000000"/>
          <w:kern w:val="0"/>
          <w:sz w:val="24"/>
          <w:szCs w:val="24"/>
          <w:highlight w:val="none"/>
          <w:lang w:val="en-US" w:eastAsia="zh-CN"/>
        </w:rPr>
        <w:t>4.2.2.4样品质量控制</w:t>
      </w:r>
    </w:p>
    <w:p w14:paraId="358108AB">
      <w:pPr>
        <w:spacing w:line="360" w:lineRule="auto"/>
        <w:ind w:left="1" w:firstLine="480" w:firstLineChars="200"/>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采样人员均已通过岗前培训、持证上岗，切实掌握土壤、地下水采样技术，熟知采样器具的使用和样品固定、保存、运输条件。同批次水样，加采现场平行样。每次测试结束后，除必要的留存样外，样品容器均及时清洗。</w:t>
      </w:r>
    </w:p>
    <w:p w14:paraId="20FBA048">
      <w:pPr>
        <w:pStyle w:val="4"/>
        <w:tabs>
          <w:tab w:val="clear" w:pos="425"/>
        </w:tabs>
        <w:bidi w:val="0"/>
        <w:rPr>
          <w:rFonts w:hint="default" w:ascii="Times New Roman" w:hAnsi="Times New Roman" w:cs="Times New Roman"/>
          <w:highlight w:val="none"/>
        </w:rPr>
      </w:pPr>
      <w:bookmarkStart w:id="30" w:name="_Toc24520"/>
      <w:r>
        <w:rPr>
          <w:rFonts w:hint="default" w:ascii="Times New Roman" w:hAnsi="Times New Roman" w:cs="Times New Roman"/>
          <w:highlight w:val="none"/>
        </w:rPr>
        <w:t>现场记录</w:t>
      </w:r>
      <w:bookmarkEnd w:id="30"/>
    </w:p>
    <w:p w14:paraId="224A6053">
      <w:pPr>
        <w:pStyle w:val="5"/>
        <w:tabs>
          <w:tab w:val="left" w:pos="425"/>
        </w:tabs>
        <w:rPr>
          <w:rFonts w:hint="default" w:ascii="Times New Roman" w:hAnsi="Times New Roman" w:cs="Times New Roman"/>
          <w:color w:val="000000"/>
          <w:highlight w:val="none"/>
          <w:lang w:eastAsia="zh-CN"/>
        </w:rPr>
      </w:pPr>
      <w:r>
        <w:rPr>
          <w:rFonts w:hint="default" w:ascii="Times New Roman" w:hAnsi="Times New Roman" w:eastAsia="宋体" w:cs="Times New Roman"/>
          <w:color w:val="000000"/>
          <w:sz w:val="24"/>
          <w:szCs w:val="20"/>
          <w:highlight w:val="none"/>
          <w:lang w:eastAsia="zh-CN"/>
        </w:rPr>
        <w:t>土壤快速检测</w:t>
      </w:r>
      <w:r>
        <w:rPr>
          <w:rFonts w:hint="default" w:ascii="Times New Roman" w:hAnsi="Times New Roman" w:cs="Times New Roman"/>
          <w:color w:val="000000"/>
          <w:highlight w:val="none"/>
        </w:rPr>
        <w:t>记录</w:t>
      </w:r>
    </w:p>
    <w:p w14:paraId="77C87ADF">
      <w:pPr>
        <w:pStyle w:val="31"/>
        <w:adjustRightInd w:val="0"/>
        <w:snapToGrid w:val="0"/>
        <w:spacing w:after="0"/>
        <w:ind w:firstLine="480"/>
        <w:rPr>
          <w:rFonts w:hint="default" w:ascii="Times New Roman" w:hAnsi="Times New Roman" w:cs="Times New Roman"/>
          <w:color w:val="000000"/>
          <w:highlight w:val="none"/>
        </w:rPr>
      </w:pPr>
      <w:r>
        <w:rPr>
          <w:rFonts w:hint="default" w:ascii="Times New Roman" w:hAnsi="Times New Roman" w:cs="Times New Roman"/>
          <w:color w:val="000000"/>
          <w:highlight w:val="none"/>
        </w:rPr>
        <w:t>本次调查期间，采样人员使用手持式光离子化检测器（PID）对位于调查</w:t>
      </w:r>
      <w:r>
        <w:rPr>
          <w:rFonts w:hint="default" w:ascii="Times New Roman" w:hAnsi="Times New Roman" w:cs="Times New Roman"/>
          <w:color w:val="000000"/>
          <w:highlight w:val="none"/>
          <w:lang w:eastAsia="zh-CN"/>
        </w:rPr>
        <w:t>园区</w:t>
      </w:r>
      <w:r>
        <w:rPr>
          <w:rFonts w:hint="default" w:ascii="Times New Roman" w:hAnsi="Times New Roman" w:cs="Times New Roman"/>
          <w:color w:val="000000"/>
          <w:highlight w:val="none"/>
        </w:rPr>
        <w:t>内土壤样品进行了快速检测，共测试</w:t>
      </w:r>
      <w:r>
        <w:rPr>
          <w:rFonts w:hint="default" w:ascii="Times New Roman" w:hAnsi="Times New Roman" w:cs="Times New Roman"/>
          <w:color w:val="000000"/>
          <w:highlight w:val="none"/>
          <w:lang w:val="en-US" w:eastAsia="zh-CN"/>
        </w:rPr>
        <w:t>20</w:t>
      </w:r>
      <w:r>
        <w:rPr>
          <w:rFonts w:hint="default" w:ascii="Times New Roman" w:hAnsi="Times New Roman" w:cs="Times New Roman"/>
          <w:color w:val="000000"/>
          <w:highlight w:val="none"/>
        </w:rPr>
        <w:t>个</w:t>
      </w:r>
      <w:r>
        <w:rPr>
          <w:rFonts w:hint="default" w:ascii="Times New Roman" w:hAnsi="Times New Roman" w:cs="Times New Roman"/>
          <w:color w:val="000000"/>
          <w:highlight w:val="none"/>
          <w:lang w:eastAsia="zh-CN"/>
        </w:rPr>
        <w:t>土壤</w:t>
      </w:r>
      <w:r>
        <w:rPr>
          <w:rFonts w:hint="default" w:ascii="Times New Roman" w:hAnsi="Times New Roman" w:cs="Times New Roman"/>
          <w:color w:val="000000"/>
          <w:highlight w:val="none"/>
        </w:rPr>
        <w:t>样品</w:t>
      </w:r>
      <w:r>
        <w:rPr>
          <w:rFonts w:hint="default" w:ascii="Times New Roman" w:hAnsi="Times New Roman" w:cs="Times New Roman"/>
          <w:color w:val="000000"/>
          <w:highlight w:val="none"/>
          <w:lang w:eastAsia="zh-CN"/>
        </w:rPr>
        <w:t>、</w:t>
      </w:r>
      <w:r>
        <w:rPr>
          <w:rFonts w:hint="default" w:ascii="Times New Roman" w:hAnsi="Times New Roman" w:cs="Times New Roman"/>
          <w:color w:val="000000"/>
          <w:highlight w:val="none"/>
          <w:lang w:val="en-US" w:eastAsia="zh-CN"/>
        </w:rPr>
        <w:t>3个</w:t>
      </w:r>
      <w:r>
        <w:rPr>
          <w:rFonts w:hint="default" w:ascii="Times New Roman" w:hAnsi="Times New Roman" w:cs="Times New Roman"/>
          <w:color w:val="000000"/>
          <w:highlight w:val="none"/>
          <w:lang w:eastAsia="zh-CN"/>
        </w:rPr>
        <w:t>平行盲样</w:t>
      </w:r>
      <w:r>
        <w:rPr>
          <w:rFonts w:hint="default" w:ascii="Times New Roman" w:hAnsi="Times New Roman" w:cs="Times New Roman"/>
          <w:color w:val="000000"/>
          <w:highlight w:val="none"/>
        </w:rPr>
        <w:t>，PID读数在0.0~1.1ppm。</w:t>
      </w:r>
      <w:r>
        <w:rPr>
          <w:rFonts w:hint="default" w:ascii="Times New Roman" w:hAnsi="Times New Roman" w:cs="Times New Roman"/>
          <w:color w:val="000000"/>
          <w:highlight w:val="none"/>
          <w:lang w:eastAsia="zh-CN"/>
        </w:rPr>
        <w:t>现场记录见附件</w:t>
      </w:r>
      <w:r>
        <w:rPr>
          <w:rFonts w:hint="default" w:ascii="Times New Roman" w:hAnsi="Times New Roman" w:cs="Times New Roman"/>
          <w:color w:val="000000"/>
          <w:highlight w:val="none"/>
          <w:lang w:val="en-US" w:eastAsia="zh-CN"/>
        </w:rPr>
        <w:t>1</w:t>
      </w:r>
      <w:r>
        <w:rPr>
          <w:rFonts w:hint="default" w:ascii="Times New Roman" w:hAnsi="Times New Roman" w:cs="Times New Roman"/>
          <w:color w:val="000000"/>
          <w:highlight w:val="none"/>
        </w:rPr>
        <w:t>。</w:t>
      </w:r>
    </w:p>
    <w:p w14:paraId="43579A39">
      <w:pPr>
        <w:pStyle w:val="5"/>
        <w:keepLines w:val="0"/>
        <w:tabs>
          <w:tab w:val="left" w:pos="425"/>
        </w:tabs>
        <w:spacing w:before="0" w:after="0" w:line="360" w:lineRule="auto"/>
        <w:rPr>
          <w:rFonts w:hint="default" w:ascii="Times New Roman" w:hAnsi="Times New Roman" w:cs="Times New Roman"/>
          <w:highlight w:val="none"/>
        </w:rPr>
      </w:pPr>
      <w:r>
        <w:rPr>
          <w:rFonts w:hint="default" w:ascii="Times New Roman" w:hAnsi="Times New Roman" w:cs="Times New Roman"/>
          <w:highlight w:val="none"/>
        </w:rPr>
        <w:t>工程地质条件</w:t>
      </w:r>
    </w:p>
    <w:p w14:paraId="1EB05B59">
      <w:pPr>
        <w:spacing w:line="360" w:lineRule="auto"/>
        <w:ind w:firstLine="480" w:firstLineChars="200"/>
        <w:rPr>
          <w:rFonts w:hint="default" w:ascii="Times New Roman" w:hAnsi="Times New Roman" w:cs="Times New Roman"/>
          <w:color w:val="000000"/>
          <w:sz w:val="24"/>
          <w:highlight w:val="none"/>
          <w:lang w:eastAsia="zh-CN"/>
        </w:rPr>
      </w:pPr>
      <w:r>
        <w:rPr>
          <w:rFonts w:hint="default" w:ascii="Times New Roman" w:hAnsi="Times New Roman" w:cs="Times New Roman"/>
          <w:sz w:val="24"/>
          <w:highlight w:val="none"/>
        </w:rPr>
        <w:t>现场</w:t>
      </w:r>
      <w:r>
        <w:rPr>
          <w:rFonts w:hint="default" w:ascii="Times New Roman" w:hAnsi="Times New Roman" w:cs="Times New Roman"/>
          <w:sz w:val="24"/>
          <w:highlight w:val="none"/>
          <w:lang w:eastAsia="zh-CN"/>
        </w:rPr>
        <w:t>土壤样品主要采集的为</w:t>
      </w:r>
      <w:r>
        <w:rPr>
          <w:rFonts w:hint="eastAsia" w:cs="Times New Roman"/>
          <w:sz w:val="24"/>
          <w:highlight w:val="none"/>
          <w:lang w:eastAsia="zh-CN"/>
        </w:rPr>
        <w:t>表层（0-0.5m）</w:t>
      </w:r>
      <w:r>
        <w:rPr>
          <w:rFonts w:hint="default" w:ascii="Times New Roman" w:hAnsi="Times New Roman" w:cs="Times New Roman"/>
          <w:sz w:val="24"/>
          <w:highlight w:val="none"/>
          <w:lang w:eastAsia="zh-CN"/>
        </w:rPr>
        <w:t>土壤，</w:t>
      </w:r>
      <w:r>
        <w:rPr>
          <w:rFonts w:hint="eastAsia" w:cs="Times New Roman"/>
          <w:sz w:val="24"/>
          <w:highlight w:val="none"/>
          <w:lang w:val="en-US" w:eastAsia="zh-CN"/>
        </w:rPr>
        <w:t>主要为杂填土</w:t>
      </w:r>
      <w:r>
        <w:rPr>
          <w:rFonts w:hint="default" w:ascii="Times New Roman" w:hAnsi="Times New Roman" w:cs="Times New Roman"/>
          <w:color w:val="000000"/>
          <w:sz w:val="24"/>
          <w:highlight w:val="none"/>
        </w:rPr>
        <w:t>，</w:t>
      </w:r>
      <w:r>
        <w:rPr>
          <w:rFonts w:hint="default" w:ascii="Times New Roman" w:hAnsi="Times New Roman" w:cs="Times New Roman"/>
          <w:color w:val="000000"/>
          <w:sz w:val="24"/>
          <w:highlight w:val="none"/>
          <w:lang w:eastAsia="zh-CN"/>
        </w:rPr>
        <w:t>表面</w:t>
      </w:r>
      <w:r>
        <w:rPr>
          <w:rFonts w:hint="default" w:ascii="Times New Roman" w:hAnsi="Times New Roman" w:cs="Times New Roman"/>
          <w:color w:val="000000"/>
          <w:sz w:val="24"/>
          <w:highlight w:val="none"/>
        </w:rPr>
        <w:t>夹杂砖块、碎石</w:t>
      </w:r>
      <w:r>
        <w:rPr>
          <w:rFonts w:hint="default" w:ascii="Times New Roman" w:hAnsi="Times New Roman" w:cs="Times New Roman"/>
          <w:color w:val="000000"/>
          <w:sz w:val="24"/>
          <w:highlight w:val="none"/>
          <w:lang w:eastAsia="zh-CN"/>
        </w:rPr>
        <w:t>、根系等，部分表层样品为素填土</w:t>
      </w:r>
      <w:r>
        <w:rPr>
          <w:rFonts w:hint="eastAsia" w:cs="Times New Roman"/>
          <w:color w:val="000000"/>
          <w:sz w:val="24"/>
          <w:highlight w:val="none"/>
          <w:lang w:eastAsia="zh-CN"/>
        </w:rPr>
        <w:t>、</w:t>
      </w:r>
      <w:r>
        <w:rPr>
          <w:rFonts w:hint="eastAsia" w:cs="Times New Roman"/>
          <w:color w:val="000000"/>
          <w:sz w:val="24"/>
          <w:highlight w:val="none"/>
          <w:lang w:val="en-US" w:eastAsia="zh-CN"/>
        </w:rPr>
        <w:t>耕植土</w:t>
      </w:r>
      <w:r>
        <w:rPr>
          <w:rFonts w:hint="default" w:ascii="Times New Roman" w:hAnsi="Times New Roman" w:cs="Times New Roman"/>
          <w:color w:val="000000"/>
          <w:sz w:val="24"/>
          <w:highlight w:val="none"/>
          <w:lang w:eastAsia="zh-CN"/>
        </w:rPr>
        <w:t>，部分土壤夹杂有少量的铁锰矿物。</w:t>
      </w:r>
    </w:p>
    <w:p w14:paraId="3B0126F2">
      <w:pPr>
        <w:spacing w:line="360" w:lineRule="auto"/>
        <w:ind w:firstLine="480" w:firstLineChars="200"/>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eastAsia="zh-CN"/>
        </w:rPr>
        <w:t>地下水井</w:t>
      </w:r>
      <w:r>
        <w:rPr>
          <w:rFonts w:hint="default" w:ascii="Times New Roman" w:hAnsi="Times New Roman" w:cs="Times New Roman"/>
          <w:sz w:val="24"/>
          <w:highlight w:val="none"/>
        </w:rPr>
        <w:t>钻探期间揭露浅部地层分布状况结构描述</w:t>
      </w:r>
      <w:r>
        <w:rPr>
          <w:rFonts w:hint="default" w:ascii="Times New Roman" w:hAnsi="Times New Roman" w:cs="Times New Roman"/>
          <w:sz w:val="24"/>
          <w:highlight w:val="none"/>
          <w:lang w:eastAsia="zh-CN"/>
        </w:rPr>
        <w:t>见表</w:t>
      </w:r>
      <w:r>
        <w:rPr>
          <w:rFonts w:hint="default" w:ascii="Times New Roman" w:hAnsi="Times New Roman" w:cs="Times New Roman"/>
          <w:sz w:val="24"/>
          <w:highlight w:val="none"/>
          <w:lang w:val="en-US" w:eastAsia="zh-CN"/>
        </w:rPr>
        <w:t>4-3-1。</w:t>
      </w:r>
    </w:p>
    <w:p w14:paraId="1D376450">
      <w:pPr>
        <w:pStyle w:val="2"/>
        <w:keepNext w:val="0"/>
        <w:keepLines w:val="0"/>
        <w:pageBreakBefore w:val="0"/>
        <w:widowControl w:val="0"/>
        <w:kinsoku/>
        <w:wordWrap/>
        <w:overflowPunct/>
        <w:topLinePunct w:val="0"/>
        <w:autoSpaceDE/>
        <w:autoSpaceDN/>
        <w:bidi w:val="0"/>
        <w:adjustRightInd/>
        <w:snapToGrid/>
        <w:spacing w:before="157" w:beforeLines="50" w:after="0" w:line="240" w:lineRule="auto"/>
        <w:jc w:val="center"/>
        <w:textAlignment w:val="auto"/>
        <w:rPr>
          <w:rFonts w:hint="default" w:ascii="Times New Roman" w:hAnsi="Times New Roman" w:cs="Times New Roman"/>
          <w:b/>
          <w:bCs/>
          <w:highlight w:val="none"/>
          <w:lang w:val="en-US" w:eastAsia="zh-CN"/>
        </w:rPr>
      </w:pPr>
      <w:r>
        <w:rPr>
          <w:rFonts w:hint="default" w:ascii="Times New Roman" w:hAnsi="Times New Roman" w:cs="Times New Roman"/>
          <w:b/>
          <w:bCs/>
          <w:sz w:val="24"/>
          <w:highlight w:val="none"/>
          <w:lang w:val="en-US" w:eastAsia="zh-CN"/>
        </w:rPr>
        <w:t xml:space="preserve">表4-3-1 </w:t>
      </w:r>
      <w:r>
        <w:rPr>
          <w:rFonts w:hint="eastAsia"/>
          <w:b/>
          <w:bCs/>
          <w:highlight w:val="none"/>
        </w:rPr>
        <w:t>地下水点位</w:t>
      </w:r>
      <w:r>
        <w:rPr>
          <w:rFonts w:hint="eastAsia" w:cs="Times New Roman"/>
          <w:b/>
          <w:bCs/>
          <w:sz w:val="24"/>
          <w:highlight w:val="none"/>
          <w:lang w:val="en-US" w:eastAsia="zh-CN"/>
        </w:rPr>
        <w:t>钻孔</w:t>
      </w:r>
      <w:r>
        <w:rPr>
          <w:rFonts w:hint="default" w:ascii="Times New Roman" w:hAnsi="Times New Roman" w:cs="Times New Roman"/>
          <w:b/>
          <w:bCs/>
          <w:sz w:val="24"/>
          <w:highlight w:val="none"/>
          <w:lang w:val="en-US" w:eastAsia="zh-CN"/>
        </w:rPr>
        <w:t>地层分布状况</w:t>
      </w:r>
    </w:p>
    <w:tbl>
      <w:tblPr>
        <w:tblStyle w:val="21"/>
        <w:tblW w:w="1001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922"/>
        <w:gridCol w:w="900"/>
        <w:gridCol w:w="887"/>
        <w:gridCol w:w="667"/>
        <w:gridCol w:w="865"/>
        <w:gridCol w:w="822"/>
        <w:gridCol w:w="825"/>
        <w:gridCol w:w="4130"/>
      </w:tblGrid>
      <w:tr w14:paraId="23A206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922" w:type="dxa"/>
            <w:tcBorders>
              <w:bottom w:val="single" w:color="auto" w:sz="12" w:space="0"/>
            </w:tcBorders>
            <w:shd w:val="clear" w:color="auto" w:fill="auto"/>
            <w:noWrap/>
            <w:tcMar>
              <w:top w:w="15" w:type="dxa"/>
              <w:left w:w="15" w:type="dxa"/>
              <w:right w:w="15" w:type="dxa"/>
            </w:tcMar>
            <w:vAlign w:val="center"/>
          </w:tcPr>
          <w:p w14:paraId="6E017E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钻井编号</w:t>
            </w:r>
          </w:p>
        </w:tc>
        <w:tc>
          <w:tcPr>
            <w:tcW w:w="900" w:type="dxa"/>
            <w:tcBorders>
              <w:bottom w:val="single" w:color="auto" w:sz="12" w:space="0"/>
            </w:tcBorders>
            <w:shd w:val="clear" w:color="auto" w:fill="auto"/>
            <w:noWrap/>
            <w:tcMar>
              <w:top w:w="15" w:type="dxa"/>
              <w:left w:w="15" w:type="dxa"/>
              <w:right w:w="15" w:type="dxa"/>
            </w:tcMar>
            <w:vAlign w:val="center"/>
          </w:tcPr>
          <w:p w14:paraId="30D7A9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钻井深度</w:t>
            </w:r>
          </w:p>
        </w:tc>
        <w:tc>
          <w:tcPr>
            <w:tcW w:w="887" w:type="dxa"/>
            <w:tcBorders>
              <w:bottom w:val="single" w:color="auto" w:sz="12" w:space="0"/>
            </w:tcBorders>
            <w:shd w:val="clear" w:color="auto" w:fill="auto"/>
            <w:noWrap/>
            <w:tcMar>
              <w:top w:w="15" w:type="dxa"/>
              <w:left w:w="15" w:type="dxa"/>
              <w:right w:w="15" w:type="dxa"/>
            </w:tcMar>
            <w:vAlign w:val="center"/>
          </w:tcPr>
          <w:p w14:paraId="28305D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土壤类型</w:t>
            </w:r>
          </w:p>
        </w:tc>
        <w:tc>
          <w:tcPr>
            <w:tcW w:w="667" w:type="dxa"/>
            <w:tcBorders>
              <w:bottom w:val="single" w:color="auto" w:sz="12" w:space="0"/>
            </w:tcBorders>
            <w:shd w:val="clear" w:color="auto" w:fill="auto"/>
            <w:noWrap/>
            <w:tcMar>
              <w:top w:w="15" w:type="dxa"/>
              <w:left w:w="15" w:type="dxa"/>
              <w:right w:w="15" w:type="dxa"/>
            </w:tcMar>
            <w:vAlign w:val="center"/>
          </w:tcPr>
          <w:p w14:paraId="238826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颜色</w:t>
            </w:r>
          </w:p>
        </w:tc>
        <w:tc>
          <w:tcPr>
            <w:tcW w:w="865" w:type="dxa"/>
            <w:tcBorders>
              <w:bottom w:val="single" w:color="auto" w:sz="12" w:space="0"/>
            </w:tcBorders>
            <w:shd w:val="clear" w:color="auto" w:fill="auto"/>
            <w:noWrap/>
            <w:tcMar>
              <w:top w:w="15" w:type="dxa"/>
              <w:left w:w="15" w:type="dxa"/>
              <w:right w:w="15" w:type="dxa"/>
            </w:tcMar>
            <w:vAlign w:val="center"/>
          </w:tcPr>
          <w:p w14:paraId="5B5AF2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湿度</w:t>
            </w:r>
          </w:p>
        </w:tc>
        <w:tc>
          <w:tcPr>
            <w:tcW w:w="822" w:type="dxa"/>
            <w:tcBorders>
              <w:bottom w:val="single" w:color="auto" w:sz="12" w:space="0"/>
            </w:tcBorders>
            <w:shd w:val="clear" w:color="auto" w:fill="auto"/>
            <w:noWrap/>
            <w:tcMar>
              <w:top w:w="15" w:type="dxa"/>
              <w:left w:w="15" w:type="dxa"/>
              <w:right w:w="15" w:type="dxa"/>
            </w:tcMar>
            <w:vAlign w:val="center"/>
          </w:tcPr>
          <w:p w14:paraId="676628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气味</w:t>
            </w:r>
          </w:p>
        </w:tc>
        <w:tc>
          <w:tcPr>
            <w:tcW w:w="825" w:type="dxa"/>
            <w:tcBorders>
              <w:bottom w:val="single" w:color="auto" w:sz="12" w:space="0"/>
            </w:tcBorders>
            <w:shd w:val="clear" w:color="auto" w:fill="auto"/>
            <w:noWrap/>
            <w:tcMar>
              <w:top w:w="15" w:type="dxa"/>
              <w:left w:w="15" w:type="dxa"/>
              <w:right w:w="15" w:type="dxa"/>
            </w:tcMar>
            <w:vAlign w:val="center"/>
          </w:tcPr>
          <w:p w14:paraId="38F031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可塑性</w:t>
            </w:r>
          </w:p>
        </w:tc>
        <w:tc>
          <w:tcPr>
            <w:tcW w:w="4130" w:type="dxa"/>
            <w:tcBorders>
              <w:bottom w:val="single" w:color="auto" w:sz="12" w:space="0"/>
            </w:tcBorders>
            <w:shd w:val="clear" w:color="auto" w:fill="auto"/>
            <w:noWrap/>
            <w:tcMar>
              <w:top w:w="15" w:type="dxa"/>
              <w:left w:w="15" w:type="dxa"/>
              <w:right w:w="15" w:type="dxa"/>
            </w:tcMar>
            <w:vAlign w:val="center"/>
          </w:tcPr>
          <w:p w14:paraId="29A239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夹杂物</w:t>
            </w:r>
          </w:p>
        </w:tc>
      </w:tr>
      <w:tr w14:paraId="62CECC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922" w:type="dxa"/>
            <w:vMerge w:val="restart"/>
            <w:tcBorders>
              <w:top w:val="single" w:color="auto" w:sz="12" w:space="0"/>
              <w:tl2br w:val="nil"/>
              <w:tr2bl w:val="nil"/>
            </w:tcBorders>
            <w:shd w:val="clear" w:color="auto" w:fill="auto"/>
            <w:noWrap/>
            <w:tcMar>
              <w:top w:w="15" w:type="dxa"/>
              <w:left w:w="15" w:type="dxa"/>
              <w:right w:w="15" w:type="dxa"/>
            </w:tcMar>
            <w:vAlign w:val="center"/>
          </w:tcPr>
          <w:p w14:paraId="579FD0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HR-W1</w:t>
            </w:r>
          </w:p>
        </w:tc>
        <w:tc>
          <w:tcPr>
            <w:tcW w:w="900" w:type="dxa"/>
            <w:tcBorders>
              <w:top w:val="single" w:color="auto" w:sz="12" w:space="0"/>
              <w:tl2br w:val="nil"/>
              <w:tr2bl w:val="nil"/>
            </w:tcBorders>
            <w:shd w:val="clear" w:color="auto" w:fill="auto"/>
            <w:noWrap/>
            <w:tcMar>
              <w:top w:w="15" w:type="dxa"/>
              <w:left w:w="15" w:type="dxa"/>
              <w:right w:w="15" w:type="dxa"/>
            </w:tcMar>
            <w:vAlign w:val="center"/>
          </w:tcPr>
          <w:p w14:paraId="10922C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w:t>
            </w:r>
          </w:p>
        </w:tc>
        <w:tc>
          <w:tcPr>
            <w:tcW w:w="887" w:type="dxa"/>
            <w:tcBorders>
              <w:top w:val="single" w:color="auto" w:sz="12" w:space="0"/>
              <w:tl2br w:val="nil"/>
              <w:tr2bl w:val="nil"/>
            </w:tcBorders>
            <w:shd w:val="clear" w:color="auto" w:fill="auto"/>
            <w:noWrap/>
            <w:tcMar>
              <w:top w:w="15" w:type="dxa"/>
              <w:left w:w="15" w:type="dxa"/>
              <w:right w:w="15" w:type="dxa"/>
            </w:tcMar>
            <w:vAlign w:val="center"/>
          </w:tcPr>
          <w:p w14:paraId="365B95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素填土</w:t>
            </w:r>
          </w:p>
        </w:tc>
        <w:tc>
          <w:tcPr>
            <w:tcW w:w="667" w:type="dxa"/>
            <w:tcBorders>
              <w:top w:val="single" w:color="auto" w:sz="12" w:space="0"/>
              <w:tl2br w:val="nil"/>
              <w:tr2bl w:val="nil"/>
            </w:tcBorders>
            <w:shd w:val="clear" w:color="auto" w:fill="auto"/>
            <w:noWrap/>
            <w:tcMar>
              <w:top w:w="15" w:type="dxa"/>
              <w:left w:w="15" w:type="dxa"/>
              <w:right w:w="15" w:type="dxa"/>
            </w:tcMar>
            <w:vAlign w:val="center"/>
          </w:tcPr>
          <w:p w14:paraId="6C1D9B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黄褐</w:t>
            </w:r>
          </w:p>
        </w:tc>
        <w:tc>
          <w:tcPr>
            <w:tcW w:w="865" w:type="dxa"/>
            <w:tcBorders>
              <w:top w:val="single" w:color="auto" w:sz="12" w:space="0"/>
              <w:tl2br w:val="nil"/>
              <w:tr2bl w:val="nil"/>
            </w:tcBorders>
            <w:shd w:val="clear" w:color="auto" w:fill="auto"/>
            <w:noWrap/>
            <w:tcMar>
              <w:top w:w="15" w:type="dxa"/>
              <w:left w:w="15" w:type="dxa"/>
              <w:right w:w="15" w:type="dxa"/>
            </w:tcMar>
            <w:vAlign w:val="center"/>
          </w:tcPr>
          <w:p w14:paraId="38319F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822" w:type="dxa"/>
            <w:tcBorders>
              <w:top w:val="single" w:color="auto" w:sz="12" w:space="0"/>
              <w:tl2br w:val="nil"/>
              <w:tr2bl w:val="nil"/>
            </w:tcBorders>
            <w:shd w:val="clear" w:color="auto" w:fill="auto"/>
            <w:noWrap/>
            <w:tcMar>
              <w:top w:w="15" w:type="dxa"/>
              <w:left w:w="15" w:type="dxa"/>
              <w:right w:w="15" w:type="dxa"/>
            </w:tcMar>
            <w:vAlign w:val="center"/>
          </w:tcPr>
          <w:p w14:paraId="13B92D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825" w:type="dxa"/>
            <w:tcBorders>
              <w:top w:val="single" w:color="auto" w:sz="12" w:space="0"/>
              <w:tl2br w:val="nil"/>
              <w:tr2bl w:val="nil"/>
            </w:tcBorders>
            <w:shd w:val="clear" w:color="auto" w:fill="auto"/>
            <w:noWrap/>
            <w:tcMar>
              <w:top w:w="15" w:type="dxa"/>
              <w:left w:w="15" w:type="dxa"/>
              <w:right w:w="15" w:type="dxa"/>
            </w:tcMar>
            <w:vAlign w:val="center"/>
          </w:tcPr>
          <w:p w14:paraId="628DE0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4130" w:type="dxa"/>
            <w:tcBorders>
              <w:top w:val="single" w:color="auto" w:sz="12" w:space="0"/>
              <w:tl2br w:val="nil"/>
              <w:tr2bl w:val="nil"/>
            </w:tcBorders>
            <w:shd w:val="clear" w:color="auto" w:fill="auto"/>
            <w:noWrap/>
            <w:tcMar>
              <w:top w:w="15" w:type="dxa"/>
              <w:left w:w="15" w:type="dxa"/>
              <w:right w:w="15" w:type="dxa"/>
            </w:tcMar>
            <w:vAlign w:val="center"/>
          </w:tcPr>
          <w:p w14:paraId="03904C3B">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主要由粘土组成，含少量氧化物</w:t>
            </w:r>
          </w:p>
        </w:tc>
      </w:tr>
      <w:tr w14:paraId="184418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922" w:type="dxa"/>
            <w:vMerge w:val="continue"/>
            <w:tcBorders>
              <w:tl2br w:val="nil"/>
              <w:tr2bl w:val="nil"/>
            </w:tcBorders>
            <w:shd w:val="clear" w:color="auto" w:fill="auto"/>
            <w:noWrap/>
            <w:tcMar>
              <w:top w:w="15" w:type="dxa"/>
              <w:left w:w="15" w:type="dxa"/>
              <w:right w:w="15" w:type="dxa"/>
            </w:tcMar>
            <w:vAlign w:val="center"/>
          </w:tcPr>
          <w:p w14:paraId="7EA4C4A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900" w:type="dxa"/>
            <w:tcBorders>
              <w:tl2br w:val="nil"/>
              <w:tr2bl w:val="nil"/>
            </w:tcBorders>
            <w:shd w:val="clear" w:color="auto" w:fill="auto"/>
            <w:noWrap/>
            <w:tcMar>
              <w:top w:w="15" w:type="dxa"/>
              <w:left w:w="15" w:type="dxa"/>
              <w:right w:w="15" w:type="dxa"/>
            </w:tcMar>
            <w:vAlign w:val="center"/>
          </w:tcPr>
          <w:p w14:paraId="7AD7D4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0.2~3.5</w:t>
            </w:r>
          </w:p>
        </w:tc>
        <w:tc>
          <w:tcPr>
            <w:tcW w:w="887" w:type="dxa"/>
            <w:tcBorders>
              <w:tl2br w:val="nil"/>
              <w:tr2bl w:val="nil"/>
            </w:tcBorders>
            <w:shd w:val="clear" w:color="auto" w:fill="auto"/>
            <w:noWrap/>
            <w:tcMar>
              <w:top w:w="15" w:type="dxa"/>
              <w:left w:w="15" w:type="dxa"/>
              <w:right w:w="15" w:type="dxa"/>
            </w:tcMar>
            <w:vAlign w:val="center"/>
          </w:tcPr>
          <w:p w14:paraId="4D8685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粘土</w:t>
            </w:r>
          </w:p>
        </w:tc>
        <w:tc>
          <w:tcPr>
            <w:tcW w:w="667" w:type="dxa"/>
            <w:tcBorders>
              <w:tl2br w:val="nil"/>
              <w:tr2bl w:val="nil"/>
            </w:tcBorders>
            <w:shd w:val="clear" w:color="auto" w:fill="auto"/>
            <w:noWrap/>
            <w:tcMar>
              <w:top w:w="15" w:type="dxa"/>
              <w:left w:w="15" w:type="dxa"/>
              <w:right w:w="15" w:type="dxa"/>
            </w:tcMar>
            <w:vAlign w:val="center"/>
          </w:tcPr>
          <w:p w14:paraId="7FA0E8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红褐</w:t>
            </w:r>
          </w:p>
        </w:tc>
        <w:tc>
          <w:tcPr>
            <w:tcW w:w="865" w:type="dxa"/>
            <w:tcBorders>
              <w:tl2br w:val="nil"/>
              <w:tr2bl w:val="nil"/>
            </w:tcBorders>
            <w:shd w:val="clear" w:color="auto" w:fill="auto"/>
            <w:noWrap/>
            <w:tcMar>
              <w:top w:w="15" w:type="dxa"/>
              <w:left w:w="15" w:type="dxa"/>
              <w:right w:w="15" w:type="dxa"/>
            </w:tcMar>
            <w:vAlign w:val="center"/>
          </w:tcPr>
          <w:p w14:paraId="26111D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822" w:type="dxa"/>
            <w:tcBorders>
              <w:tl2br w:val="nil"/>
              <w:tr2bl w:val="nil"/>
            </w:tcBorders>
            <w:shd w:val="clear" w:color="auto" w:fill="auto"/>
            <w:noWrap/>
            <w:tcMar>
              <w:top w:w="15" w:type="dxa"/>
              <w:left w:w="15" w:type="dxa"/>
              <w:right w:w="15" w:type="dxa"/>
            </w:tcMar>
            <w:vAlign w:val="center"/>
          </w:tcPr>
          <w:p w14:paraId="7D8166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825" w:type="dxa"/>
            <w:tcBorders>
              <w:tl2br w:val="nil"/>
              <w:tr2bl w:val="nil"/>
            </w:tcBorders>
            <w:shd w:val="clear" w:color="auto" w:fill="auto"/>
            <w:noWrap/>
            <w:tcMar>
              <w:top w:w="15" w:type="dxa"/>
              <w:left w:w="15" w:type="dxa"/>
              <w:right w:w="15" w:type="dxa"/>
            </w:tcMar>
            <w:vAlign w:val="center"/>
          </w:tcPr>
          <w:p w14:paraId="228DB4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可塑</w:t>
            </w:r>
          </w:p>
        </w:tc>
        <w:tc>
          <w:tcPr>
            <w:tcW w:w="4130" w:type="dxa"/>
            <w:tcBorders>
              <w:tl2br w:val="nil"/>
              <w:tr2bl w:val="nil"/>
            </w:tcBorders>
            <w:shd w:val="clear" w:color="auto" w:fill="auto"/>
            <w:noWrap/>
            <w:tcMar>
              <w:top w:w="15" w:type="dxa"/>
              <w:left w:w="15" w:type="dxa"/>
              <w:right w:w="15" w:type="dxa"/>
            </w:tcMar>
            <w:vAlign w:val="center"/>
          </w:tcPr>
          <w:p w14:paraId="22A6B7F2">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局部夹少量灰白色高岭土，含少量氧化物</w:t>
            </w:r>
          </w:p>
        </w:tc>
      </w:tr>
      <w:tr w14:paraId="01D96D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922" w:type="dxa"/>
            <w:vMerge w:val="continue"/>
            <w:tcBorders>
              <w:tl2br w:val="nil"/>
              <w:tr2bl w:val="nil"/>
            </w:tcBorders>
            <w:shd w:val="clear" w:color="auto" w:fill="auto"/>
            <w:noWrap/>
            <w:tcMar>
              <w:top w:w="15" w:type="dxa"/>
              <w:left w:w="15" w:type="dxa"/>
              <w:right w:w="15" w:type="dxa"/>
            </w:tcMar>
            <w:vAlign w:val="center"/>
          </w:tcPr>
          <w:p w14:paraId="494EFD5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900" w:type="dxa"/>
            <w:tcBorders>
              <w:tl2br w:val="nil"/>
              <w:tr2bl w:val="nil"/>
            </w:tcBorders>
            <w:shd w:val="clear" w:color="auto" w:fill="auto"/>
            <w:noWrap/>
            <w:tcMar>
              <w:top w:w="15" w:type="dxa"/>
              <w:left w:w="15" w:type="dxa"/>
              <w:right w:w="15" w:type="dxa"/>
            </w:tcMar>
            <w:vAlign w:val="center"/>
          </w:tcPr>
          <w:p w14:paraId="0F20BE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3.5~7.1</w:t>
            </w:r>
          </w:p>
        </w:tc>
        <w:tc>
          <w:tcPr>
            <w:tcW w:w="887" w:type="dxa"/>
            <w:tcBorders>
              <w:tl2br w:val="nil"/>
              <w:tr2bl w:val="nil"/>
            </w:tcBorders>
            <w:shd w:val="clear" w:color="auto" w:fill="auto"/>
            <w:noWrap/>
            <w:tcMar>
              <w:top w:w="15" w:type="dxa"/>
              <w:left w:w="15" w:type="dxa"/>
              <w:right w:w="15" w:type="dxa"/>
            </w:tcMar>
            <w:vAlign w:val="center"/>
          </w:tcPr>
          <w:p w14:paraId="5A2A5C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残积土</w:t>
            </w:r>
          </w:p>
        </w:tc>
        <w:tc>
          <w:tcPr>
            <w:tcW w:w="667" w:type="dxa"/>
            <w:tcBorders>
              <w:tl2br w:val="nil"/>
              <w:tr2bl w:val="nil"/>
            </w:tcBorders>
            <w:shd w:val="clear" w:color="auto" w:fill="auto"/>
            <w:noWrap/>
            <w:tcMar>
              <w:top w:w="15" w:type="dxa"/>
              <w:left w:w="15" w:type="dxa"/>
              <w:right w:w="15" w:type="dxa"/>
            </w:tcMar>
            <w:vAlign w:val="center"/>
          </w:tcPr>
          <w:p w14:paraId="509910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黄褐</w:t>
            </w:r>
          </w:p>
        </w:tc>
        <w:tc>
          <w:tcPr>
            <w:tcW w:w="865" w:type="dxa"/>
            <w:tcBorders>
              <w:tl2br w:val="nil"/>
              <w:tr2bl w:val="nil"/>
            </w:tcBorders>
            <w:shd w:val="clear" w:color="auto" w:fill="auto"/>
            <w:noWrap/>
            <w:tcMar>
              <w:top w:w="15" w:type="dxa"/>
              <w:left w:w="15" w:type="dxa"/>
              <w:right w:w="15" w:type="dxa"/>
            </w:tcMar>
            <w:vAlign w:val="center"/>
          </w:tcPr>
          <w:p w14:paraId="3FC3B7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822" w:type="dxa"/>
            <w:tcBorders>
              <w:tl2br w:val="nil"/>
              <w:tr2bl w:val="nil"/>
            </w:tcBorders>
            <w:shd w:val="clear" w:color="auto" w:fill="auto"/>
            <w:noWrap/>
            <w:tcMar>
              <w:top w:w="15" w:type="dxa"/>
              <w:left w:w="15" w:type="dxa"/>
              <w:right w:w="15" w:type="dxa"/>
            </w:tcMar>
            <w:vAlign w:val="center"/>
          </w:tcPr>
          <w:p w14:paraId="683EB5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825" w:type="dxa"/>
            <w:tcBorders>
              <w:tl2br w:val="nil"/>
              <w:tr2bl w:val="nil"/>
            </w:tcBorders>
            <w:shd w:val="clear" w:color="auto" w:fill="auto"/>
            <w:noWrap/>
            <w:tcMar>
              <w:top w:w="15" w:type="dxa"/>
              <w:left w:w="15" w:type="dxa"/>
              <w:right w:w="15" w:type="dxa"/>
            </w:tcMar>
            <w:vAlign w:val="center"/>
          </w:tcPr>
          <w:p w14:paraId="720AD9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硬塑</w:t>
            </w:r>
          </w:p>
        </w:tc>
        <w:tc>
          <w:tcPr>
            <w:tcW w:w="4130" w:type="dxa"/>
            <w:tcBorders>
              <w:tl2br w:val="nil"/>
              <w:tr2bl w:val="nil"/>
            </w:tcBorders>
            <w:shd w:val="clear" w:color="auto" w:fill="auto"/>
            <w:noWrap/>
            <w:tcMar>
              <w:top w:w="15" w:type="dxa"/>
              <w:left w:w="15" w:type="dxa"/>
              <w:right w:w="15" w:type="dxa"/>
            </w:tcMar>
            <w:vAlign w:val="center"/>
          </w:tcPr>
          <w:p w14:paraId="1A0C2657">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局部夹少量碎石，含少量氧化物</w:t>
            </w:r>
          </w:p>
        </w:tc>
      </w:tr>
      <w:tr w14:paraId="114145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922" w:type="dxa"/>
            <w:vMerge w:val="continue"/>
            <w:tcBorders>
              <w:tl2br w:val="nil"/>
              <w:tr2bl w:val="nil"/>
            </w:tcBorders>
            <w:shd w:val="clear" w:color="auto" w:fill="auto"/>
            <w:noWrap/>
            <w:tcMar>
              <w:top w:w="15" w:type="dxa"/>
              <w:left w:w="15" w:type="dxa"/>
              <w:right w:w="15" w:type="dxa"/>
            </w:tcMar>
            <w:vAlign w:val="center"/>
          </w:tcPr>
          <w:p w14:paraId="47490D1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900" w:type="dxa"/>
            <w:tcBorders>
              <w:tl2br w:val="nil"/>
              <w:tr2bl w:val="nil"/>
            </w:tcBorders>
            <w:shd w:val="clear" w:color="auto" w:fill="auto"/>
            <w:noWrap/>
            <w:tcMar>
              <w:top w:w="15" w:type="dxa"/>
              <w:left w:w="15" w:type="dxa"/>
              <w:right w:w="15" w:type="dxa"/>
            </w:tcMar>
            <w:vAlign w:val="center"/>
          </w:tcPr>
          <w:p w14:paraId="73664F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7.1~</w:t>
            </w:r>
            <w:r>
              <w:rPr>
                <w:rFonts w:hint="default" w:ascii="Times New Roman" w:hAnsi="Times New Roman" w:cs="Times New Roman"/>
                <w:i w:val="0"/>
                <w:color w:val="000000"/>
                <w:kern w:val="0"/>
                <w:sz w:val="21"/>
                <w:szCs w:val="21"/>
                <w:highlight w:val="none"/>
                <w:u w:val="none"/>
                <w:lang w:val="en-US" w:eastAsia="zh-CN" w:bidi="ar"/>
              </w:rPr>
              <w:t>12</w:t>
            </w:r>
            <w:r>
              <w:rPr>
                <w:rFonts w:hint="default" w:ascii="Times New Roman" w:hAnsi="Times New Roman" w:eastAsia="宋体" w:cs="Times New Roman"/>
                <w:i w:val="0"/>
                <w:color w:val="000000"/>
                <w:kern w:val="0"/>
                <w:sz w:val="21"/>
                <w:szCs w:val="21"/>
                <w:highlight w:val="none"/>
                <w:u w:val="none"/>
                <w:lang w:val="en-US" w:eastAsia="zh-CN" w:bidi="ar"/>
              </w:rPr>
              <w:t>.0</w:t>
            </w:r>
          </w:p>
        </w:tc>
        <w:tc>
          <w:tcPr>
            <w:tcW w:w="887" w:type="dxa"/>
            <w:tcBorders>
              <w:tl2br w:val="nil"/>
              <w:tr2bl w:val="nil"/>
            </w:tcBorders>
            <w:shd w:val="clear" w:color="auto" w:fill="auto"/>
            <w:noWrap/>
            <w:tcMar>
              <w:top w:w="15" w:type="dxa"/>
              <w:left w:w="15" w:type="dxa"/>
              <w:right w:w="15" w:type="dxa"/>
            </w:tcMar>
            <w:vAlign w:val="center"/>
          </w:tcPr>
          <w:p w14:paraId="440B6B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砂岩</w:t>
            </w:r>
          </w:p>
        </w:tc>
        <w:tc>
          <w:tcPr>
            <w:tcW w:w="667" w:type="dxa"/>
            <w:tcBorders>
              <w:tl2br w:val="nil"/>
              <w:tr2bl w:val="nil"/>
            </w:tcBorders>
            <w:shd w:val="clear" w:color="auto" w:fill="auto"/>
            <w:noWrap/>
            <w:tcMar>
              <w:top w:w="15" w:type="dxa"/>
              <w:left w:w="15" w:type="dxa"/>
              <w:right w:w="15" w:type="dxa"/>
            </w:tcMar>
            <w:vAlign w:val="center"/>
          </w:tcPr>
          <w:p w14:paraId="7E00ED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棕红</w:t>
            </w:r>
          </w:p>
        </w:tc>
        <w:tc>
          <w:tcPr>
            <w:tcW w:w="865" w:type="dxa"/>
            <w:tcBorders>
              <w:tl2br w:val="nil"/>
              <w:tr2bl w:val="nil"/>
            </w:tcBorders>
            <w:shd w:val="clear" w:color="auto" w:fill="auto"/>
            <w:noWrap/>
            <w:tcMar>
              <w:top w:w="15" w:type="dxa"/>
              <w:left w:w="15" w:type="dxa"/>
              <w:right w:w="15" w:type="dxa"/>
            </w:tcMar>
            <w:vAlign w:val="center"/>
          </w:tcPr>
          <w:p w14:paraId="1B338C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干</w:t>
            </w:r>
          </w:p>
        </w:tc>
        <w:tc>
          <w:tcPr>
            <w:tcW w:w="822" w:type="dxa"/>
            <w:tcBorders>
              <w:tl2br w:val="nil"/>
              <w:tr2bl w:val="nil"/>
            </w:tcBorders>
            <w:shd w:val="clear" w:color="auto" w:fill="auto"/>
            <w:noWrap/>
            <w:tcMar>
              <w:top w:w="15" w:type="dxa"/>
              <w:left w:w="15" w:type="dxa"/>
              <w:right w:w="15" w:type="dxa"/>
            </w:tcMar>
            <w:vAlign w:val="center"/>
          </w:tcPr>
          <w:p w14:paraId="093BF4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825" w:type="dxa"/>
            <w:tcBorders>
              <w:tl2br w:val="nil"/>
              <w:tr2bl w:val="nil"/>
            </w:tcBorders>
            <w:shd w:val="clear" w:color="auto" w:fill="auto"/>
            <w:noWrap/>
            <w:tcMar>
              <w:top w:w="15" w:type="dxa"/>
              <w:left w:w="15" w:type="dxa"/>
              <w:right w:w="15" w:type="dxa"/>
            </w:tcMar>
            <w:vAlign w:val="center"/>
          </w:tcPr>
          <w:p w14:paraId="42567D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全风化</w:t>
            </w:r>
          </w:p>
        </w:tc>
        <w:tc>
          <w:tcPr>
            <w:tcW w:w="4130" w:type="dxa"/>
            <w:tcBorders>
              <w:tl2br w:val="nil"/>
              <w:tr2bl w:val="nil"/>
            </w:tcBorders>
            <w:shd w:val="clear" w:color="auto" w:fill="auto"/>
            <w:noWrap/>
            <w:tcMar>
              <w:top w:w="15" w:type="dxa"/>
              <w:left w:w="15" w:type="dxa"/>
              <w:right w:w="15" w:type="dxa"/>
            </w:tcMar>
            <w:vAlign w:val="center"/>
          </w:tcPr>
          <w:p w14:paraId="6C04DFBF">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中厚层构造，沙粒结构</w:t>
            </w:r>
          </w:p>
        </w:tc>
      </w:tr>
      <w:tr w14:paraId="246409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922" w:type="dxa"/>
            <w:vMerge w:val="restart"/>
            <w:tcBorders>
              <w:tl2br w:val="nil"/>
              <w:tr2bl w:val="nil"/>
            </w:tcBorders>
            <w:shd w:val="clear" w:color="auto" w:fill="auto"/>
            <w:noWrap/>
            <w:tcMar>
              <w:top w:w="15" w:type="dxa"/>
              <w:left w:w="15" w:type="dxa"/>
              <w:right w:w="15" w:type="dxa"/>
            </w:tcMar>
            <w:vAlign w:val="center"/>
          </w:tcPr>
          <w:p w14:paraId="56FE7A8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lang w:val="en-US" w:eastAsia="zh-CN"/>
              </w:rPr>
            </w:pPr>
            <w:r>
              <w:rPr>
                <w:rFonts w:hint="default" w:ascii="Times New Roman" w:hAnsi="Times New Roman" w:eastAsia="宋体" w:cs="Times New Roman"/>
                <w:i w:val="0"/>
                <w:color w:val="000000"/>
                <w:sz w:val="21"/>
                <w:szCs w:val="21"/>
                <w:highlight w:val="none"/>
                <w:u w:val="none"/>
                <w:lang w:val="en-US" w:eastAsia="zh-CN"/>
              </w:rPr>
              <w:t>HR-W2</w:t>
            </w:r>
          </w:p>
        </w:tc>
        <w:tc>
          <w:tcPr>
            <w:tcW w:w="900" w:type="dxa"/>
            <w:tcBorders>
              <w:tl2br w:val="nil"/>
              <w:tr2bl w:val="nil"/>
            </w:tcBorders>
            <w:shd w:val="clear" w:color="auto" w:fill="auto"/>
            <w:noWrap/>
            <w:tcMar>
              <w:top w:w="15" w:type="dxa"/>
              <w:left w:w="15" w:type="dxa"/>
              <w:right w:w="15" w:type="dxa"/>
            </w:tcMar>
            <w:vAlign w:val="center"/>
          </w:tcPr>
          <w:p w14:paraId="362EF3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w:t>
            </w:r>
          </w:p>
        </w:tc>
        <w:tc>
          <w:tcPr>
            <w:tcW w:w="887" w:type="dxa"/>
            <w:tcBorders>
              <w:tl2br w:val="nil"/>
              <w:tr2bl w:val="nil"/>
            </w:tcBorders>
            <w:shd w:val="clear" w:color="auto" w:fill="auto"/>
            <w:noWrap/>
            <w:tcMar>
              <w:top w:w="15" w:type="dxa"/>
              <w:left w:w="15" w:type="dxa"/>
              <w:right w:w="15" w:type="dxa"/>
            </w:tcMar>
            <w:vAlign w:val="center"/>
          </w:tcPr>
          <w:p w14:paraId="251E2D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耕植土</w:t>
            </w:r>
          </w:p>
        </w:tc>
        <w:tc>
          <w:tcPr>
            <w:tcW w:w="667" w:type="dxa"/>
            <w:tcBorders>
              <w:tl2br w:val="nil"/>
              <w:tr2bl w:val="nil"/>
            </w:tcBorders>
            <w:shd w:val="clear" w:color="auto" w:fill="auto"/>
            <w:noWrap/>
            <w:tcMar>
              <w:top w:w="15" w:type="dxa"/>
              <w:left w:w="15" w:type="dxa"/>
              <w:right w:w="15" w:type="dxa"/>
            </w:tcMar>
            <w:vAlign w:val="center"/>
          </w:tcPr>
          <w:p w14:paraId="2CC1DB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灰褐</w:t>
            </w:r>
          </w:p>
        </w:tc>
        <w:tc>
          <w:tcPr>
            <w:tcW w:w="865" w:type="dxa"/>
            <w:tcBorders>
              <w:tl2br w:val="nil"/>
              <w:tr2bl w:val="nil"/>
            </w:tcBorders>
            <w:shd w:val="clear" w:color="auto" w:fill="auto"/>
            <w:noWrap/>
            <w:tcMar>
              <w:top w:w="15" w:type="dxa"/>
              <w:left w:w="15" w:type="dxa"/>
              <w:right w:w="15" w:type="dxa"/>
            </w:tcMar>
            <w:vAlign w:val="center"/>
          </w:tcPr>
          <w:p w14:paraId="691DE3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湿</w:t>
            </w:r>
          </w:p>
        </w:tc>
        <w:tc>
          <w:tcPr>
            <w:tcW w:w="822" w:type="dxa"/>
            <w:tcBorders>
              <w:tl2br w:val="nil"/>
              <w:tr2bl w:val="nil"/>
            </w:tcBorders>
            <w:shd w:val="clear" w:color="auto" w:fill="auto"/>
            <w:noWrap/>
            <w:tcMar>
              <w:top w:w="15" w:type="dxa"/>
              <w:left w:w="15" w:type="dxa"/>
              <w:right w:w="15" w:type="dxa"/>
            </w:tcMar>
            <w:vAlign w:val="center"/>
          </w:tcPr>
          <w:p w14:paraId="4C8334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825" w:type="dxa"/>
            <w:tcBorders>
              <w:tl2br w:val="nil"/>
              <w:tr2bl w:val="nil"/>
            </w:tcBorders>
            <w:shd w:val="clear" w:color="auto" w:fill="auto"/>
            <w:noWrap/>
            <w:tcMar>
              <w:top w:w="15" w:type="dxa"/>
              <w:left w:w="15" w:type="dxa"/>
              <w:right w:w="15" w:type="dxa"/>
            </w:tcMar>
            <w:vAlign w:val="center"/>
          </w:tcPr>
          <w:p w14:paraId="40BE6B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可塑</w:t>
            </w:r>
          </w:p>
        </w:tc>
        <w:tc>
          <w:tcPr>
            <w:tcW w:w="4130" w:type="dxa"/>
            <w:tcBorders>
              <w:tl2br w:val="nil"/>
              <w:tr2bl w:val="nil"/>
            </w:tcBorders>
            <w:shd w:val="clear" w:color="auto" w:fill="auto"/>
            <w:noWrap/>
            <w:tcMar>
              <w:top w:w="15" w:type="dxa"/>
              <w:left w:w="15" w:type="dxa"/>
              <w:right w:w="15" w:type="dxa"/>
            </w:tcMar>
            <w:vAlign w:val="center"/>
          </w:tcPr>
          <w:p w14:paraId="4CE26539">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含大量植物根系，含少量氧化物</w:t>
            </w:r>
          </w:p>
        </w:tc>
      </w:tr>
      <w:tr w14:paraId="75CAB2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922" w:type="dxa"/>
            <w:vMerge w:val="continue"/>
            <w:tcBorders>
              <w:tl2br w:val="nil"/>
              <w:tr2bl w:val="nil"/>
            </w:tcBorders>
            <w:shd w:val="clear" w:color="auto" w:fill="auto"/>
            <w:noWrap/>
            <w:tcMar>
              <w:top w:w="15" w:type="dxa"/>
              <w:left w:w="15" w:type="dxa"/>
              <w:right w:w="15" w:type="dxa"/>
            </w:tcMar>
            <w:vAlign w:val="center"/>
          </w:tcPr>
          <w:p w14:paraId="11C6105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900" w:type="dxa"/>
            <w:tcBorders>
              <w:tl2br w:val="nil"/>
              <w:tr2bl w:val="nil"/>
            </w:tcBorders>
            <w:shd w:val="clear" w:color="auto" w:fill="auto"/>
            <w:noWrap/>
            <w:tcMar>
              <w:top w:w="15" w:type="dxa"/>
              <w:left w:w="15" w:type="dxa"/>
              <w:right w:w="15" w:type="dxa"/>
            </w:tcMar>
            <w:vAlign w:val="center"/>
          </w:tcPr>
          <w:p w14:paraId="0F8CA4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0.2~5.0</w:t>
            </w:r>
          </w:p>
        </w:tc>
        <w:tc>
          <w:tcPr>
            <w:tcW w:w="887" w:type="dxa"/>
            <w:tcBorders>
              <w:tl2br w:val="nil"/>
              <w:tr2bl w:val="nil"/>
            </w:tcBorders>
            <w:shd w:val="clear" w:color="auto" w:fill="auto"/>
            <w:noWrap/>
            <w:tcMar>
              <w:top w:w="15" w:type="dxa"/>
              <w:left w:w="15" w:type="dxa"/>
              <w:right w:w="15" w:type="dxa"/>
            </w:tcMar>
            <w:vAlign w:val="center"/>
          </w:tcPr>
          <w:p w14:paraId="0AB165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粘土</w:t>
            </w:r>
          </w:p>
        </w:tc>
        <w:tc>
          <w:tcPr>
            <w:tcW w:w="667" w:type="dxa"/>
            <w:tcBorders>
              <w:tl2br w:val="nil"/>
              <w:tr2bl w:val="nil"/>
            </w:tcBorders>
            <w:shd w:val="clear" w:color="auto" w:fill="auto"/>
            <w:noWrap/>
            <w:tcMar>
              <w:top w:w="15" w:type="dxa"/>
              <w:left w:w="15" w:type="dxa"/>
              <w:right w:w="15" w:type="dxa"/>
            </w:tcMar>
            <w:vAlign w:val="center"/>
          </w:tcPr>
          <w:p w14:paraId="7F9E10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灰褐</w:t>
            </w:r>
          </w:p>
        </w:tc>
        <w:tc>
          <w:tcPr>
            <w:tcW w:w="865" w:type="dxa"/>
            <w:tcBorders>
              <w:tl2br w:val="nil"/>
              <w:tr2bl w:val="nil"/>
            </w:tcBorders>
            <w:shd w:val="clear" w:color="auto" w:fill="auto"/>
            <w:noWrap/>
            <w:tcMar>
              <w:top w:w="15" w:type="dxa"/>
              <w:left w:w="15" w:type="dxa"/>
              <w:right w:w="15" w:type="dxa"/>
            </w:tcMar>
            <w:vAlign w:val="center"/>
          </w:tcPr>
          <w:p w14:paraId="4C712E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822" w:type="dxa"/>
            <w:tcBorders>
              <w:tl2br w:val="nil"/>
              <w:tr2bl w:val="nil"/>
            </w:tcBorders>
            <w:shd w:val="clear" w:color="auto" w:fill="auto"/>
            <w:noWrap/>
            <w:tcMar>
              <w:top w:w="15" w:type="dxa"/>
              <w:left w:w="15" w:type="dxa"/>
              <w:right w:w="15" w:type="dxa"/>
            </w:tcMar>
            <w:vAlign w:val="center"/>
          </w:tcPr>
          <w:p w14:paraId="2C8CBF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825" w:type="dxa"/>
            <w:tcBorders>
              <w:tl2br w:val="nil"/>
              <w:tr2bl w:val="nil"/>
            </w:tcBorders>
            <w:shd w:val="clear" w:color="auto" w:fill="auto"/>
            <w:noWrap/>
            <w:tcMar>
              <w:top w:w="15" w:type="dxa"/>
              <w:left w:w="15" w:type="dxa"/>
              <w:right w:w="15" w:type="dxa"/>
            </w:tcMar>
            <w:vAlign w:val="center"/>
          </w:tcPr>
          <w:p w14:paraId="32FF78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可塑</w:t>
            </w:r>
          </w:p>
        </w:tc>
        <w:tc>
          <w:tcPr>
            <w:tcW w:w="4130" w:type="dxa"/>
            <w:tcBorders>
              <w:tl2br w:val="nil"/>
              <w:tr2bl w:val="nil"/>
            </w:tcBorders>
            <w:shd w:val="clear" w:color="auto" w:fill="auto"/>
            <w:noWrap/>
            <w:tcMar>
              <w:top w:w="15" w:type="dxa"/>
              <w:left w:w="15" w:type="dxa"/>
              <w:right w:w="15" w:type="dxa"/>
            </w:tcMar>
            <w:vAlign w:val="center"/>
          </w:tcPr>
          <w:p w14:paraId="3485F14C">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局部夹少量灰白色高岭土，含少量氧化物</w:t>
            </w:r>
          </w:p>
        </w:tc>
      </w:tr>
      <w:tr w14:paraId="343580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922" w:type="dxa"/>
            <w:vMerge w:val="continue"/>
            <w:tcBorders>
              <w:tl2br w:val="nil"/>
              <w:tr2bl w:val="nil"/>
            </w:tcBorders>
            <w:shd w:val="clear" w:color="auto" w:fill="auto"/>
            <w:noWrap/>
            <w:tcMar>
              <w:top w:w="15" w:type="dxa"/>
              <w:left w:w="15" w:type="dxa"/>
              <w:right w:w="15" w:type="dxa"/>
            </w:tcMar>
            <w:vAlign w:val="center"/>
          </w:tcPr>
          <w:p w14:paraId="2745517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900" w:type="dxa"/>
            <w:tcBorders>
              <w:tl2br w:val="nil"/>
              <w:tr2bl w:val="nil"/>
            </w:tcBorders>
            <w:shd w:val="clear" w:color="auto" w:fill="auto"/>
            <w:noWrap/>
            <w:tcMar>
              <w:top w:w="15" w:type="dxa"/>
              <w:left w:w="15" w:type="dxa"/>
              <w:right w:w="15" w:type="dxa"/>
            </w:tcMar>
            <w:vAlign w:val="center"/>
          </w:tcPr>
          <w:p w14:paraId="1B36E6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5.0~12.0</w:t>
            </w:r>
          </w:p>
        </w:tc>
        <w:tc>
          <w:tcPr>
            <w:tcW w:w="887" w:type="dxa"/>
            <w:tcBorders>
              <w:tl2br w:val="nil"/>
              <w:tr2bl w:val="nil"/>
            </w:tcBorders>
            <w:shd w:val="clear" w:color="auto" w:fill="auto"/>
            <w:noWrap/>
            <w:tcMar>
              <w:top w:w="15" w:type="dxa"/>
              <w:left w:w="15" w:type="dxa"/>
              <w:right w:w="15" w:type="dxa"/>
            </w:tcMar>
            <w:vAlign w:val="center"/>
          </w:tcPr>
          <w:p w14:paraId="770C72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粘土</w:t>
            </w:r>
          </w:p>
        </w:tc>
        <w:tc>
          <w:tcPr>
            <w:tcW w:w="667" w:type="dxa"/>
            <w:tcBorders>
              <w:tl2br w:val="nil"/>
              <w:tr2bl w:val="nil"/>
            </w:tcBorders>
            <w:shd w:val="clear" w:color="auto" w:fill="auto"/>
            <w:noWrap/>
            <w:tcMar>
              <w:top w:w="15" w:type="dxa"/>
              <w:left w:w="15" w:type="dxa"/>
              <w:right w:w="15" w:type="dxa"/>
            </w:tcMar>
            <w:vAlign w:val="center"/>
          </w:tcPr>
          <w:p w14:paraId="73FF44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黄褐</w:t>
            </w:r>
          </w:p>
        </w:tc>
        <w:tc>
          <w:tcPr>
            <w:tcW w:w="865" w:type="dxa"/>
            <w:tcBorders>
              <w:tl2br w:val="nil"/>
              <w:tr2bl w:val="nil"/>
            </w:tcBorders>
            <w:shd w:val="clear" w:color="auto" w:fill="auto"/>
            <w:noWrap/>
            <w:tcMar>
              <w:top w:w="15" w:type="dxa"/>
              <w:left w:w="15" w:type="dxa"/>
              <w:right w:w="15" w:type="dxa"/>
            </w:tcMar>
            <w:vAlign w:val="center"/>
          </w:tcPr>
          <w:p w14:paraId="57E7E0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822" w:type="dxa"/>
            <w:tcBorders>
              <w:tl2br w:val="nil"/>
              <w:tr2bl w:val="nil"/>
            </w:tcBorders>
            <w:shd w:val="clear" w:color="auto" w:fill="auto"/>
            <w:noWrap/>
            <w:tcMar>
              <w:top w:w="15" w:type="dxa"/>
              <w:left w:w="15" w:type="dxa"/>
              <w:right w:w="15" w:type="dxa"/>
            </w:tcMar>
            <w:vAlign w:val="center"/>
          </w:tcPr>
          <w:p w14:paraId="5CAF58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825" w:type="dxa"/>
            <w:tcBorders>
              <w:tl2br w:val="nil"/>
              <w:tr2bl w:val="nil"/>
            </w:tcBorders>
            <w:shd w:val="clear" w:color="auto" w:fill="auto"/>
            <w:noWrap/>
            <w:tcMar>
              <w:top w:w="15" w:type="dxa"/>
              <w:left w:w="15" w:type="dxa"/>
              <w:right w:w="15" w:type="dxa"/>
            </w:tcMar>
            <w:vAlign w:val="center"/>
          </w:tcPr>
          <w:p w14:paraId="0CF746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可塑</w:t>
            </w:r>
          </w:p>
        </w:tc>
        <w:tc>
          <w:tcPr>
            <w:tcW w:w="4130" w:type="dxa"/>
            <w:tcBorders>
              <w:tl2br w:val="nil"/>
              <w:tr2bl w:val="nil"/>
            </w:tcBorders>
            <w:shd w:val="clear" w:color="auto" w:fill="auto"/>
            <w:noWrap/>
            <w:tcMar>
              <w:top w:w="15" w:type="dxa"/>
              <w:left w:w="15" w:type="dxa"/>
              <w:right w:w="15" w:type="dxa"/>
            </w:tcMar>
            <w:vAlign w:val="center"/>
          </w:tcPr>
          <w:p w14:paraId="15E16CBA">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切面光滑，局部夹少量灰白色高岭土，含少量氧化物</w:t>
            </w:r>
          </w:p>
        </w:tc>
      </w:tr>
    </w:tbl>
    <w:p w14:paraId="7CFA06AA">
      <w:pPr>
        <w:pStyle w:val="5"/>
        <w:keepLines w:val="0"/>
        <w:tabs>
          <w:tab w:val="left" w:pos="425"/>
        </w:tabs>
        <w:spacing w:before="0" w:after="0" w:line="360" w:lineRule="auto"/>
        <w:rPr>
          <w:rFonts w:hint="default" w:ascii="Times New Roman" w:hAnsi="Times New Roman" w:cs="Times New Roman"/>
          <w:highlight w:val="none"/>
        </w:rPr>
      </w:pPr>
      <w:r>
        <w:rPr>
          <w:rFonts w:hint="default" w:ascii="Times New Roman" w:hAnsi="Times New Roman" w:cs="Times New Roman"/>
          <w:highlight w:val="none"/>
        </w:rPr>
        <w:t>水文地质条件</w:t>
      </w:r>
    </w:p>
    <w:p w14:paraId="29EC232F">
      <w:pPr>
        <w:pStyle w:val="31"/>
        <w:adjustRightInd w:val="0"/>
        <w:snapToGrid w:val="0"/>
        <w:spacing w:after="0"/>
        <w:ind w:firstLine="480"/>
        <w:rPr>
          <w:rFonts w:hint="default" w:ascii="Times New Roman" w:hAnsi="Times New Roman" w:cs="Times New Roman"/>
          <w:color w:val="000000"/>
          <w:highlight w:val="none"/>
        </w:rPr>
      </w:pPr>
      <w:r>
        <w:rPr>
          <w:rFonts w:hint="default" w:ascii="Times New Roman" w:hAnsi="Times New Roman" w:cs="Times New Roman"/>
          <w:color w:val="000000"/>
          <w:highlight w:val="none"/>
        </w:rPr>
        <w:t>根据现场情况判断，</w:t>
      </w:r>
      <w:r>
        <w:rPr>
          <w:rFonts w:hint="default" w:ascii="Times New Roman" w:hAnsi="Times New Roman" w:cs="Times New Roman"/>
          <w:highlight w:val="none"/>
          <w:lang w:eastAsia="zh-CN"/>
        </w:rPr>
        <w:t>本次调查钻探的</w:t>
      </w:r>
      <w:r>
        <w:rPr>
          <w:rFonts w:hint="default" w:ascii="Times New Roman" w:hAnsi="Times New Roman" w:cs="Times New Roman"/>
          <w:color w:val="000000"/>
          <w:highlight w:val="none"/>
        </w:rPr>
        <w:t>地下水类型为</w:t>
      </w:r>
      <w:r>
        <w:rPr>
          <w:rFonts w:hint="default" w:ascii="Times New Roman" w:hAnsi="Times New Roman" w:cs="Times New Roman"/>
          <w:color w:val="000000"/>
          <w:highlight w:val="none"/>
          <w:lang w:eastAsia="zh-CN"/>
        </w:rPr>
        <w:t>潜水</w:t>
      </w:r>
      <w:r>
        <w:rPr>
          <w:rFonts w:hint="eastAsia" w:cs="Times New Roman"/>
          <w:color w:val="000000"/>
          <w:highlight w:val="none"/>
          <w:lang w:val="en-US" w:eastAsia="zh-CN"/>
        </w:rPr>
        <w:t>和裂隙承压水</w:t>
      </w:r>
      <w:r>
        <w:rPr>
          <w:rFonts w:hint="default" w:ascii="Times New Roman" w:hAnsi="Times New Roman" w:cs="Times New Roman"/>
          <w:color w:val="000000"/>
          <w:highlight w:val="none"/>
          <w:lang w:eastAsia="zh-CN"/>
        </w:rPr>
        <w:t>，</w:t>
      </w:r>
      <w:r>
        <w:rPr>
          <w:rFonts w:hint="default" w:ascii="Times New Roman" w:hAnsi="Times New Roman" w:cs="Times New Roman"/>
          <w:color w:val="000000"/>
          <w:highlight w:val="none"/>
        </w:rPr>
        <w:t>本次调查最大钻探深度为</w:t>
      </w:r>
      <w:r>
        <w:rPr>
          <w:rFonts w:hint="default" w:ascii="Times New Roman" w:hAnsi="Times New Roman" w:cs="Times New Roman"/>
          <w:color w:val="000000"/>
          <w:highlight w:val="none"/>
          <w:lang w:val="en-US" w:eastAsia="zh-CN"/>
        </w:rPr>
        <w:t>12</w:t>
      </w:r>
      <w:r>
        <w:rPr>
          <w:rFonts w:hint="default" w:ascii="Times New Roman" w:hAnsi="Times New Roman" w:cs="Times New Roman"/>
          <w:color w:val="000000"/>
          <w:highlight w:val="none"/>
        </w:rPr>
        <w:t>.0m，现场测得的地下水</w:t>
      </w:r>
      <w:r>
        <w:rPr>
          <w:rFonts w:hint="default" w:ascii="Times New Roman" w:hAnsi="Times New Roman" w:cs="Times New Roman"/>
          <w:color w:val="000000"/>
          <w:highlight w:val="none"/>
          <w:lang w:eastAsia="zh-CN"/>
        </w:rPr>
        <w:t>相关信息</w:t>
      </w:r>
      <w:r>
        <w:rPr>
          <w:rFonts w:hint="default" w:ascii="Times New Roman" w:hAnsi="Times New Roman" w:cs="Times New Roman"/>
          <w:color w:val="000000"/>
          <w:highlight w:val="none"/>
        </w:rPr>
        <w:t>数据见表4-3-</w:t>
      </w:r>
      <w:r>
        <w:rPr>
          <w:rFonts w:hint="default" w:ascii="Times New Roman" w:hAnsi="Times New Roman" w:cs="Times New Roman"/>
          <w:color w:val="000000"/>
          <w:highlight w:val="none"/>
          <w:lang w:val="en-US" w:eastAsia="zh-CN"/>
        </w:rPr>
        <w:t>4</w:t>
      </w:r>
      <w:r>
        <w:rPr>
          <w:rFonts w:hint="default" w:ascii="Times New Roman" w:hAnsi="Times New Roman" w:cs="Times New Roman"/>
          <w:color w:val="000000"/>
          <w:highlight w:val="none"/>
        </w:rPr>
        <w:t>。</w:t>
      </w:r>
    </w:p>
    <w:p w14:paraId="0BC764A4">
      <w:pPr>
        <w:pStyle w:val="5"/>
        <w:tabs>
          <w:tab w:val="left" w:pos="425"/>
        </w:tabs>
        <w:bidi w:val="0"/>
        <w:rPr>
          <w:rFonts w:hint="default" w:ascii="Times New Roman" w:hAnsi="Times New Roman" w:cs="Times New Roman"/>
          <w:highlight w:val="none"/>
        </w:rPr>
      </w:pPr>
      <w:r>
        <w:rPr>
          <w:rFonts w:hint="default" w:ascii="Times New Roman" w:hAnsi="Times New Roman" w:cs="Times New Roman"/>
          <w:highlight w:val="none"/>
        </w:rPr>
        <w:t>样品质量控制</w:t>
      </w:r>
    </w:p>
    <w:p w14:paraId="226969CA">
      <w:pPr>
        <w:pStyle w:val="31"/>
        <w:keepNext w:val="0"/>
        <w:keepLines w:val="0"/>
        <w:pageBreakBefore w:val="0"/>
        <w:widowControl w:val="0"/>
        <w:kinsoku/>
        <w:wordWrap/>
        <w:overflowPunct/>
        <w:topLinePunct w:val="0"/>
        <w:autoSpaceDE/>
        <w:autoSpaceDN/>
        <w:bidi w:val="0"/>
        <w:adjustRightInd w:val="0"/>
        <w:snapToGrid w:val="0"/>
        <w:spacing w:after="0"/>
        <w:ind w:firstLine="480"/>
        <w:textAlignment w:val="auto"/>
        <w:rPr>
          <w:rFonts w:hint="default" w:ascii="Times New Roman" w:hAnsi="Times New Roman" w:cs="Times New Roman"/>
          <w:color w:val="000000"/>
          <w:highlight w:val="none"/>
          <w:lang w:eastAsia="zh-CN"/>
        </w:rPr>
      </w:pPr>
      <w:r>
        <w:rPr>
          <w:rFonts w:hint="default" w:ascii="Times New Roman" w:hAnsi="Times New Roman" w:cs="Times New Roman"/>
          <w:color w:val="000000"/>
          <w:highlight w:val="none"/>
        </w:rPr>
        <w:t>采样人员均已通过岗前培训、持证上岗，切实掌握土壤、地下水采样技术，熟知采样器具的使用和样品固定、保存、运输条件。同批次水样</w:t>
      </w:r>
      <w:r>
        <w:rPr>
          <w:rFonts w:hint="default" w:ascii="Times New Roman" w:hAnsi="Times New Roman" w:cs="Times New Roman"/>
          <w:color w:val="000000"/>
          <w:highlight w:val="none"/>
          <w:lang w:eastAsia="zh-CN"/>
        </w:rPr>
        <w:t>、土样</w:t>
      </w:r>
      <w:r>
        <w:rPr>
          <w:rFonts w:hint="default" w:ascii="Times New Roman" w:hAnsi="Times New Roman" w:cs="Times New Roman"/>
          <w:color w:val="000000"/>
          <w:highlight w:val="none"/>
        </w:rPr>
        <w:t>，加采现场平行样。每次测试结束后，除必要的留存样外，样品容器均及时清洗</w:t>
      </w:r>
      <w:r>
        <w:rPr>
          <w:rFonts w:hint="default" w:ascii="Times New Roman" w:hAnsi="Times New Roman" w:cs="Times New Roman"/>
          <w:color w:val="000000"/>
          <w:highlight w:val="none"/>
          <w:lang w:eastAsia="zh-CN"/>
        </w:rPr>
        <w:t>。</w:t>
      </w:r>
    </w:p>
    <w:p w14:paraId="0C9D07C6">
      <w:pPr>
        <w:pStyle w:val="31"/>
        <w:keepNext w:val="0"/>
        <w:keepLines w:val="0"/>
        <w:pageBreakBefore w:val="0"/>
        <w:widowControl w:val="0"/>
        <w:kinsoku/>
        <w:wordWrap/>
        <w:overflowPunct/>
        <w:topLinePunct w:val="0"/>
        <w:autoSpaceDE/>
        <w:autoSpaceDN/>
        <w:bidi w:val="0"/>
        <w:adjustRightInd w:val="0"/>
        <w:snapToGrid w:val="0"/>
        <w:spacing w:after="0"/>
        <w:ind w:firstLine="48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本</w:t>
      </w:r>
      <w:r>
        <w:rPr>
          <w:rFonts w:hint="eastAsia" w:cs="Times New Roman"/>
          <w:color w:val="000000"/>
          <w:highlight w:val="none"/>
          <w:lang w:val="en-US" w:eastAsia="zh-CN"/>
        </w:rPr>
        <w:t>园区</w:t>
      </w:r>
      <w:r>
        <w:rPr>
          <w:rFonts w:hint="default" w:ascii="Times New Roman" w:hAnsi="Times New Roman" w:cs="Times New Roman"/>
          <w:color w:val="000000"/>
          <w:highlight w:val="none"/>
        </w:rPr>
        <w:t>调查实际共采集</w:t>
      </w:r>
      <w:r>
        <w:rPr>
          <w:rFonts w:hint="default" w:ascii="Times New Roman" w:hAnsi="Times New Roman" w:cs="Times New Roman"/>
          <w:color w:val="000000"/>
          <w:highlight w:val="none"/>
          <w:lang w:val="en-US" w:eastAsia="zh-CN"/>
        </w:rPr>
        <w:t>3</w:t>
      </w:r>
      <w:r>
        <w:rPr>
          <w:rFonts w:hint="default" w:ascii="Times New Roman" w:hAnsi="Times New Roman" w:cs="Times New Roman"/>
          <w:color w:val="000000"/>
          <w:highlight w:val="none"/>
        </w:rPr>
        <w:t>个</w:t>
      </w:r>
      <w:r>
        <w:rPr>
          <w:rFonts w:hint="default" w:ascii="Times New Roman" w:hAnsi="Times New Roman" w:cs="Times New Roman"/>
          <w:color w:val="000000"/>
          <w:highlight w:val="none"/>
          <w:lang w:eastAsia="zh-CN"/>
        </w:rPr>
        <w:t>土壤</w:t>
      </w:r>
      <w:r>
        <w:rPr>
          <w:rFonts w:hint="default" w:ascii="Times New Roman" w:hAnsi="Times New Roman" w:cs="Times New Roman"/>
          <w:color w:val="000000"/>
          <w:highlight w:val="none"/>
        </w:rPr>
        <w:t>平行</w:t>
      </w:r>
      <w:r>
        <w:rPr>
          <w:rFonts w:hint="default" w:ascii="Times New Roman" w:hAnsi="Times New Roman" w:cs="Times New Roman"/>
          <w:color w:val="000000"/>
          <w:highlight w:val="none"/>
          <w:lang w:eastAsia="zh-CN"/>
        </w:rPr>
        <w:t>盲</w:t>
      </w:r>
      <w:r>
        <w:rPr>
          <w:rFonts w:hint="default" w:ascii="Times New Roman" w:hAnsi="Times New Roman" w:cs="Times New Roman"/>
          <w:color w:val="000000"/>
          <w:highlight w:val="none"/>
        </w:rPr>
        <w:t>样，具体布设情况见表4-</w:t>
      </w:r>
      <w:r>
        <w:rPr>
          <w:rFonts w:hint="default" w:ascii="Times New Roman" w:hAnsi="Times New Roman" w:cs="Times New Roman"/>
          <w:color w:val="000000"/>
          <w:highlight w:val="none"/>
          <w:lang w:val="en-US" w:eastAsia="zh-CN"/>
        </w:rPr>
        <w:t>3</w:t>
      </w:r>
      <w:r>
        <w:rPr>
          <w:rFonts w:hint="default" w:ascii="Times New Roman" w:hAnsi="Times New Roman" w:cs="Times New Roman"/>
          <w:color w:val="000000"/>
          <w:highlight w:val="none"/>
        </w:rPr>
        <w:t>-</w:t>
      </w:r>
      <w:r>
        <w:rPr>
          <w:rFonts w:hint="eastAsia" w:cs="Times New Roman"/>
          <w:color w:val="000000"/>
          <w:highlight w:val="none"/>
          <w:lang w:val="en-US" w:eastAsia="zh-CN"/>
        </w:rPr>
        <w:t>2</w:t>
      </w:r>
      <w:r>
        <w:rPr>
          <w:rFonts w:hint="default" w:ascii="Times New Roman" w:hAnsi="Times New Roman" w:cs="Times New Roman"/>
          <w:color w:val="000000"/>
          <w:highlight w:val="none"/>
        </w:rPr>
        <w:t>。</w:t>
      </w:r>
    </w:p>
    <w:p w14:paraId="65C9B764">
      <w:pPr>
        <w:pStyle w:val="34"/>
        <w:keepNext w:val="0"/>
        <w:keepLines w:val="0"/>
        <w:pageBreakBefore w:val="0"/>
        <w:widowControl w:val="0"/>
        <w:kinsoku/>
        <w:wordWrap/>
        <w:overflowPunct/>
        <w:topLinePunct w:val="0"/>
        <w:autoSpaceDE/>
        <w:autoSpaceDN/>
        <w:bidi w:val="0"/>
        <w:adjustRightInd/>
        <w:snapToGrid/>
        <w:spacing w:before="0" w:beforeLines="0" w:line="240" w:lineRule="auto"/>
        <w:textAlignment w:val="auto"/>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highlight w:val="none"/>
        </w:rPr>
        <w:t>表4-3-</w:t>
      </w:r>
      <w:r>
        <w:rPr>
          <w:rFonts w:hint="default" w:ascii="Times New Roman" w:hAnsi="Times New Roman" w:eastAsia="宋体" w:cs="Times New Roman"/>
          <w:color w:val="000000"/>
          <w:highlight w:val="none"/>
          <w:lang w:val="en-US" w:eastAsia="zh-CN"/>
        </w:rPr>
        <w:t>2</w:t>
      </w:r>
      <w:r>
        <w:rPr>
          <w:rFonts w:hint="default" w:ascii="Times New Roman" w:hAnsi="Times New Roman" w:eastAsia="宋体" w:cs="Times New Roman"/>
          <w:color w:val="000000"/>
          <w:highlight w:val="none"/>
        </w:rPr>
        <w:t xml:space="preserve">  </w:t>
      </w:r>
      <w:r>
        <w:rPr>
          <w:rFonts w:hint="default" w:ascii="Times New Roman" w:hAnsi="Times New Roman" w:eastAsia="宋体" w:cs="Times New Roman"/>
          <w:color w:val="000000"/>
          <w:highlight w:val="none"/>
          <w:lang w:eastAsia="zh-CN"/>
        </w:rPr>
        <w:t>调查范围内</w:t>
      </w:r>
      <w:r>
        <w:rPr>
          <w:rFonts w:hint="default" w:ascii="Times New Roman" w:hAnsi="Times New Roman" w:eastAsia="宋体" w:cs="Times New Roman"/>
          <w:color w:val="000000"/>
          <w:highlight w:val="none"/>
        </w:rPr>
        <w:t>平行盲样布设情况</w:t>
      </w:r>
    </w:p>
    <w:tbl>
      <w:tblPr>
        <w:tblStyle w:val="21"/>
        <w:tblW w:w="9798"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38"/>
        <w:gridCol w:w="2330"/>
        <w:gridCol w:w="3022"/>
        <w:gridCol w:w="3108"/>
      </w:tblGrid>
      <w:tr w14:paraId="1AA40B7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0" w:hRule="atLeast"/>
          <w:tblHeader/>
        </w:trPr>
        <w:tc>
          <w:tcPr>
            <w:tcW w:w="1338" w:type="dxa"/>
            <w:tcBorders>
              <w:bottom w:val="single" w:color="auto" w:sz="12" w:space="0"/>
            </w:tcBorders>
            <w:noWrap w:val="0"/>
            <w:vAlign w:val="center"/>
          </w:tcPr>
          <w:p w14:paraId="41BD77F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000000"/>
                <w:kern w:val="0"/>
                <w:sz w:val="21"/>
                <w:szCs w:val="21"/>
                <w:highlight w:val="none"/>
              </w:rPr>
            </w:pPr>
            <w:r>
              <w:rPr>
                <w:rFonts w:hint="default" w:ascii="Times New Roman" w:hAnsi="Times New Roman" w:cs="Times New Roman"/>
                <w:b/>
                <w:color w:val="000000"/>
                <w:kern w:val="0"/>
                <w:sz w:val="21"/>
                <w:szCs w:val="21"/>
                <w:highlight w:val="none"/>
              </w:rPr>
              <w:t>序号</w:t>
            </w:r>
          </w:p>
        </w:tc>
        <w:tc>
          <w:tcPr>
            <w:tcW w:w="2330" w:type="dxa"/>
            <w:tcBorders>
              <w:bottom w:val="single" w:color="auto" w:sz="12" w:space="0"/>
            </w:tcBorders>
            <w:noWrap w:val="0"/>
            <w:vAlign w:val="center"/>
          </w:tcPr>
          <w:p w14:paraId="55C7D2F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000000"/>
                <w:kern w:val="0"/>
                <w:sz w:val="21"/>
                <w:szCs w:val="21"/>
                <w:highlight w:val="none"/>
              </w:rPr>
            </w:pPr>
            <w:r>
              <w:rPr>
                <w:rFonts w:hint="default" w:ascii="Times New Roman" w:hAnsi="Times New Roman" w:cs="Times New Roman"/>
                <w:b/>
                <w:color w:val="000000"/>
                <w:kern w:val="0"/>
                <w:sz w:val="21"/>
                <w:szCs w:val="21"/>
                <w:highlight w:val="none"/>
              </w:rPr>
              <w:t>平行盲样编号</w:t>
            </w:r>
          </w:p>
        </w:tc>
        <w:tc>
          <w:tcPr>
            <w:tcW w:w="3022" w:type="dxa"/>
            <w:tcBorders>
              <w:bottom w:val="single" w:color="auto" w:sz="12" w:space="0"/>
            </w:tcBorders>
            <w:noWrap w:val="0"/>
            <w:vAlign w:val="center"/>
          </w:tcPr>
          <w:p w14:paraId="0236F3F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000000"/>
                <w:kern w:val="0"/>
                <w:sz w:val="21"/>
                <w:szCs w:val="21"/>
                <w:highlight w:val="none"/>
              </w:rPr>
            </w:pPr>
            <w:r>
              <w:rPr>
                <w:rFonts w:hint="default" w:ascii="Times New Roman" w:hAnsi="Times New Roman" w:cs="Times New Roman"/>
                <w:b/>
                <w:color w:val="000000"/>
                <w:kern w:val="0"/>
                <w:sz w:val="21"/>
                <w:szCs w:val="21"/>
                <w:highlight w:val="none"/>
              </w:rPr>
              <w:t>对应采样点位信息</w:t>
            </w:r>
          </w:p>
        </w:tc>
        <w:tc>
          <w:tcPr>
            <w:tcW w:w="3108" w:type="dxa"/>
            <w:tcBorders>
              <w:bottom w:val="single" w:color="auto" w:sz="12" w:space="0"/>
            </w:tcBorders>
            <w:noWrap w:val="0"/>
            <w:vAlign w:val="center"/>
          </w:tcPr>
          <w:p w14:paraId="4EF8FB2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color w:val="000000"/>
                <w:kern w:val="0"/>
                <w:sz w:val="21"/>
                <w:szCs w:val="21"/>
                <w:highlight w:val="none"/>
              </w:rPr>
            </w:pPr>
            <w:r>
              <w:rPr>
                <w:rFonts w:hint="default" w:ascii="Times New Roman" w:hAnsi="Times New Roman" w:cs="Times New Roman"/>
                <w:b/>
                <w:color w:val="000000"/>
                <w:kern w:val="0"/>
                <w:sz w:val="21"/>
                <w:szCs w:val="21"/>
                <w:highlight w:val="none"/>
              </w:rPr>
              <w:t>样品类型</w:t>
            </w:r>
          </w:p>
        </w:tc>
      </w:tr>
      <w:tr w14:paraId="66A366F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1338" w:type="dxa"/>
            <w:tcBorders>
              <w:top w:val="single" w:color="auto" w:sz="12" w:space="0"/>
            </w:tcBorders>
            <w:noWrap w:val="0"/>
            <w:vAlign w:val="center"/>
          </w:tcPr>
          <w:p w14:paraId="754C55B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kern w:val="0"/>
                <w:sz w:val="21"/>
                <w:szCs w:val="21"/>
                <w:highlight w:val="none"/>
              </w:rPr>
            </w:pPr>
            <w:r>
              <w:rPr>
                <w:rFonts w:hint="default" w:ascii="Times New Roman" w:hAnsi="Times New Roman" w:cs="Times New Roman"/>
                <w:color w:val="000000"/>
                <w:kern w:val="0"/>
                <w:sz w:val="21"/>
                <w:szCs w:val="21"/>
                <w:highlight w:val="none"/>
              </w:rPr>
              <w:t>1</w:t>
            </w:r>
          </w:p>
        </w:tc>
        <w:tc>
          <w:tcPr>
            <w:tcW w:w="2330" w:type="dxa"/>
            <w:tcBorders>
              <w:top w:val="single" w:color="auto" w:sz="12" w:space="0"/>
            </w:tcBorders>
            <w:noWrap w:val="0"/>
            <w:vAlign w:val="center"/>
          </w:tcPr>
          <w:p w14:paraId="23F597E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Cs/>
                <w:color w:val="000000"/>
                <w:sz w:val="21"/>
                <w:szCs w:val="21"/>
                <w:highlight w:val="none"/>
              </w:rPr>
            </w:pPr>
            <w:r>
              <w:rPr>
                <w:rFonts w:hint="default" w:ascii="Times New Roman" w:hAnsi="Times New Roman" w:cs="Times New Roman"/>
                <w:bCs/>
                <w:color w:val="000000"/>
                <w:sz w:val="21"/>
                <w:szCs w:val="21"/>
                <w:highlight w:val="none"/>
              </w:rPr>
              <w:t>QC-1</w:t>
            </w:r>
          </w:p>
        </w:tc>
        <w:tc>
          <w:tcPr>
            <w:tcW w:w="3022" w:type="dxa"/>
            <w:tcBorders>
              <w:top w:val="single" w:color="auto" w:sz="12" w:space="0"/>
            </w:tcBorders>
            <w:noWrap w:val="0"/>
            <w:vAlign w:val="center"/>
          </w:tcPr>
          <w:p w14:paraId="1DFD5F9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sz w:val="21"/>
                <w:szCs w:val="21"/>
                <w:highlight w:val="none"/>
                <w:lang w:val="en-US" w:eastAsia="zh-CN"/>
              </w:rPr>
            </w:pPr>
            <w:r>
              <w:rPr>
                <w:rFonts w:hint="default" w:ascii="Times New Roman" w:hAnsi="Times New Roman" w:cs="Times New Roman"/>
                <w:bCs/>
                <w:color w:val="000000"/>
                <w:sz w:val="21"/>
                <w:szCs w:val="21"/>
                <w:highlight w:val="none"/>
                <w:lang w:val="en-US" w:eastAsia="zh-CN"/>
              </w:rPr>
              <w:t>HR-1-400</w:t>
            </w:r>
          </w:p>
        </w:tc>
        <w:tc>
          <w:tcPr>
            <w:tcW w:w="3108" w:type="dxa"/>
            <w:tcBorders>
              <w:top w:val="single" w:color="auto" w:sz="12" w:space="0"/>
            </w:tcBorders>
            <w:noWrap w:val="0"/>
            <w:vAlign w:val="center"/>
          </w:tcPr>
          <w:p w14:paraId="0AA4B03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kern w:val="0"/>
                <w:sz w:val="21"/>
                <w:szCs w:val="21"/>
                <w:highlight w:val="none"/>
              </w:rPr>
            </w:pPr>
            <w:r>
              <w:rPr>
                <w:rFonts w:hint="default" w:ascii="Times New Roman" w:hAnsi="Times New Roman" w:cs="Times New Roman"/>
                <w:color w:val="000000"/>
                <w:kern w:val="0"/>
                <w:sz w:val="21"/>
                <w:szCs w:val="21"/>
                <w:highlight w:val="none"/>
              </w:rPr>
              <w:t>土壤</w:t>
            </w:r>
          </w:p>
        </w:tc>
      </w:tr>
      <w:tr w14:paraId="0AF1638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1338" w:type="dxa"/>
            <w:noWrap w:val="0"/>
            <w:vAlign w:val="center"/>
          </w:tcPr>
          <w:p w14:paraId="42D1084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kern w:val="0"/>
                <w:sz w:val="21"/>
                <w:szCs w:val="21"/>
                <w:highlight w:val="none"/>
              </w:rPr>
            </w:pPr>
            <w:r>
              <w:rPr>
                <w:rFonts w:hint="default" w:ascii="Times New Roman" w:hAnsi="Times New Roman" w:cs="Times New Roman"/>
                <w:color w:val="000000"/>
                <w:kern w:val="0"/>
                <w:sz w:val="21"/>
                <w:szCs w:val="21"/>
                <w:highlight w:val="none"/>
              </w:rPr>
              <w:t>2</w:t>
            </w:r>
          </w:p>
        </w:tc>
        <w:tc>
          <w:tcPr>
            <w:tcW w:w="2330" w:type="dxa"/>
            <w:noWrap w:val="0"/>
            <w:vAlign w:val="center"/>
          </w:tcPr>
          <w:p w14:paraId="50156CA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Cs/>
                <w:color w:val="000000"/>
                <w:sz w:val="21"/>
                <w:szCs w:val="21"/>
                <w:highlight w:val="none"/>
              </w:rPr>
            </w:pPr>
            <w:r>
              <w:rPr>
                <w:rFonts w:hint="default" w:ascii="Times New Roman" w:hAnsi="Times New Roman" w:cs="Times New Roman"/>
                <w:bCs/>
                <w:color w:val="000000"/>
                <w:sz w:val="21"/>
                <w:szCs w:val="21"/>
                <w:highlight w:val="none"/>
              </w:rPr>
              <w:t>QC-2</w:t>
            </w:r>
          </w:p>
        </w:tc>
        <w:tc>
          <w:tcPr>
            <w:tcW w:w="3022" w:type="dxa"/>
            <w:noWrap w:val="0"/>
            <w:vAlign w:val="center"/>
          </w:tcPr>
          <w:p w14:paraId="78E4512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sz w:val="21"/>
                <w:szCs w:val="21"/>
                <w:highlight w:val="none"/>
                <w:lang w:val="en-US" w:eastAsia="zh-CN"/>
              </w:rPr>
            </w:pPr>
            <w:r>
              <w:rPr>
                <w:rFonts w:hint="default" w:ascii="Times New Roman" w:hAnsi="Times New Roman" w:cs="Times New Roman"/>
                <w:bCs/>
                <w:color w:val="000000"/>
                <w:sz w:val="21"/>
                <w:szCs w:val="21"/>
                <w:highlight w:val="none"/>
                <w:lang w:val="en-US" w:eastAsia="zh-CN"/>
              </w:rPr>
              <w:t>HR-JJ-1</w:t>
            </w:r>
          </w:p>
        </w:tc>
        <w:tc>
          <w:tcPr>
            <w:tcW w:w="3108" w:type="dxa"/>
            <w:noWrap w:val="0"/>
            <w:vAlign w:val="center"/>
          </w:tcPr>
          <w:p w14:paraId="48FC1FF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kern w:val="0"/>
                <w:sz w:val="21"/>
                <w:szCs w:val="21"/>
                <w:highlight w:val="none"/>
              </w:rPr>
            </w:pPr>
            <w:r>
              <w:rPr>
                <w:rFonts w:hint="default" w:ascii="Times New Roman" w:hAnsi="Times New Roman" w:cs="Times New Roman"/>
                <w:color w:val="000000"/>
                <w:kern w:val="0"/>
                <w:sz w:val="21"/>
                <w:szCs w:val="21"/>
                <w:highlight w:val="none"/>
              </w:rPr>
              <w:t>土壤</w:t>
            </w:r>
          </w:p>
        </w:tc>
      </w:tr>
      <w:tr w14:paraId="5035CD0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1338" w:type="dxa"/>
            <w:noWrap w:val="0"/>
            <w:vAlign w:val="center"/>
          </w:tcPr>
          <w:p w14:paraId="228EAE1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kern w:val="0"/>
                <w:sz w:val="21"/>
                <w:szCs w:val="21"/>
                <w:highlight w:val="none"/>
              </w:rPr>
            </w:pPr>
            <w:r>
              <w:rPr>
                <w:rFonts w:hint="default" w:ascii="Times New Roman" w:hAnsi="Times New Roman" w:cs="Times New Roman"/>
                <w:color w:val="000000"/>
                <w:kern w:val="0"/>
                <w:sz w:val="21"/>
                <w:szCs w:val="21"/>
                <w:highlight w:val="none"/>
              </w:rPr>
              <w:t>3</w:t>
            </w:r>
          </w:p>
        </w:tc>
        <w:tc>
          <w:tcPr>
            <w:tcW w:w="2330" w:type="dxa"/>
            <w:noWrap w:val="0"/>
            <w:vAlign w:val="center"/>
          </w:tcPr>
          <w:p w14:paraId="74F1D54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sz w:val="21"/>
                <w:szCs w:val="21"/>
                <w:highlight w:val="none"/>
                <w:lang w:val="en-US" w:eastAsia="zh-CN"/>
              </w:rPr>
            </w:pPr>
            <w:r>
              <w:rPr>
                <w:rFonts w:hint="default" w:ascii="Times New Roman" w:hAnsi="Times New Roman" w:cs="Times New Roman"/>
                <w:bCs/>
                <w:color w:val="000000"/>
                <w:sz w:val="21"/>
                <w:szCs w:val="21"/>
                <w:highlight w:val="none"/>
                <w:lang w:val="en-US" w:eastAsia="zh-CN"/>
              </w:rPr>
              <w:t>QC-9</w:t>
            </w:r>
          </w:p>
        </w:tc>
        <w:tc>
          <w:tcPr>
            <w:tcW w:w="3022" w:type="dxa"/>
            <w:noWrap w:val="0"/>
            <w:vAlign w:val="center"/>
          </w:tcPr>
          <w:p w14:paraId="27FD4F6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sz w:val="21"/>
                <w:szCs w:val="21"/>
                <w:highlight w:val="none"/>
                <w:lang w:val="en-US" w:eastAsia="zh-CN"/>
              </w:rPr>
            </w:pPr>
            <w:r>
              <w:rPr>
                <w:rFonts w:hint="default" w:ascii="Times New Roman" w:hAnsi="Times New Roman" w:cs="Times New Roman"/>
                <w:bCs/>
                <w:color w:val="000000"/>
                <w:sz w:val="21"/>
                <w:szCs w:val="21"/>
                <w:highlight w:val="none"/>
                <w:lang w:val="en-US" w:eastAsia="zh-CN"/>
              </w:rPr>
              <w:t>HR-JJ-6</w:t>
            </w:r>
          </w:p>
        </w:tc>
        <w:tc>
          <w:tcPr>
            <w:tcW w:w="3108" w:type="dxa"/>
            <w:noWrap w:val="0"/>
            <w:vAlign w:val="center"/>
          </w:tcPr>
          <w:p w14:paraId="7A6C888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kern w:val="0"/>
                <w:sz w:val="21"/>
                <w:szCs w:val="21"/>
                <w:highlight w:val="none"/>
              </w:rPr>
            </w:pPr>
            <w:r>
              <w:rPr>
                <w:rFonts w:hint="default" w:ascii="Times New Roman" w:hAnsi="Times New Roman" w:cs="Times New Roman"/>
                <w:color w:val="000000"/>
                <w:kern w:val="0"/>
                <w:sz w:val="21"/>
                <w:szCs w:val="21"/>
                <w:highlight w:val="none"/>
              </w:rPr>
              <w:t>土壤</w:t>
            </w:r>
          </w:p>
        </w:tc>
      </w:tr>
    </w:tbl>
    <w:p w14:paraId="24FB33BD">
      <w:pPr>
        <w:pStyle w:val="5"/>
        <w:tabs>
          <w:tab w:val="left" w:pos="425"/>
        </w:tabs>
        <w:bidi w:val="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土壤样品采集</w:t>
      </w:r>
    </w:p>
    <w:p w14:paraId="48C864AE">
      <w:pPr>
        <w:pStyle w:val="31"/>
        <w:adjustRightInd w:val="0"/>
        <w:snapToGrid w:val="0"/>
        <w:spacing w:after="0"/>
        <w:ind w:firstLine="480"/>
        <w:rPr>
          <w:rFonts w:hint="default" w:ascii="Times New Roman" w:hAnsi="Times New Roman" w:eastAsia="宋体" w:cs="Times New Roman"/>
          <w:color w:val="000000"/>
          <w:highlight w:val="none"/>
          <w:lang w:eastAsia="zh-CN"/>
        </w:rPr>
      </w:pPr>
      <w:r>
        <w:rPr>
          <w:rFonts w:hint="default" w:ascii="Times New Roman" w:hAnsi="Times New Roman" w:cs="Times New Roman"/>
          <w:color w:val="000000"/>
          <w:highlight w:val="none"/>
        </w:rPr>
        <w:t>结合</w:t>
      </w:r>
      <w:r>
        <w:rPr>
          <w:rFonts w:hint="eastAsia"/>
          <w:color w:val="000000"/>
          <w:highlight w:val="none"/>
          <w:lang w:val="en-US" w:eastAsia="zh-CN"/>
        </w:rPr>
        <w:t>园区</w:t>
      </w:r>
      <w:r>
        <w:rPr>
          <w:rFonts w:hint="default" w:ascii="Times New Roman" w:hAnsi="Times New Roman" w:cs="Times New Roman"/>
          <w:color w:val="000000"/>
          <w:highlight w:val="none"/>
        </w:rPr>
        <w:t>实际情况，本次调查实际共布设土壤监测点</w:t>
      </w:r>
      <w:r>
        <w:rPr>
          <w:rFonts w:hint="default" w:ascii="Times New Roman" w:hAnsi="Times New Roman" w:cs="Times New Roman"/>
          <w:color w:val="000000"/>
          <w:highlight w:val="none"/>
          <w:lang w:val="en-US" w:eastAsia="zh-CN"/>
        </w:rPr>
        <w:t>20</w:t>
      </w:r>
      <w:r>
        <w:rPr>
          <w:rFonts w:hint="default" w:ascii="Times New Roman" w:hAnsi="Times New Roman" w:cs="Times New Roman"/>
          <w:color w:val="000000"/>
          <w:highlight w:val="none"/>
        </w:rPr>
        <w:t>个，采集土壤样品</w:t>
      </w:r>
      <w:r>
        <w:rPr>
          <w:rFonts w:hint="default" w:ascii="Times New Roman" w:hAnsi="Times New Roman" w:cs="Times New Roman"/>
          <w:color w:val="000000"/>
          <w:highlight w:val="none"/>
          <w:lang w:val="en-US" w:eastAsia="zh-CN"/>
        </w:rPr>
        <w:t>20个，另采集现场平行盲样3个及运输空白样1个</w:t>
      </w:r>
      <w:r>
        <w:rPr>
          <w:rFonts w:hint="default" w:ascii="Times New Roman" w:hAnsi="Times New Roman" w:cs="Times New Roman"/>
          <w:color w:val="000000"/>
          <w:highlight w:val="none"/>
        </w:rPr>
        <w:t>，</w:t>
      </w:r>
      <w:r>
        <w:rPr>
          <w:rFonts w:hint="default" w:ascii="Times New Roman" w:hAnsi="Times New Roman" w:cs="Times New Roman"/>
          <w:color w:val="000000"/>
          <w:highlight w:val="none"/>
          <w:lang w:eastAsia="zh-CN"/>
        </w:rPr>
        <w:t>共</w:t>
      </w:r>
      <w:r>
        <w:rPr>
          <w:rFonts w:hint="default" w:ascii="Times New Roman" w:hAnsi="Times New Roman" w:cs="Times New Roman"/>
          <w:color w:val="000000"/>
          <w:highlight w:val="none"/>
        </w:rPr>
        <w:t>送检土壤样品</w:t>
      </w:r>
      <w:r>
        <w:rPr>
          <w:rFonts w:hint="default" w:ascii="Times New Roman" w:hAnsi="Times New Roman" w:cs="Times New Roman"/>
          <w:color w:val="000000"/>
          <w:highlight w:val="none"/>
          <w:lang w:val="en-US" w:eastAsia="zh-CN"/>
        </w:rPr>
        <w:t>24</w:t>
      </w:r>
      <w:r>
        <w:rPr>
          <w:rFonts w:hint="default" w:ascii="Times New Roman" w:hAnsi="Times New Roman" w:cs="Times New Roman"/>
          <w:color w:val="000000"/>
          <w:highlight w:val="none"/>
        </w:rPr>
        <w:t>个。</w:t>
      </w:r>
      <w:r>
        <w:rPr>
          <w:rFonts w:hint="eastAsia" w:cs="Times New Roman"/>
          <w:color w:val="000000"/>
          <w:highlight w:val="none"/>
          <w:lang w:val="en-US" w:eastAsia="zh-CN"/>
        </w:rPr>
        <w:t>实际采样点位于方案阶段一致，点位位置见表3-1-1</w:t>
      </w:r>
      <w:r>
        <w:rPr>
          <w:rFonts w:hint="default" w:ascii="Times New Roman" w:hAnsi="Times New Roman" w:cs="Times New Roman"/>
          <w:color w:val="000000"/>
          <w:highlight w:val="none"/>
        </w:rPr>
        <w:t>。</w:t>
      </w:r>
      <w:r>
        <w:rPr>
          <w:rFonts w:hint="default" w:ascii="Times New Roman" w:hAnsi="Times New Roman" w:cs="Times New Roman"/>
          <w:color w:val="000000"/>
          <w:highlight w:val="none"/>
          <w:lang w:eastAsia="zh-CN"/>
        </w:rPr>
        <w:t>现场记录见附件</w:t>
      </w:r>
      <w:r>
        <w:rPr>
          <w:rFonts w:hint="default" w:ascii="Times New Roman" w:hAnsi="Times New Roman" w:cs="Times New Roman"/>
          <w:color w:val="000000"/>
          <w:highlight w:val="none"/>
          <w:lang w:val="en-US" w:eastAsia="zh-CN"/>
        </w:rPr>
        <w:t>1</w:t>
      </w:r>
      <w:r>
        <w:rPr>
          <w:rFonts w:hint="default" w:ascii="Times New Roman" w:hAnsi="Times New Roman" w:cs="Times New Roman"/>
          <w:color w:val="000000"/>
          <w:highlight w:val="none"/>
          <w:lang w:eastAsia="zh-CN"/>
        </w:rPr>
        <w:t>，</w:t>
      </w:r>
      <w:r>
        <w:rPr>
          <w:rFonts w:hint="default" w:ascii="Times New Roman" w:hAnsi="Times New Roman" w:cs="Times New Roman"/>
          <w:bCs/>
          <w:caps/>
          <w:color w:val="000000" w:themeColor="text1"/>
          <w:szCs w:val="24"/>
          <w:highlight w:val="none"/>
          <w:lang w:val="en-US" w:eastAsia="zh-CN"/>
          <w14:textFill>
            <w14:solidFill>
              <w14:schemeClr w14:val="tx1"/>
            </w14:solidFill>
          </w14:textFill>
        </w:rPr>
        <w:t>土壤和地下水实际采样点位分布图见附图</w:t>
      </w:r>
      <w:r>
        <w:rPr>
          <w:rFonts w:hint="eastAsia" w:cs="Times New Roman"/>
          <w:bCs/>
          <w:caps/>
          <w:color w:val="000000" w:themeColor="text1"/>
          <w:szCs w:val="24"/>
          <w:highlight w:val="none"/>
          <w:lang w:val="en-US" w:eastAsia="zh-CN"/>
          <w14:textFill>
            <w14:solidFill>
              <w14:schemeClr w14:val="tx1"/>
            </w14:solidFill>
          </w14:textFill>
        </w:rPr>
        <w:t>6</w:t>
      </w:r>
      <w:r>
        <w:rPr>
          <w:rFonts w:hint="default" w:ascii="Times New Roman" w:hAnsi="Times New Roman" w:cs="Times New Roman"/>
          <w:color w:val="000000"/>
          <w:highlight w:val="none"/>
          <w:lang w:eastAsia="zh-CN"/>
        </w:rPr>
        <w:t>。</w:t>
      </w:r>
    </w:p>
    <w:p w14:paraId="45397113">
      <w:pPr>
        <w:pStyle w:val="31"/>
        <w:adjustRightInd w:val="0"/>
        <w:snapToGrid w:val="0"/>
        <w:spacing w:after="0"/>
        <w:ind w:firstLine="480"/>
        <w:rPr>
          <w:rFonts w:hint="default" w:ascii="Times New Roman" w:hAnsi="Times New Roman" w:cs="Times New Roman"/>
          <w:color w:val="000000"/>
          <w:highlight w:val="none"/>
        </w:rPr>
      </w:pPr>
      <w:r>
        <w:rPr>
          <w:rFonts w:hint="eastAsia"/>
          <w:color w:val="000000"/>
          <w:highlight w:val="none"/>
          <w:lang w:val="en-US" w:eastAsia="zh-CN"/>
        </w:rPr>
        <w:t>园区</w:t>
      </w:r>
      <w:r>
        <w:rPr>
          <w:rFonts w:hint="default" w:ascii="Times New Roman" w:hAnsi="Times New Roman" w:cs="Times New Roman"/>
          <w:color w:val="000000"/>
          <w:highlight w:val="none"/>
        </w:rPr>
        <w:t>各采样点位土层土壤类型、颜色、湿度、气味、夹杂物情况等性状，以及土壤样品采集情况详见表4-</w:t>
      </w:r>
      <w:r>
        <w:rPr>
          <w:rFonts w:hint="default" w:ascii="Times New Roman" w:hAnsi="Times New Roman" w:cs="Times New Roman"/>
          <w:color w:val="000000"/>
          <w:highlight w:val="none"/>
          <w:lang w:val="en-US" w:eastAsia="zh-CN"/>
        </w:rPr>
        <w:t>3</w:t>
      </w:r>
      <w:r>
        <w:rPr>
          <w:rFonts w:hint="default" w:ascii="Times New Roman" w:hAnsi="Times New Roman" w:cs="Times New Roman"/>
          <w:color w:val="000000"/>
          <w:highlight w:val="none"/>
        </w:rPr>
        <w:t>-</w:t>
      </w:r>
      <w:r>
        <w:rPr>
          <w:rFonts w:hint="eastAsia" w:cs="Times New Roman"/>
          <w:color w:val="000000"/>
          <w:highlight w:val="none"/>
          <w:lang w:val="en-US" w:eastAsia="zh-CN"/>
        </w:rPr>
        <w:t>3</w:t>
      </w:r>
      <w:r>
        <w:rPr>
          <w:rFonts w:hint="default" w:ascii="Times New Roman" w:hAnsi="Times New Roman" w:cs="Times New Roman"/>
          <w:color w:val="000000"/>
          <w:highlight w:val="none"/>
        </w:rPr>
        <w:t>。</w:t>
      </w:r>
    </w:p>
    <w:p w14:paraId="66958653">
      <w:pPr>
        <w:spacing w:line="400" w:lineRule="atLeast"/>
        <w:jc w:val="center"/>
        <w:rPr>
          <w:rFonts w:hint="default" w:ascii="Times New Roman" w:hAnsi="Times New Roman" w:eastAsia="黑体" w:cs="Times New Roman"/>
          <w:b/>
          <w:sz w:val="24"/>
          <w:szCs w:val="20"/>
          <w:highlight w:val="none"/>
        </w:rPr>
        <w:sectPr>
          <w:headerReference r:id="rId13" w:type="default"/>
          <w:pgSz w:w="11849" w:h="16781"/>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0" w:charSpace="0"/>
        </w:sectPr>
      </w:pPr>
    </w:p>
    <w:p w14:paraId="05B9C3AB">
      <w:pPr>
        <w:spacing w:line="400" w:lineRule="atLeast"/>
        <w:jc w:val="center"/>
        <w:rPr>
          <w:rFonts w:hint="default" w:ascii="Times New Roman" w:hAnsi="Times New Roman" w:cs="Times New Roman"/>
          <w:highlight w:val="none"/>
        </w:rPr>
      </w:pPr>
      <w:r>
        <w:rPr>
          <w:rFonts w:hint="default" w:ascii="Times New Roman" w:hAnsi="Times New Roman" w:eastAsia="黑体" w:cs="Times New Roman"/>
          <w:b/>
          <w:sz w:val="24"/>
          <w:szCs w:val="20"/>
          <w:highlight w:val="none"/>
        </w:rPr>
        <w:t>表4-</w:t>
      </w:r>
      <w:r>
        <w:rPr>
          <w:rFonts w:hint="default" w:ascii="Times New Roman" w:hAnsi="Times New Roman" w:eastAsia="黑体" w:cs="Times New Roman"/>
          <w:b/>
          <w:sz w:val="24"/>
          <w:szCs w:val="20"/>
          <w:highlight w:val="none"/>
          <w:lang w:val="en-US" w:eastAsia="zh-CN"/>
        </w:rPr>
        <w:t>3</w:t>
      </w:r>
      <w:r>
        <w:rPr>
          <w:rFonts w:hint="default" w:ascii="Times New Roman" w:hAnsi="Times New Roman" w:eastAsia="黑体" w:cs="Times New Roman"/>
          <w:b/>
          <w:sz w:val="24"/>
          <w:szCs w:val="20"/>
          <w:highlight w:val="none"/>
        </w:rPr>
        <w:t>-</w:t>
      </w:r>
      <w:r>
        <w:rPr>
          <w:rFonts w:hint="default" w:ascii="Times New Roman" w:hAnsi="Times New Roman" w:eastAsia="黑体" w:cs="Times New Roman"/>
          <w:b/>
          <w:sz w:val="24"/>
          <w:szCs w:val="20"/>
          <w:highlight w:val="none"/>
          <w:lang w:val="en-US" w:eastAsia="zh-CN"/>
        </w:rPr>
        <w:t>3</w:t>
      </w:r>
      <w:r>
        <w:rPr>
          <w:rFonts w:hint="default" w:ascii="Times New Roman" w:hAnsi="Times New Roman" w:eastAsia="黑体" w:cs="Times New Roman"/>
          <w:b/>
          <w:sz w:val="24"/>
          <w:szCs w:val="20"/>
          <w:highlight w:val="none"/>
        </w:rPr>
        <w:t xml:space="preserve">  土壤采样点位现场记录统计表</w:t>
      </w:r>
    </w:p>
    <w:tbl>
      <w:tblPr>
        <w:tblStyle w:val="2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42"/>
        <w:gridCol w:w="883"/>
        <w:gridCol w:w="1460"/>
        <w:gridCol w:w="1013"/>
        <w:gridCol w:w="710"/>
        <w:gridCol w:w="910"/>
        <w:gridCol w:w="620"/>
        <w:gridCol w:w="1240"/>
        <w:gridCol w:w="7265"/>
      </w:tblGrid>
      <w:tr w14:paraId="0E9E67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51" w:type="pct"/>
            <w:tcBorders>
              <w:bottom w:val="single" w:color="auto" w:sz="12" w:space="0"/>
              <w:tl2br w:val="nil"/>
              <w:tr2bl w:val="nil"/>
            </w:tcBorders>
            <w:shd w:val="clear" w:color="auto" w:fill="auto"/>
            <w:noWrap/>
            <w:tcMar>
              <w:top w:w="15" w:type="dxa"/>
              <w:left w:w="15" w:type="dxa"/>
              <w:right w:w="15" w:type="dxa"/>
            </w:tcMar>
            <w:vAlign w:val="center"/>
          </w:tcPr>
          <w:p w14:paraId="731889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highlight w:val="none"/>
                <w:u w:val="none"/>
              </w:rPr>
            </w:pPr>
            <w:r>
              <w:rPr>
                <w:rFonts w:hint="default" w:ascii="Times New Roman" w:hAnsi="Times New Roman" w:eastAsia="宋体" w:cs="Times New Roman"/>
                <w:b/>
                <w:bCs w:val="0"/>
                <w:i w:val="0"/>
                <w:color w:val="000000"/>
                <w:kern w:val="0"/>
                <w:sz w:val="21"/>
                <w:szCs w:val="21"/>
                <w:highlight w:val="none"/>
                <w:u w:val="none"/>
                <w:lang w:val="en-US" w:eastAsia="zh-CN" w:bidi="ar"/>
              </w:rPr>
              <w:t>序号</w:t>
            </w:r>
          </w:p>
        </w:tc>
        <w:tc>
          <w:tcPr>
            <w:tcW w:w="303" w:type="pct"/>
            <w:tcBorders>
              <w:bottom w:val="single" w:color="auto" w:sz="12" w:space="0"/>
              <w:tl2br w:val="nil"/>
              <w:tr2bl w:val="nil"/>
            </w:tcBorders>
            <w:shd w:val="clear" w:color="auto" w:fill="auto"/>
            <w:noWrap/>
            <w:tcMar>
              <w:top w:w="15" w:type="dxa"/>
              <w:left w:w="15" w:type="dxa"/>
              <w:right w:w="15" w:type="dxa"/>
            </w:tcMar>
            <w:vAlign w:val="center"/>
          </w:tcPr>
          <w:p w14:paraId="23365F07">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b/>
                <w:bCs w:val="0"/>
                <w:i w:val="0"/>
                <w:color w:val="000000"/>
                <w:kern w:val="0"/>
                <w:sz w:val="21"/>
                <w:szCs w:val="21"/>
                <w:highlight w:val="none"/>
                <w:u w:val="none"/>
                <w:lang w:val="en-US" w:eastAsia="zh-CN" w:bidi="ar"/>
              </w:rPr>
            </w:pPr>
            <w:r>
              <w:rPr>
                <w:rFonts w:hint="default" w:ascii="Times New Roman" w:hAnsi="Times New Roman" w:cs="Times New Roman"/>
                <w:b/>
                <w:bCs/>
                <w:sz w:val="21"/>
                <w:szCs w:val="21"/>
                <w:highlight w:val="none"/>
                <w:lang w:val="en-US" w:eastAsia="zh-CN"/>
              </w:rPr>
              <w:t>点位类型</w:t>
            </w:r>
          </w:p>
        </w:tc>
        <w:tc>
          <w:tcPr>
            <w:tcW w:w="501" w:type="pct"/>
            <w:tcBorders>
              <w:bottom w:val="single" w:color="auto" w:sz="12" w:space="0"/>
              <w:tl2br w:val="nil"/>
              <w:tr2bl w:val="nil"/>
            </w:tcBorders>
            <w:shd w:val="clear" w:color="auto" w:fill="auto"/>
            <w:noWrap/>
            <w:tcMar>
              <w:top w:w="15" w:type="dxa"/>
              <w:left w:w="15" w:type="dxa"/>
              <w:right w:w="15" w:type="dxa"/>
            </w:tcMar>
            <w:vAlign w:val="center"/>
          </w:tcPr>
          <w:p w14:paraId="11C29C93">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b/>
                <w:bCs w:val="0"/>
                <w:i w:val="0"/>
                <w:color w:val="000000"/>
                <w:kern w:val="0"/>
                <w:sz w:val="21"/>
                <w:szCs w:val="21"/>
                <w:highlight w:val="none"/>
                <w:u w:val="none"/>
                <w:lang w:val="en-US" w:eastAsia="zh-CN" w:bidi="ar"/>
              </w:rPr>
            </w:pPr>
            <w:r>
              <w:rPr>
                <w:rFonts w:hint="default" w:ascii="Times New Roman" w:hAnsi="Times New Roman" w:cs="Times New Roman"/>
                <w:b/>
                <w:bCs/>
                <w:sz w:val="21"/>
                <w:szCs w:val="21"/>
                <w:highlight w:val="none"/>
                <w:lang w:val="en-US" w:eastAsia="zh-CN"/>
              </w:rPr>
              <w:t>检测点位</w:t>
            </w:r>
          </w:p>
        </w:tc>
        <w:tc>
          <w:tcPr>
            <w:tcW w:w="348" w:type="pct"/>
            <w:tcBorders>
              <w:bottom w:val="single" w:color="auto" w:sz="12" w:space="0"/>
              <w:tl2br w:val="nil"/>
              <w:tr2bl w:val="nil"/>
            </w:tcBorders>
            <w:shd w:val="clear" w:color="auto" w:fill="auto"/>
            <w:noWrap/>
            <w:tcMar>
              <w:top w:w="15" w:type="dxa"/>
              <w:left w:w="15" w:type="dxa"/>
              <w:right w:w="15" w:type="dxa"/>
            </w:tcMar>
            <w:vAlign w:val="center"/>
          </w:tcPr>
          <w:p w14:paraId="3CEF03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highlight w:val="none"/>
                <w:u w:val="none"/>
              </w:rPr>
            </w:pPr>
            <w:r>
              <w:rPr>
                <w:rFonts w:hint="default" w:ascii="Times New Roman" w:hAnsi="Times New Roman" w:eastAsia="宋体" w:cs="Times New Roman"/>
                <w:b/>
                <w:bCs w:val="0"/>
                <w:i w:val="0"/>
                <w:color w:val="000000"/>
                <w:kern w:val="0"/>
                <w:sz w:val="21"/>
                <w:szCs w:val="21"/>
                <w:highlight w:val="none"/>
                <w:u w:val="none"/>
                <w:lang w:val="en-US" w:eastAsia="zh-CN" w:bidi="ar"/>
              </w:rPr>
              <w:t>土壤类型</w:t>
            </w:r>
          </w:p>
        </w:tc>
        <w:tc>
          <w:tcPr>
            <w:tcW w:w="244" w:type="pct"/>
            <w:tcBorders>
              <w:bottom w:val="single" w:color="auto" w:sz="12" w:space="0"/>
              <w:tl2br w:val="nil"/>
              <w:tr2bl w:val="nil"/>
            </w:tcBorders>
            <w:shd w:val="clear" w:color="auto" w:fill="auto"/>
            <w:noWrap/>
            <w:tcMar>
              <w:top w:w="15" w:type="dxa"/>
              <w:left w:w="15" w:type="dxa"/>
              <w:right w:w="15" w:type="dxa"/>
            </w:tcMar>
            <w:vAlign w:val="center"/>
          </w:tcPr>
          <w:p w14:paraId="7CA8D5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highlight w:val="none"/>
                <w:u w:val="none"/>
              </w:rPr>
            </w:pPr>
            <w:r>
              <w:rPr>
                <w:rFonts w:hint="default" w:ascii="Times New Roman" w:hAnsi="Times New Roman" w:eastAsia="宋体" w:cs="Times New Roman"/>
                <w:b/>
                <w:bCs w:val="0"/>
                <w:i w:val="0"/>
                <w:color w:val="000000"/>
                <w:kern w:val="0"/>
                <w:sz w:val="21"/>
                <w:szCs w:val="21"/>
                <w:highlight w:val="none"/>
                <w:u w:val="none"/>
                <w:lang w:val="en-US" w:eastAsia="zh-CN" w:bidi="ar"/>
              </w:rPr>
              <w:t>颜色</w:t>
            </w:r>
          </w:p>
        </w:tc>
        <w:tc>
          <w:tcPr>
            <w:tcW w:w="312" w:type="pct"/>
            <w:tcBorders>
              <w:bottom w:val="single" w:color="auto" w:sz="12" w:space="0"/>
              <w:tl2br w:val="nil"/>
              <w:tr2bl w:val="nil"/>
            </w:tcBorders>
            <w:shd w:val="clear" w:color="auto" w:fill="auto"/>
            <w:noWrap/>
            <w:tcMar>
              <w:top w:w="15" w:type="dxa"/>
              <w:left w:w="15" w:type="dxa"/>
              <w:right w:w="15" w:type="dxa"/>
            </w:tcMar>
            <w:vAlign w:val="center"/>
          </w:tcPr>
          <w:p w14:paraId="42805F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highlight w:val="none"/>
                <w:u w:val="none"/>
              </w:rPr>
            </w:pPr>
            <w:r>
              <w:rPr>
                <w:rFonts w:hint="default" w:ascii="Times New Roman" w:hAnsi="Times New Roman" w:eastAsia="宋体" w:cs="Times New Roman"/>
                <w:b/>
                <w:bCs w:val="0"/>
                <w:i w:val="0"/>
                <w:color w:val="000000"/>
                <w:kern w:val="0"/>
                <w:sz w:val="21"/>
                <w:szCs w:val="21"/>
                <w:highlight w:val="none"/>
                <w:u w:val="none"/>
                <w:lang w:val="en-US" w:eastAsia="zh-CN" w:bidi="ar"/>
              </w:rPr>
              <w:t>湿度</w:t>
            </w:r>
          </w:p>
        </w:tc>
        <w:tc>
          <w:tcPr>
            <w:tcW w:w="213" w:type="pct"/>
            <w:tcBorders>
              <w:bottom w:val="single" w:color="auto" w:sz="12" w:space="0"/>
              <w:tl2br w:val="nil"/>
              <w:tr2bl w:val="nil"/>
            </w:tcBorders>
            <w:shd w:val="clear" w:color="auto" w:fill="auto"/>
            <w:noWrap/>
            <w:tcMar>
              <w:top w:w="15" w:type="dxa"/>
              <w:left w:w="15" w:type="dxa"/>
              <w:right w:w="15" w:type="dxa"/>
            </w:tcMar>
            <w:vAlign w:val="center"/>
          </w:tcPr>
          <w:p w14:paraId="51F75F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highlight w:val="none"/>
                <w:u w:val="none"/>
              </w:rPr>
            </w:pPr>
            <w:r>
              <w:rPr>
                <w:rFonts w:hint="default" w:ascii="Times New Roman" w:hAnsi="Times New Roman" w:eastAsia="宋体" w:cs="Times New Roman"/>
                <w:b/>
                <w:bCs w:val="0"/>
                <w:i w:val="0"/>
                <w:color w:val="000000"/>
                <w:kern w:val="0"/>
                <w:sz w:val="21"/>
                <w:szCs w:val="21"/>
                <w:highlight w:val="none"/>
                <w:u w:val="none"/>
                <w:lang w:val="en-US" w:eastAsia="zh-CN" w:bidi="ar"/>
              </w:rPr>
              <w:t>气味</w:t>
            </w:r>
          </w:p>
        </w:tc>
        <w:tc>
          <w:tcPr>
            <w:tcW w:w="426" w:type="pct"/>
            <w:tcBorders>
              <w:bottom w:val="single" w:color="auto" w:sz="12" w:space="0"/>
              <w:tl2br w:val="nil"/>
              <w:tr2bl w:val="nil"/>
            </w:tcBorders>
            <w:shd w:val="clear" w:color="auto" w:fill="auto"/>
            <w:noWrap/>
            <w:tcMar>
              <w:top w:w="15" w:type="dxa"/>
              <w:left w:w="15" w:type="dxa"/>
              <w:right w:w="15" w:type="dxa"/>
            </w:tcMar>
            <w:vAlign w:val="center"/>
          </w:tcPr>
          <w:p w14:paraId="00AAB5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highlight w:val="none"/>
                <w:u w:val="none"/>
              </w:rPr>
            </w:pPr>
            <w:r>
              <w:rPr>
                <w:rFonts w:hint="default" w:ascii="Times New Roman" w:hAnsi="Times New Roman" w:eastAsia="宋体" w:cs="Times New Roman"/>
                <w:b/>
                <w:bCs w:val="0"/>
                <w:i w:val="0"/>
                <w:color w:val="000000"/>
                <w:kern w:val="0"/>
                <w:sz w:val="21"/>
                <w:szCs w:val="21"/>
                <w:highlight w:val="none"/>
                <w:u w:val="none"/>
                <w:lang w:val="en-US" w:eastAsia="zh-CN" w:bidi="ar"/>
              </w:rPr>
              <w:t>可塑性</w:t>
            </w:r>
          </w:p>
        </w:tc>
        <w:tc>
          <w:tcPr>
            <w:tcW w:w="2497" w:type="pct"/>
            <w:tcBorders>
              <w:bottom w:val="single" w:color="auto" w:sz="12" w:space="0"/>
              <w:tl2br w:val="nil"/>
              <w:tr2bl w:val="nil"/>
            </w:tcBorders>
            <w:shd w:val="clear" w:color="auto" w:fill="auto"/>
            <w:noWrap/>
            <w:tcMar>
              <w:top w:w="15" w:type="dxa"/>
              <w:left w:w="15" w:type="dxa"/>
              <w:right w:w="15" w:type="dxa"/>
            </w:tcMar>
            <w:vAlign w:val="center"/>
          </w:tcPr>
          <w:p w14:paraId="2AEAE0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highlight w:val="none"/>
                <w:u w:val="none"/>
              </w:rPr>
            </w:pPr>
            <w:r>
              <w:rPr>
                <w:rFonts w:hint="default" w:ascii="Times New Roman" w:hAnsi="Times New Roman" w:eastAsia="宋体" w:cs="Times New Roman"/>
                <w:b/>
                <w:bCs w:val="0"/>
                <w:i w:val="0"/>
                <w:color w:val="000000"/>
                <w:kern w:val="0"/>
                <w:sz w:val="21"/>
                <w:szCs w:val="21"/>
                <w:highlight w:val="none"/>
                <w:u w:val="none"/>
                <w:lang w:val="en-US" w:eastAsia="zh-CN" w:bidi="ar"/>
              </w:rPr>
              <w:t>夹杂物</w:t>
            </w:r>
          </w:p>
        </w:tc>
      </w:tr>
      <w:tr w14:paraId="6BDB94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1" w:type="pct"/>
            <w:tcBorders>
              <w:top w:val="single" w:color="auto" w:sz="12" w:space="0"/>
              <w:tl2br w:val="nil"/>
              <w:tr2bl w:val="nil"/>
            </w:tcBorders>
            <w:shd w:val="clear" w:color="auto" w:fill="auto"/>
            <w:noWrap/>
            <w:tcMar>
              <w:top w:w="15" w:type="dxa"/>
              <w:left w:w="15" w:type="dxa"/>
              <w:right w:w="15" w:type="dxa"/>
            </w:tcMar>
            <w:vAlign w:val="center"/>
          </w:tcPr>
          <w:p w14:paraId="574548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w:t>
            </w:r>
          </w:p>
        </w:tc>
        <w:tc>
          <w:tcPr>
            <w:tcW w:w="303" w:type="pct"/>
            <w:vMerge w:val="restart"/>
            <w:tcBorders>
              <w:top w:val="single" w:color="auto" w:sz="12" w:space="0"/>
              <w:tl2br w:val="nil"/>
              <w:tr2bl w:val="nil"/>
            </w:tcBorders>
            <w:shd w:val="clear" w:color="auto" w:fill="auto"/>
            <w:noWrap/>
            <w:tcMar>
              <w:top w:w="15" w:type="dxa"/>
              <w:left w:w="15" w:type="dxa"/>
              <w:right w:w="15" w:type="dxa"/>
            </w:tcMar>
            <w:vAlign w:val="center"/>
          </w:tcPr>
          <w:p w14:paraId="6979E098">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val="en-US" w:eastAsia="zh-CN"/>
              </w:rPr>
              <w:t>工业园周边点位</w:t>
            </w:r>
          </w:p>
        </w:tc>
        <w:tc>
          <w:tcPr>
            <w:tcW w:w="501" w:type="pct"/>
            <w:tcBorders>
              <w:top w:val="single" w:color="auto" w:sz="12" w:space="0"/>
              <w:tl2br w:val="nil"/>
              <w:tr2bl w:val="nil"/>
            </w:tcBorders>
            <w:shd w:val="clear" w:color="auto" w:fill="auto"/>
            <w:noWrap/>
            <w:tcMar>
              <w:top w:w="15" w:type="dxa"/>
              <w:left w:w="15" w:type="dxa"/>
              <w:right w:w="15" w:type="dxa"/>
            </w:tcMar>
            <w:vAlign w:val="center"/>
          </w:tcPr>
          <w:p w14:paraId="60026715">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HR-1-75</w:t>
            </w:r>
          </w:p>
        </w:tc>
        <w:tc>
          <w:tcPr>
            <w:tcW w:w="348" w:type="pct"/>
            <w:tcBorders>
              <w:top w:val="single" w:color="auto" w:sz="12" w:space="0"/>
              <w:tl2br w:val="nil"/>
              <w:tr2bl w:val="nil"/>
            </w:tcBorders>
            <w:shd w:val="clear" w:color="auto" w:fill="auto"/>
            <w:noWrap/>
            <w:tcMar>
              <w:top w:w="15" w:type="dxa"/>
              <w:left w:w="15" w:type="dxa"/>
              <w:right w:w="15" w:type="dxa"/>
            </w:tcMar>
            <w:vAlign w:val="center"/>
          </w:tcPr>
          <w:p w14:paraId="42A1002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杂填土</w:t>
            </w:r>
          </w:p>
        </w:tc>
        <w:tc>
          <w:tcPr>
            <w:tcW w:w="244" w:type="pct"/>
            <w:tcBorders>
              <w:top w:val="single" w:color="auto" w:sz="12" w:space="0"/>
              <w:tl2br w:val="nil"/>
              <w:tr2bl w:val="nil"/>
            </w:tcBorders>
            <w:shd w:val="clear" w:color="auto" w:fill="auto"/>
            <w:noWrap/>
            <w:tcMar>
              <w:top w:w="15" w:type="dxa"/>
              <w:left w:w="15" w:type="dxa"/>
              <w:right w:w="15" w:type="dxa"/>
            </w:tcMar>
            <w:vAlign w:val="center"/>
          </w:tcPr>
          <w:p w14:paraId="1D9787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杂色</w:t>
            </w:r>
          </w:p>
        </w:tc>
        <w:tc>
          <w:tcPr>
            <w:tcW w:w="312" w:type="pct"/>
            <w:tcBorders>
              <w:top w:val="single" w:color="auto" w:sz="12" w:space="0"/>
              <w:tl2br w:val="nil"/>
              <w:tr2bl w:val="nil"/>
            </w:tcBorders>
            <w:shd w:val="clear" w:color="auto" w:fill="auto"/>
            <w:noWrap/>
            <w:tcMar>
              <w:top w:w="15" w:type="dxa"/>
              <w:left w:w="15" w:type="dxa"/>
              <w:right w:w="15" w:type="dxa"/>
            </w:tcMar>
            <w:vAlign w:val="center"/>
          </w:tcPr>
          <w:p w14:paraId="08347A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潮湿</w:t>
            </w:r>
          </w:p>
        </w:tc>
        <w:tc>
          <w:tcPr>
            <w:tcW w:w="213" w:type="pct"/>
            <w:tcBorders>
              <w:top w:val="single" w:color="auto" w:sz="12" w:space="0"/>
              <w:tl2br w:val="nil"/>
              <w:tr2bl w:val="nil"/>
            </w:tcBorders>
            <w:shd w:val="clear" w:color="auto" w:fill="auto"/>
            <w:noWrap/>
            <w:tcMar>
              <w:top w:w="15" w:type="dxa"/>
              <w:left w:w="15" w:type="dxa"/>
              <w:right w:w="15" w:type="dxa"/>
            </w:tcMar>
            <w:vAlign w:val="center"/>
          </w:tcPr>
          <w:p w14:paraId="734C12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426" w:type="pct"/>
            <w:tcBorders>
              <w:top w:val="single" w:color="auto" w:sz="12" w:space="0"/>
              <w:tl2br w:val="nil"/>
              <w:tr2bl w:val="nil"/>
            </w:tcBorders>
            <w:shd w:val="clear" w:color="auto" w:fill="auto"/>
            <w:noWrap/>
            <w:tcMar>
              <w:top w:w="15" w:type="dxa"/>
              <w:left w:w="15" w:type="dxa"/>
              <w:right w:w="15" w:type="dxa"/>
            </w:tcMar>
            <w:vAlign w:val="center"/>
          </w:tcPr>
          <w:p w14:paraId="75BD81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2497" w:type="pct"/>
            <w:tcBorders>
              <w:top w:val="single" w:color="auto" w:sz="12" w:space="0"/>
              <w:tl2br w:val="nil"/>
              <w:tr2bl w:val="nil"/>
            </w:tcBorders>
            <w:shd w:val="clear" w:color="auto" w:fill="auto"/>
            <w:noWrap/>
            <w:tcMar>
              <w:top w:w="15" w:type="dxa"/>
              <w:left w:w="15" w:type="dxa"/>
              <w:right w:w="15" w:type="dxa"/>
            </w:tcMar>
            <w:vAlign w:val="center"/>
          </w:tcPr>
          <w:p w14:paraId="0CF38E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含大量根系，下层主要由粘土组成，含黑色铁锰氧化物</w:t>
            </w:r>
          </w:p>
        </w:tc>
      </w:tr>
      <w:tr w14:paraId="3479A3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10D541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w:t>
            </w:r>
          </w:p>
        </w:tc>
        <w:tc>
          <w:tcPr>
            <w:tcW w:w="303" w:type="pct"/>
            <w:vMerge w:val="continue"/>
            <w:tcBorders>
              <w:tl2br w:val="nil"/>
              <w:tr2bl w:val="nil"/>
            </w:tcBorders>
            <w:shd w:val="clear" w:color="auto" w:fill="auto"/>
            <w:noWrap/>
            <w:tcMar>
              <w:top w:w="15" w:type="dxa"/>
              <w:left w:w="15" w:type="dxa"/>
              <w:right w:w="15" w:type="dxa"/>
            </w:tcMar>
            <w:vAlign w:val="center"/>
          </w:tcPr>
          <w:p w14:paraId="5FD45F29">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501" w:type="pct"/>
            <w:tcBorders>
              <w:tl2br w:val="nil"/>
              <w:tr2bl w:val="nil"/>
            </w:tcBorders>
            <w:shd w:val="clear" w:color="auto" w:fill="auto"/>
            <w:noWrap/>
            <w:tcMar>
              <w:top w:w="15" w:type="dxa"/>
              <w:left w:w="15" w:type="dxa"/>
              <w:right w:w="15" w:type="dxa"/>
            </w:tcMar>
            <w:vAlign w:val="center"/>
          </w:tcPr>
          <w:p w14:paraId="5FE7D423">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HR-1-200</w:t>
            </w:r>
          </w:p>
        </w:tc>
        <w:tc>
          <w:tcPr>
            <w:tcW w:w="348" w:type="pct"/>
            <w:tcBorders>
              <w:tl2br w:val="nil"/>
              <w:tr2bl w:val="nil"/>
            </w:tcBorders>
            <w:shd w:val="clear" w:color="auto" w:fill="auto"/>
            <w:noWrap/>
            <w:tcMar>
              <w:top w:w="15" w:type="dxa"/>
              <w:left w:w="15" w:type="dxa"/>
              <w:right w:w="15" w:type="dxa"/>
            </w:tcMar>
            <w:vAlign w:val="center"/>
          </w:tcPr>
          <w:p w14:paraId="25242F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杂填土</w:t>
            </w:r>
          </w:p>
        </w:tc>
        <w:tc>
          <w:tcPr>
            <w:tcW w:w="244" w:type="pct"/>
            <w:tcBorders>
              <w:tl2br w:val="nil"/>
              <w:tr2bl w:val="nil"/>
            </w:tcBorders>
            <w:shd w:val="clear" w:color="auto" w:fill="auto"/>
            <w:noWrap/>
            <w:tcMar>
              <w:top w:w="15" w:type="dxa"/>
              <w:left w:w="15" w:type="dxa"/>
              <w:right w:w="15" w:type="dxa"/>
            </w:tcMar>
            <w:vAlign w:val="center"/>
          </w:tcPr>
          <w:p w14:paraId="2419A6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杂色</w:t>
            </w:r>
          </w:p>
        </w:tc>
        <w:tc>
          <w:tcPr>
            <w:tcW w:w="312" w:type="pct"/>
            <w:tcBorders>
              <w:tl2br w:val="nil"/>
              <w:tr2bl w:val="nil"/>
            </w:tcBorders>
            <w:shd w:val="clear" w:color="auto" w:fill="auto"/>
            <w:noWrap/>
            <w:tcMar>
              <w:top w:w="15" w:type="dxa"/>
              <w:left w:w="15" w:type="dxa"/>
              <w:right w:w="15" w:type="dxa"/>
            </w:tcMar>
            <w:vAlign w:val="center"/>
          </w:tcPr>
          <w:p w14:paraId="1D802A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213" w:type="pct"/>
            <w:tcBorders>
              <w:tl2br w:val="nil"/>
              <w:tr2bl w:val="nil"/>
            </w:tcBorders>
            <w:shd w:val="clear" w:color="auto" w:fill="auto"/>
            <w:noWrap/>
            <w:tcMar>
              <w:top w:w="15" w:type="dxa"/>
              <w:left w:w="15" w:type="dxa"/>
              <w:right w:w="15" w:type="dxa"/>
            </w:tcMar>
            <w:vAlign w:val="center"/>
          </w:tcPr>
          <w:p w14:paraId="3D0079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426" w:type="pct"/>
            <w:tcBorders>
              <w:tl2br w:val="nil"/>
              <w:tr2bl w:val="nil"/>
            </w:tcBorders>
            <w:shd w:val="clear" w:color="auto" w:fill="auto"/>
            <w:noWrap/>
            <w:tcMar>
              <w:top w:w="15" w:type="dxa"/>
              <w:left w:w="15" w:type="dxa"/>
              <w:right w:w="15" w:type="dxa"/>
            </w:tcMar>
            <w:vAlign w:val="center"/>
          </w:tcPr>
          <w:p w14:paraId="29D21B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22816D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含根系、石块，下层主要由黄褐色粘土组成，含高岭土、黑色铁锰氧化物</w:t>
            </w:r>
          </w:p>
        </w:tc>
      </w:tr>
      <w:tr w14:paraId="641076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597DD1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w:t>
            </w:r>
          </w:p>
        </w:tc>
        <w:tc>
          <w:tcPr>
            <w:tcW w:w="303" w:type="pct"/>
            <w:vMerge w:val="continue"/>
            <w:tcBorders>
              <w:tl2br w:val="nil"/>
              <w:tr2bl w:val="nil"/>
            </w:tcBorders>
            <w:shd w:val="clear" w:color="auto" w:fill="auto"/>
            <w:noWrap/>
            <w:tcMar>
              <w:top w:w="15" w:type="dxa"/>
              <w:left w:w="15" w:type="dxa"/>
              <w:right w:w="15" w:type="dxa"/>
            </w:tcMar>
            <w:vAlign w:val="center"/>
          </w:tcPr>
          <w:p w14:paraId="7D7B3C20">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501" w:type="pct"/>
            <w:tcBorders>
              <w:tl2br w:val="nil"/>
              <w:tr2bl w:val="nil"/>
            </w:tcBorders>
            <w:shd w:val="clear" w:color="auto" w:fill="auto"/>
            <w:noWrap/>
            <w:tcMar>
              <w:top w:w="15" w:type="dxa"/>
              <w:left w:w="15" w:type="dxa"/>
              <w:right w:w="15" w:type="dxa"/>
            </w:tcMar>
            <w:vAlign w:val="center"/>
          </w:tcPr>
          <w:p w14:paraId="27DC4FBC">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HR-1-400</w:t>
            </w:r>
          </w:p>
        </w:tc>
        <w:tc>
          <w:tcPr>
            <w:tcW w:w="348" w:type="pct"/>
            <w:tcBorders>
              <w:tl2br w:val="nil"/>
              <w:tr2bl w:val="nil"/>
            </w:tcBorders>
            <w:shd w:val="clear" w:color="auto" w:fill="auto"/>
            <w:noWrap/>
            <w:tcMar>
              <w:top w:w="15" w:type="dxa"/>
              <w:left w:w="15" w:type="dxa"/>
              <w:right w:w="15" w:type="dxa"/>
            </w:tcMar>
            <w:vAlign w:val="center"/>
          </w:tcPr>
          <w:p w14:paraId="4F5438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杂填土</w:t>
            </w:r>
          </w:p>
        </w:tc>
        <w:tc>
          <w:tcPr>
            <w:tcW w:w="244" w:type="pct"/>
            <w:tcBorders>
              <w:tl2br w:val="nil"/>
              <w:tr2bl w:val="nil"/>
            </w:tcBorders>
            <w:shd w:val="clear" w:color="auto" w:fill="auto"/>
            <w:noWrap/>
            <w:tcMar>
              <w:top w:w="15" w:type="dxa"/>
              <w:left w:w="15" w:type="dxa"/>
              <w:right w:w="15" w:type="dxa"/>
            </w:tcMar>
            <w:vAlign w:val="center"/>
          </w:tcPr>
          <w:p w14:paraId="0F1327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杂色</w:t>
            </w:r>
          </w:p>
        </w:tc>
        <w:tc>
          <w:tcPr>
            <w:tcW w:w="312" w:type="pct"/>
            <w:tcBorders>
              <w:tl2br w:val="nil"/>
              <w:tr2bl w:val="nil"/>
            </w:tcBorders>
            <w:shd w:val="clear" w:color="auto" w:fill="auto"/>
            <w:noWrap/>
            <w:tcMar>
              <w:top w:w="15" w:type="dxa"/>
              <w:left w:w="15" w:type="dxa"/>
              <w:right w:w="15" w:type="dxa"/>
            </w:tcMar>
            <w:vAlign w:val="center"/>
          </w:tcPr>
          <w:p w14:paraId="657283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213" w:type="pct"/>
            <w:tcBorders>
              <w:tl2br w:val="nil"/>
              <w:tr2bl w:val="nil"/>
            </w:tcBorders>
            <w:shd w:val="clear" w:color="auto" w:fill="auto"/>
            <w:noWrap/>
            <w:tcMar>
              <w:top w:w="15" w:type="dxa"/>
              <w:left w:w="15" w:type="dxa"/>
              <w:right w:w="15" w:type="dxa"/>
            </w:tcMar>
            <w:vAlign w:val="center"/>
          </w:tcPr>
          <w:p w14:paraId="1D9DFB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426" w:type="pct"/>
            <w:tcBorders>
              <w:tl2br w:val="nil"/>
              <w:tr2bl w:val="nil"/>
            </w:tcBorders>
            <w:shd w:val="clear" w:color="auto" w:fill="auto"/>
            <w:noWrap/>
            <w:tcMar>
              <w:top w:w="15" w:type="dxa"/>
              <w:left w:w="15" w:type="dxa"/>
              <w:right w:w="15" w:type="dxa"/>
            </w:tcMar>
            <w:vAlign w:val="center"/>
          </w:tcPr>
          <w:p w14:paraId="599983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623DE1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含大量根系、石块，下层主要由粘土组成，含较多砂质</w:t>
            </w:r>
          </w:p>
        </w:tc>
      </w:tr>
      <w:tr w14:paraId="04985E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04A7BA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w:t>
            </w:r>
          </w:p>
        </w:tc>
        <w:tc>
          <w:tcPr>
            <w:tcW w:w="303" w:type="pct"/>
            <w:vMerge w:val="continue"/>
            <w:tcBorders>
              <w:tl2br w:val="nil"/>
              <w:tr2bl w:val="nil"/>
            </w:tcBorders>
            <w:shd w:val="clear" w:color="auto" w:fill="auto"/>
            <w:noWrap/>
            <w:tcMar>
              <w:top w:w="15" w:type="dxa"/>
              <w:left w:w="15" w:type="dxa"/>
              <w:right w:w="15" w:type="dxa"/>
            </w:tcMar>
            <w:vAlign w:val="center"/>
          </w:tcPr>
          <w:p w14:paraId="78000ED2">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eastAsia="zh-CN"/>
              </w:rPr>
            </w:pPr>
          </w:p>
        </w:tc>
        <w:tc>
          <w:tcPr>
            <w:tcW w:w="501" w:type="pct"/>
            <w:tcBorders>
              <w:tl2br w:val="nil"/>
              <w:tr2bl w:val="nil"/>
            </w:tcBorders>
            <w:shd w:val="clear" w:color="auto" w:fill="auto"/>
            <w:noWrap/>
            <w:tcMar>
              <w:top w:w="15" w:type="dxa"/>
              <w:left w:w="15" w:type="dxa"/>
              <w:right w:w="15" w:type="dxa"/>
            </w:tcMar>
            <w:vAlign w:val="center"/>
          </w:tcPr>
          <w:p w14:paraId="3D93FD97">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HR-2-75</w:t>
            </w:r>
          </w:p>
        </w:tc>
        <w:tc>
          <w:tcPr>
            <w:tcW w:w="348" w:type="pct"/>
            <w:tcBorders>
              <w:tl2br w:val="nil"/>
              <w:tr2bl w:val="nil"/>
            </w:tcBorders>
            <w:shd w:val="clear" w:color="auto" w:fill="auto"/>
            <w:noWrap/>
            <w:tcMar>
              <w:top w:w="15" w:type="dxa"/>
              <w:left w:w="15" w:type="dxa"/>
              <w:right w:w="15" w:type="dxa"/>
            </w:tcMar>
            <w:vAlign w:val="center"/>
          </w:tcPr>
          <w:p w14:paraId="62910D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杂填土</w:t>
            </w:r>
          </w:p>
        </w:tc>
        <w:tc>
          <w:tcPr>
            <w:tcW w:w="244" w:type="pct"/>
            <w:tcBorders>
              <w:tl2br w:val="nil"/>
              <w:tr2bl w:val="nil"/>
            </w:tcBorders>
            <w:shd w:val="clear" w:color="auto" w:fill="auto"/>
            <w:noWrap/>
            <w:tcMar>
              <w:top w:w="15" w:type="dxa"/>
              <w:left w:w="15" w:type="dxa"/>
              <w:right w:w="15" w:type="dxa"/>
            </w:tcMar>
            <w:vAlign w:val="center"/>
          </w:tcPr>
          <w:p w14:paraId="07C63B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杂色</w:t>
            </w:r>
          </w:p>
        </w:tc>
        <w:tc>
          <w:tcPr>
            <w:tcW w:w="312" w:type="pct"/>
            <w:tcBorders>
              <w:tl2br w:val="nil"/>
              <w:tr2bl w:val="nil"/>
            </w:tcBorders>
            <w:shd w:val="clear" w:color="auto" w:fill="auto"/>
            <w:noWrap/>
            <w:tcMar>
              <w:top w:w="15" w:type="dxa"/>
              <w:left w:w="15" w:type="dxa"/>
              <w:right w:w="15" w:type="dxa"/>
            </w:tcMar>
            <w:vAlign w:val="center"/>
          </w:tcPr>
          <w:p w14:paraId="6385FC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213" w:type="pct"/>
            <w:tcBorders>
              <w:tl2br w:val="nil"/>
              <w:tr2bl w:val="nil"/>
            </w:tcBorders>
            <w:shd w:val="clear" w:color="auto" w:fill="auto"/>
            <w:noWrap/>
            <w:tcMar>
              <w:top w:w="15" w:type="dxa"/>
              <w:left w:w="15" w:type="dxa"/>
              <w:right w:w="15" w:type="dxa"/>
            </w:tcMar>
            <w:vAlign w:val="center"/>
          </w:tcPr>
          <w:p w14:paraId="552013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426" w:type="pct"/>
            <w:tcBorders>
              <w:tl2br w:val="nil"/>
              <w:tr2bl w:val="nil"/>
            </w:tcBorders>
            <w:shd w:val="clear" w:color="auto" w:fill="auto"/>
            <w:noWrap/>
            <w:tcMar>
              <w:top w:w="15" w:type="dxa"/>
              <w:left w:w="15" w:type="dxa"/>
              <w:right w:w="15" w:type="dxa"/>
            </w:tcMar>
            <w:vAlign w:val="center"/>
          </w:tcPr>
          <w:p w14:paraId="1D53E7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5A50A2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含大量石块、砖块、根系，下层主要由粘土组成，含较多砂质</w:t>
            </w:r>
          </w:p>
        </w:tc>
      </w:tr>
      <w:tr w14:paraId="2978D2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64265D5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w:t>
            </w:r>
          </w:p>
        </w:tc>
        <w:tc>
          <w:tcPr>
            <w:tcW w:w="303" w:type="pct"/>
            <w:vMerge w:val="continue"/>
            <w:tcBorders>
              <w:tl2br w:val="nil"/>
              <w:tr2bl w:val="nil"/>
            </w:tcBorders>
            <w:shd w:val="clear" w:color="auto" w:fill="auto"/>
            <w:noWrap/>
            <w:tcMar>
              <w:top w:w="15" w:type="dxa"/>
              <w:left w:w="15" w:type="dxa"/>
              <w:right w:w="15" w:type="dxa"/>
            </w:tcMar>
            <w:vAlign w:val="center"/>
          </w:tcPr>
          <w:p w14:paraId="787112A3">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501" w:type="pct"/>
            <w:tcBorders>
              <w:tl2br w:val="nil"/>
              <w:tr2bl w:val="nil"/>
            </w:tcBorders>
            <w:shd w:val="clear" w:color="auto" w:fill="auto"/>
            <w:noWrap/>
            <w:tcMar>
              <w:top w:w="15" w:type="dxa"/>
              <w:left w:w="15" w:type="dxa"/>
              <w:right w:w="15" w:type="dxa"/>
            </w:tcMar>
            <w:vAlign w:val="center"/>
          </w:tcPr>
          <w:p w14:paraId="7AFC6324">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HR-2-200</w:t>
            </w:r>
          </w:p>
        </w:tc>
        <w:tc>
          <w:tcPr>
            <w:tcW w:w="348" w:type="pct"/>
            <w:tcBorders>
              <w:tl2br w:val="nil"/>
              <w:tr2bl w:val="nil"/>
            </w:tcBorders>
            <w:shd w:val="clear" w:color="auto" w:fill="auto"/>
            <w:noWrap/>
            <w:tcMar>
              <w:top w:w="15" w:type="dxa"/>
              <w:left w:w="15" w:type="dxa"/>
              <w:right w:w="15" w:type="dxa"/>
            </w:tcMar>
            <w:vAlign w:val="center"/>
          </w:tcPr>
          <w:p w14:paraId="3E3396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杂填土</w:t>
            </w:r>
          </w:p>
        </w:tc>
        <w:tc>
          <w:tcPr>
            <w:tcW w:w="244" w:type="pct"/>
            <w:tcBorders>
              <w:tl2br w:val="nil"/>
              <w:tr2bl w:val="nil"/>
            </w:tcBorders>
            <w:shd w:val="clear" w:color="auto" w:fill="auto"/>
            <w:noWrap/>
            <w:tcMar>
              <w:top w:w="15" w:type="dxa"/>
              <w:left w:w="15" w:type="dxa"/>
              <w:right w:w="15" w:type="dxa"/>
            </w:tcMar>
            <w:vAlign w:val="center"/>
          </w:tcPr>
          <w:p w14:paraId="2760FE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杂色</w:t>
            </w:r>
          </w:p>
        </w:tc>
        <w:tc>
          <w:tcPr>
            <w:tcW w:w="312" w:type="pct"/>
            <w:tcBorders>
              <w:tl2br w:val="nil"/>
              <w:tr2bl w:val="nil"/>
            </w:tcBorders>
            <w:shd w:val="clear" w:color="auto" w:fill="auto"/>
            <w:noWrap/>
            <w:tcMar>
              <w:top w:w="15" w:type="dxa"/>
              <w:left w:w="15" w:type="dxa"/>
              <w:right w:w="15" w:type="dxa"/>
            </w:tcMar>
            <w:vAlign w:val="center"/>
          </w:tcPr>
          <w:p w14:paraId="74600CF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213" w:type="pct"/>
            <w:tcBorders>
              <w:tl2br w:val="nil"/>
              <w:tr2bl w:val="nil"/>
            </w:tcBorders>
            <w:shd w:val="clear" w:color="auto" w:fill="auto"/>
            <w:noWrap/>
            <w:tcMar>
              <w:top w:w="15" w:type="dxa"/>
              <w:left w:w="15" w:type="dxa"/>
              <w:right w:w="15" w:type="dxa"/>
            </w:tcMar>
            <w:vAlign w:val="center"/>
          </w:tcPr>
          <w:p w14:paraId="11A61F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426" w:type="pct"/>
            <w:tcBorders>
              <w:tl2br w:val="nil"/>
              <w:tr2bl w:val="nil"/>
            </w:tcBorders>
            <w:shd w:val="clear" w:color="auto" w:fill="auto"/>
            <w:noWrap/>
            <w:tcMar>
              <w:top w:w="15" w:type="dxa"/>
              <w:left w:w="15" w:type="dxa"/>
              <w:right w:w="15" w:type="dxa"/>
            </w:tcMar>
            <w:vAlign w:val="center"/>
          </w:tcPr>
          <w:p w14:paraId="07E272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1A69FB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含根系、碎石，下层主要由粘土组成</w:t>
            </w:r>
          </w:p>
        </w:tc>
      </w:tr>
      <w:tr w14:paraId="699C03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018C22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w:t>
            </w:r>
          </w:p>
        </w:tc>
        <w:tc>
          <w:tcPr>
            <w:tcW w:w="303" w:type="pct"/>
            <w:vMerge w:val="continue"/>
            <w:tcBorders>
              <w:tl2br w:val="nil"/>
              <w:tr2bl w:val="nil"/>
            </w:tcBorders>
            <w:shd w:val="clear" w:color="auto" w:fill="auto"/>
            <w:noWrap/>
            <w:tcMar>
              <w:top w:w="15" w:type="dxa"/>
              <w:left w:w="15" w:type="dxa"/>
              <w:right w:w="15" w:type="dxa"/>
            </w:tcMar>
            <w:vAlign w:val="center"/>
          </w:tcPr>
          <w:p w14:paraId="1B29C203">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501" w:type="pct"/>
            <w:tcBorders>
              <w:tl2br w:val="nil"/>
              <w:tr2bl w:val="nil"/>
            </w:tcBorders>
            <w:shd w:val="clear" w:color="auto" w:fill="auto"/>
            <w:noWrap/>
            <w:tcMar>
              <w:top w:w="15" w:type="dxa"/>
              <w:left w:w="15" w:type="dxa"/>
              <w:right w:w="15" w:type="dxa"/>
            </w:tcMar>
            <w:vAlign w:val="center"/>
          </w:tcPr>
          <w:p w14:paraId="1E3C7ACB">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HR-2-400</w:t>
            </w:r>
          </w:p>
        </w:tc>
        <w:tc>
          <w:tcPr>
            <w:tcW w:w="348" w:type="pct"/>
            <w:tcBorders>
              <w:tl2br w:val="nil"/>
              <w:tr2bl w:val="nil"/>
            </w:tcBorders>
            <w:shd w:val="clear" w:color="auto" w:fill="auto"/>
            <w:noWrap/>
            <w:tcMar>
              <w:top w:w="15" w:type="dxa"/>
              <w:left w:w="15" w:type="dxa"/>
              <w:right w:w="15" w:type="dxa"/>
            </w:tcMar>
            <w:vAlign w:val="center"/>
          </w:tcPr>
          <w:p w14:paraId="69EE85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杂填土</w:t>
            </w:r>
          </w:p>
        </w:tc>
        <w:tc>
          <w:tcPr>
            <w:tcW w:w="244" w:type="pct"/>
            <w:tcBorders>
              <w:tl2br w:val="nil"/>
              <w:tr2bl w:val="nil"/>
            </w:tcBorders>
            <w:shd w:val="clear" w:color="auto" w:fill="auto"/>
            <w:noWrap/>
            <w:tcMar>
              <w:top w:w="15" w:type="dxa"/>
              <w:left w:w="15" w:type="dxa"/>
              <w:right w:w="15" w:type="dxa"/>
            </w:tcMar>
            <w:vAlign w:val="center"/>
          </w:tcPr>
          <w:p w14:paraId="11BD1A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杂色</w:t>
            </w:r>
          </w:p>
        </w:tc>
        <w:tc>
          <w:tcPr>
            <w:tcW w:w="312" w:type="pct"/>
            <w:tcBorders>
              <w:tl2br w:val="nil"/>
              <w:tr2bl w:val="nil"/>
            </w:tcBorders>
            <w:shd w:val="clear" w:color="auto" w:fill="auto"/>
            <w:noWrap/>
            <w:tcMar>
              <w:top w:w="15" w:type="dxa"/>
              <w:left w:w="15" w:type="dxa"/>
              <w:right w:w="15" w:type="dxa"/>
            </w:tcMar>
            <w:vAlign w:val="center"/>
          </w:tcPr>
          <w:p w14:paraId="203675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213" w:type="pct"/>
            <w:tcBorders>
              <w:tl2br w:val="nil"/>
              <w:tr2bl w:val="nil"/>
            </w:tcBorders>
            <w:shd w:val="clear" w:color="auto" w:fill="auto"/>
            <w:noWrap/>
            <w:tcMar>
              <w:top w:w="15" w:type="dxa"/>
              <w:left w:w="15" w:type="dxa"/>
              <w:right w:w="15" w:type="dxa"/>
            </w:tcMar>
            <w:vAlign w:val="center"/>
          </w:tcPr>
          <w:p w14:paraId="19DE055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426" w:type="pct"/>
            <w:tcBorders>
              <w:tl2br w:val="nil"/>
              <w:tr2bl w:val="nil"/>
            </w:tcBorders>
            <w:shd w:val="clear" w:color="auto" w:fill="auto"/>
            <w:noWrap/>
            <w:tcMar>
              <w:top w:w="15" w:type="dxa"/>
              <w:left w:w="15" w:type="dxa"/>
              <w:right w:w="15" w:type="dxa"/>
            </w:tcMar>
            <w:vAlign w:val="center"/>
          </w:tcPr>
          <w:p w14:paraId="1847EA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47408E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含根系、石块，含较多砂质</w:t>
            </w:r>
          </w:p>
        </w:tc>
      </w:tr>
      <w:tr w14:paraId="4D2578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10E20A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w:t>
            </w:r>
          </w:p>
        </w:tc>
        <w:tc>
          <w:tcPr>
            <w:tcW w:w="303" w:type="pct"/>
            <w:vMerge w:val="continue"/>
            <w:tcBorders>
              <w:tl2br w:val="nil"/>
              <w:tr2bl w:val="nil"/>
            </w:tcBorders>
            <w:shd w:val="clear" w:color="auto" w:fill="auto"/>
            <w:noWrap/>
            <w:tcMar>
              <w:top w:w="15" w:type="dxa"/>
              <w:left w:w="15" w:type="dxa"/>
              <w:right w:w="15" w:type="dxa"/>
            </w:tcMar>
            <w:vAlign w:val="center"/>
          </w:tcPr>
          <w:p w14:paraId="79AA129B">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eastAsia="zh-CN"/>
              </w:rPr>
            </w:pPr>
          </w:p>
        </w:tc>
        <w:tc>
          <w:tcPr>
            <w:tcW w:w="501" w:type="pct"/>
            <w:tcBorders>
              <w:tl2br w:val="nil"/>
              <w:tr2bl w:val="nil"/>
            </w:tcBorders>
            <w:shd w:val="clear" w:color="auto" w:fill="auto"/>
            <w:noWrap/>
            <w:tcMar>
              <w:top w:w="15" w:type="dxa"/>
              <w:left w:w="15" w:type="dxa"/>
              <w:right w:w="15" w:type="dxa"/>
            </w:tcMar>
            <w:vAlign w:val="center"/>
          </w:tcPr>
          <w:p w14:paraId="04B8287C">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HR-3-75</w:t>
            </w:r>
          </w:p>
        </w:tc>
        <w:tc>
          <w:tcPr>
            <w:tcW w:w="348" w:type="pct"/>
            <w:tcBorders>
              <w:tl2br w:val="nil"/>
              <w:tr2bl w:val="nil"/>
            </w:tcBorders>
            <w:shd w:val="clear" w:color="auto" w:fill="auto"/>
            <w:noWrap/>
            <w:tcMar>
              <w:top w:w="15" w:type="dxa"/>
              <w:left w:w="15" w:type="dxa"/>
              <w:right w:w="15" w:type="dxa"/>
            </w:tcMar>
            <w:vAlign w:val="center"/>
          </w:tcPr>
          <w:p w14:paraId="06EF05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杂填土</w:t>
            </w:r>
          </w:p>
        </w:tc>
        <w:tc>
          <w:tcPr>
            <w:tcW w:w="244" w:type="pct"/>
            <w:tcBorders>
              <w:tl2br w:val="nil"/>
              <w:tr2bl w:val="nil"/>
            </w:tcBorders>
            <w:shd w:val="clear" w:color="auto" w:fill="auto"/>
            <w:noWrap/>
            <w:tcMar>
              <w:top w:w="15" w:type="dxa"/>
              <w:left w:w="15" w:type="dxa"/>
              <w:right w:w="15" w:type="dxa"/>
            </w:tcMar>
            <w:vAlign w:val="center"/>
          </w:tcPr>
          <w:p w14:paraId="18E27A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杂色</w:t>
            </w:r>
          </w:p>
        </w:tc>
        <w:tc>
          <w:tcPr>
            <w:tcW w:w="312" w:type="pct"/>
            <w:tcBorders>
              <w:tl2br w:val="nil"/>
              <w:tr2bl w:val="nil"/>
            </w:tcBorders>
            <w:shd w:val="clear" w:color="auto" w:fill="auto"/>
            <w:noWrap/>
            <w:tcMar>
              <w:top w:w="15" w:type="dxa"/>
              <w:left w:w="15" w:type="dxa"/>
              <w:right w:w="15" w:type="dxa"/>
            </w:tcMar>
            <w:vAlign w:val="center"/>
          </w:tcPr>
          <w:p w14:paraId="25650F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213" w:type="pct"/>
            <w:tcBorders>
              <w:tl2br w:val="nil"/>
              <w:tr2bl w:val="nil"/>
            </w:tcBorders>
            <w:shd w:val="clear" w:color="auto" w:fill="auto"/>
            <w:noWrap/>
            <w:tcMar>
              <w:top w:w="15" w:type="dxa"/>
              <w:left w:w="15" w:type="dxa"/>
              <w:right w:w="15" w:type="dxa"/>
            </w:tcMar>
            <w:vAlign w:val="center"/>
          </w:tcPr>
          <w:p w14:paraId="391825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426" w:type="pct"/>
            <w:tcBorders>
              <w:tl2br w:val="nil"/>
              <w:tr2bl w:val="nil"/>
            </w:tcBorders>
            <w:shd w:val="clear" w:color="auto" w:fill="auto"/>
            <w:noWrap/>
            <w:tcMar>
              <w:top w:w="15" w:type="dxa"/>
              <w:left w:w="15" w:type="dxa"/>
              <w:right w:w="15" w:type="dxa"/>
            </w:tcMar>
            <w:vAlign w:val="center"/>
          </w:tcPr>
          <w:p w14:paraId="28DA54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0ED4FE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质地松散，含根系、石块，下层为原始土，含氧化物及高岭土</w:t>
            </w:r>
          </w:p>
        </w:tc>
      </w:tr>
      <w:tr w14:paraId="1B5144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252DFF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w:t>
            </w:r>
          </w:p>
        </w:tc>
        <w:tc>
          <w:tcPr>
            <w:tcW w:w="303" w:type="pct"/>
            <w:vMerge w:val="continue"/>
            <w:tcBorders>
              <w:tl2br w:val="nil"/>
              <w:tr2bl w:val="nil"/>
            </w:tcBorders>
            <w:shd w:val="clear" w:color="auto" w:fill="auto"/>
            <w:noWrap/>
            <w:tcMar>
              <w:top w:w="15" w:type="dxa"/>
              <w:left w:w="15" w:type="dxa"/>
              <w:right w:w="15" w:type="dxa"/>
            </w:tcMar>
            <w:vAlign w:val="center"/>
          </w:tcPr>
          <w:p w14:paraId="3275028F">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501" w:type="pct"/>
            <w:tcBorders>
              <w:tl2br w:val="nil"/>
              <w:tr2bl w:val="nil"/>
            </w:tcBorders>
            <w:shd w:val="clear" w:color="auto" w:fill="auto"/>
            <w:noWrap/>
            <w:tcMar>
              <w:top w:w="15" w:type="dxa"/>
              <w:left w:w="15" w:type="dxa"/>
              <w:right w:w="15" w:type="dxa"/>
            </w:tcMar>
            <w:vAlign w:val="center"/>
          </w:tcPr>
          <w:p w14:paraId="0E7E0F9C">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HR-3-200</w:t>
            </w:r>
          </w:p>
        </w:tc>
        <w:tc>
          <w:tcPr>
            <w:tcW w:w="348" w:type="pct"/>
            <w:tcBorders>
              <w:tl2br w:val="nil"/>
              <w:tr2bl w:val="nil"/>
            </w:tcBorders>
            <w:shd w:val="clear" w:color="auto" w:fill="auto"/>
            <w:noWrap/>
            <w:tcMar>
              <w:top w:w="15" w:type="dxa"/>
              <w:left w:w="15" w:type="dxa"/>
              <w:right w:w="15" w:type="dxa"/>
            </w:tcMar>
            <w:vAlign w:val="center"/>
          </w:tcPr>
          <w:p w14:paraId="779408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杂填土</w:t>
            </w:r>
          </w:p>
        </w:tc>
        <w:tc>
          <w:tcPr>
            <w:tcW w:w="244" w:type="pct"/>
            <w:tcBorders>
              <w:tl2br w:val="nil"/>
              <w:tr2bl w:val="nil"/>
            </w:tcBorders>
            <w:shd w:val="clear" w:color="auto" w:fill="auto"/>
            <w:noWrap/>
            <w:tcMar>
              <w:top w:w="15" w:type="dxa"/>
              <w:left w:w="15" w:type="dxa"/>
              <w:right w:w="15" w:type="dxa"/>
            </w:tcMar>
            <w:vAlign w:val="center"/>
          </w:tcPr>
          <w:p w14:paraId="2E8A11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杂色</w:t>
            </w:r>
          </w:p>
        </w:tc>
        <w:tc>
          <w:tcPr>
            <w:tcW w:w="312" w:type="pct"/>
            <w:tcBorders>
              <w:tl2br w:val="nil"/>
              <w:tr2bl w:val="nil"/>
            </w:tcBorders>
            <w:shd w:val="clear" w:color="auto" w:fill="auto"/>
            <w:noWrap/>
            <w:tcMar>
              <w:top w:w="15" w:type="dxa"/>
              <w:left w:w="15" w:type="dxa"/>
              <w:right w:w="15" w:type="dxa"/>
            </w:tcMar>
            <w:vAlign w:val="center"/>
          </w:tcPr>
          <w:p w14:paraId="6E40E6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213" w:type="pct"/>
            <w:tcBorders>
              <w:tl2br w:val="nil"/>
              <w:tr2bl w:val="nil"/>
            </w:tcBorders>
            <w:shd w:val="clear" w:color="auto" w:fill="auto"/>
            <w:noWrap/>
            <w:tcMar>
              <w:top w:w="15" w:type="dxa"/>
              <w:left w:w="15" w:type="dxa"/>
              <w:right w:w="15" w:type="dxa"/>
            </w:tcMar>
            <w:vAlign w:val="center"/>
          </w:tcPr>
          <w:p w14:paraId="16B4FB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426" w:type="pct"/>
            <w:tcBorders>
              <w:tl2br w:val="nil"/>
              <w:tr2bl w:val="nil"/>
            </w:tcBorders>
            <w:shd w:val="clear" w:color="auto" w:fill="auto"/>
            <w:noWrap/>
            <w:tcMar>
              <w:top w:w="15" w:type="dxa"/>
              <w:left w:w="15" w:type="dxa"/>
              <w:right w:w="15" w:type="dxa"/>
            </w:tcMar>
            <w:vAlign w:val="center"/>
          </w:tcPr>
          <w:p w14:paraId="6BF018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433F7E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含较多腐殖质，含根系、石块，下层主要由粉质粘土粘土组成，含高岭土、黑色铁锰氧化物</w:t>
            </w:r>
          </w:p>
        </w:tc>
      </w:tr>
      <w:tr w14:paraId="7EDA2B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2B8501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9</w:t>
            </w:r>
          </w:p>
        </w:tc>
        <w:tc>
          <w:tcPr>
            <w:tcW w:w="303" w:type="pct"/>
            <w:vMerge w:val="continue"/>
            <w:tcBorders>
              <w:tl2br w:val="nil"/>
              <w:tr2bl w:val="nil"/>
            </w:tcBorders>
            <w:shd w:val="clear" w:color="auto" w:fill="auto"/>
            <w:noWrap/>
            <w:tcMar>
              <w:top w:w="15" w:type="dxa"/>
              <w:left w:w="15" w:type="dxa"/>
              <w:right w:w="15" w:type="dxa"/>
            </w:tcMar>
            <w:vAlign w:val="center"/>
          </w:tcPr>
          <w:p w14:paraId="7A8E6EE7">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501" w:type="pct"/>
            <w:tcBorders>
              <w:tl2br w:val="nil"/>
              <w:tr2bl w:val="nil"/>
            </w:tcBorders>
            <w:shd w:val="clear" w:color="auto" w:fill="auto"/>
            <w:noWrap/>
            <w:tcMar>
              <w:top w:w="15" w:type="dxa"/>
              <w:left w:w="15" w:type="dxa"/>
              <w:right w:w="15" w:type="dxa"/>
            </w:tcMar>
            <w:vAlign w:val="center"/>
          </w:tcPr>
          <w:p w14:paraId="67F2A307">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HR-3-400</w:t>
            </w:r>
          </w:p>
        </w:tc>
        <w:tc>
          <w:tcPr>
            <w:tcW w:w="348" w:type="pct"/>
            <w:tcBorders>
              <w:tl2br w:val="nil"/>
              <w:tr2bl w:val="nil"/>
            </w:tcBorders>
            <w:shd w:val="clear" w:color="auto" w:fill="auto"/>
            <w:noWrap/>
            <w:tcMar>
              <w:top w:w="15" w:type="dxa"/>
              <w:left w:w="15" w:type="dxa"/>
              <w:right w:w="15" w:type="dxa"/>
            </w:tcMar>
            <w:vAlign w:val="center"/>
          </w:tcPr>
          <w:p w14:paraId="0DAB96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eastAsia" w:cs="Times New Roman"/>
                <w:i w:val="0"/>
                <w:color w:val="000000"/>
                <w:kern w:val="0"/>
                <w:sz w:val="21"/>
                <w:szCs w:val="21"/>
                <w:highlight w:val="none"/>
                <w:u w:val="none"/>
                <w:lang w:val="en-US" w:eastAsia="zh-CN" w:bidi="ar"/>
              </w:rPr>
              <w:t>素填土</w:t>
            </w:r>
          </w:p>
        </w:tc>
        <w:tc>
          <w:tcPr>
            <w:tcW w:w="244" w:type="pct"/>
            <w:tcBorders>
              <w:tl2br w:val="nil"/>
              <w:tr2bl w:val="nil"/>
            </w:tcBorders>
            <w:shd w:val="clear" w:color="auto" w:fill="auto"/>
            <w:noWrap/>
            <w:tcMar>
              <w:top w:w="15" w:type="dxa"/>
              <w:left w:w="15" w:type="dxa"/>
              <w:right w:w="15" w:type="dxa"/>
            </w:tcMar>
            <w:vAlign w:val="center"/>
          </w:tcPr>
          <w:p w14:paraId="6B51A9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杂色</w:t>
            </w:r>
          </w:p>
        </w:tc>
        <w:tc>
          <w:tcPr>
            <w:tcW w:w="312" w:type="pct"/>
            <w:tcBorders>
              <w:tl2br w:val="nil"/>
              <w:tr2bl w:val="nil"/>
            </w:tcBorders>
            <w:shd w:val="clear" w:color="auto" w:fill="auto"/>
            <w:noWrap/>
            <w:tcMar>
              <w:top w:w="15" w:type="dxa"/>
              <w:left w:w="15" w:type="dxa"/>
              <w:right w:w="15" w:type="dxa"/>
            </w:tcMar>
            <w:vAlign w:val="center"/>
          </w:tcPr>
          <w:p w14:paraId="2544AC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213" w:type="pct"/>
            <w:tcBorders>
              <w:tl2br w:val="nil"/>
              <w:tr2bl w:val="nil"/>
            </w:tcBorders>
            <w:shd w:val="clear" w:color="auto" w:fill="auto"/>
            <w:noWrap/>
            <w:tcMar>
              <w:top w:w="15" w:type="dxa"/>
              <w:left w:w="15" w:type="dxa"/>
              <w:right w:w="15" w:type="dxa"/>
            </w:tcMar>
            <w:vAlign w:val="center"/>
          </w:tcPr>
          <w:p w14:paraId="28CAAA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426" w:type="pct"/>
            <w:tcBorders>
              <w:tl2br w:val="nil"/>
              <w:tr2bl w:val="nil"/>
            </w:tcBorders>
            <w:shd w:val="clear" w:color="auto" w:fill="auto"/>
            <w:noWrap/>
            <w:tcMar>
              <w:top w:w="15" w:type="dxa"/>
              <w:left w:w="15" w:type="dxa"/>
              <w:right w:w="15" w:type="dxa"/>
            </w:tcMar>
            <w:vAlign w:val="center"/>
          </w:tcPr>
          <w:p w14:paraId="08FE61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0C99F4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含根系、石块、玻璃</w:t>
            </w:r>
          </w:p>
        </w:tc>
      </w:tr>
      <w:tr w14:paraId="674998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189F3B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w:t>
            </w:r>
          </w:p>
        </w:tc>
        <w:tc>
          <w:tcPr>
            <w:tcW w:w="303" w:type="pct"/>
            <w:vMerge w:val="continue"/>
            <w:tcBorders>
              <w:tl2br w:val="nil"/>
              <w:tr2bl w:val="nil"/>
            </w:tcBorders>
            <w:shd w:val="clear" w:color="auto" w:fill="auto"/>
            <w:noWrap/>
            <w:tcMar>
              <w:top w:w="15" w:type="dxa"/>
              <w:left w:w="15" w:type="dxa"/>
              <w:right w:w="15" w:type="dxa"/>
            </w:tcMar>
            <w:vAlign w:val="center"/>
          </w:tcPr>
          <w:p w14:paraId="77A38E8B">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eastAsia="zh-CN"/>
              </w:rPr>
            </w:pPr>
          </w:p>
        </w:tc>
        <w:tc>
          <w:tcPr>
            <w:tcW w:w="501" w:type="pct"/>
            <w:tcBorders>
              <w:tl2br w:val="nil"/>
              <w:tr2bl w:val="nil"/>
            </w:tcBorders>
            <w:shd w:val="clear" w:color="auto" w:fill="auto"/>
            <w:noWrap/>
            <w:tcMar>
              <w:top w:w="15" w:type="dxa"/>
              <w:left w:w="15" w:type="dxa"/>
              <w:right w:w="15" w:type="dxa"/>
            </w:tcMar>
            <w:vAlign w:val="center"/>
          </w:tcPr>
          <w:p w14:paraId="63062E5C">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HR-4-75</w:t>
            </w:r>
          </w:p>
        </w:tc>
        <w:tc>
          <w:tcPr>
            <w:tcW w:w="348" w:type="pct"/>
            <w:tcBorders>
              <w:tl2br w:val="nil"/>
              <w:tr2bl w:val="nil"/>
            </w:tcBorders>
            <w:shd w:val="clear" w:color="auto" w:fill="auto"/>
            <w:noWrap/>
            <w:tcMar>
              <w:top w:w="15" w:type="dxa"/>
              <w:left w:w="15" w:type="dxa"/>
              <w:right w:w="15" w:type="dxa"/>
            </w:tcMar>
            <w:vAlign w:val="center"/>
          </w:tcPr>
          <w:p w14:paraId="1EDA26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杂填土</w:t>
            </w:r>
          </w:p>
        </w:tc>
        <w:tc>
          <w:tcPr>
            <w:tcW w:w="244" w:type="pct"/>
            <w:tcBorders>
              <w:tl2br w:val="nil"/>
              <w:tr2bl w:val="nil"/>
            </w:tcBorders>
            <w:shd w:val="clear" w:color="auto" w:fill="auto"/>
            <w:noWrap/>
            <w:tcMar>
              <w:top w:w="15" w:type="dxa"/>
              <w:left w:w="15" w:type="dxa"/>
              <w:right w:w="15" w:type="dxa"/>
            </w:tcMar>
            <w:vAlign w:val="center"/>
          </w:tcPr>
          <w:p w14:paraId="02142A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杂色</w:t>
            </w:r>
          </w:p>
        </w:tc>
        <w:tc>
          <w:tcPr>
            <w:tcW w:w="312" w:type="pct"/>
            <w:tcBorders>
              <w:tl2br w:val="nil"/>
              <w:tr2bl w:val="nil"/>
            </w:tcBorders>
            <w:shd w:val="clear" w:color="auto" w:fill="auto"/>
            <w:noWrap/>
            <w:tcMar>
              <w:top w:w="15" w:type="dxa"/>
              <w:left w:w="15" w:type="dxa"/>
              <w:right w:w="15" w:type="dxa"/>
            </w:tcMar>
            <w:vAlign w:val="center"/>
          </w:tcPr>
          <w:p w14:paraId="44F1DC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213" w:type="pct"/>
            <w:tcBorders>
              <w:tl2br w:val="nil"/>
              <w:tr2bl w:val="nil"/>
            </w:tcBorders>
            <w:shd w:val="clear" w:color="auto" w:fill="auto"/>
            <w:noWrap/>
            <w:tcMar>
              <w:top w:w="15" w:type="dxa"/>
              <w:left w:w="15" w:type="dxa"/>
              <w:right w:w="15" w:type="dxa"/>
            </w:tcMar>
            <w:vAlign w:val="center"/>
          </w:tcPr>
          <w:p w14:paraId="6578CD9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426" w:type="pct"/>
            <w:tcBorders>
              <w:tl2br w:val="nil"/>
              <w:tr2bl w:val="nil"/>
            </w:tcBorders>
            <w:shd w:val="clear" w:color="auto" w:fill="auto"/>
            <w:noWrap/>
            <w:tcMar>
              <w:top w:w="15" w:type="dxa"/>
              <w:left w:w="15" w:type="dxa"/>
              <w:right w:w="15" w:type="dxa"/>
            </w:tcMar>
            <w:vAlign w:val="center"/>
          </w:tcPr>
          <w:p w14:paraId="14064C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1F728A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含根系、砖块、碎石，下层主要由粘土组成</w:t>
            </w:r>
          </w:p>
        </w:tc>
      </w:tr>
      <w:tr w14:paraId="5ECE90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4F07DA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w:t>
            </w:r>
          </w:p>
        </w:tc>
        <w:tc>
          <w:tcPr>
            <w:tcW w:w="303" w:type="pct"/>
            <w:vMerge w:val="continue"/>
            <w:tcBorders>
              <w:tl2br w:val="nil"/>
              <w:tr2bl w:val="nil"/>
            </w:tcBorders>
            <w:shd w:val="clear" w:color="auto" w:fill="auto"/>
            <w:noWrap/>
            <w:tcMar>
              <w:top w:w="15" w:type="dxa"/>
              <w:left w:w="15" w:type="dxa"/>
              <w:right w:w="15" w:type="dxa"/>
            </w:tcMar>
            <w:vAlign w:val="center"/>
          </w:tcPr>
          <w:p w14:paraId="0B699DE6">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501" w:type="pct"/>
            <w:tcBorders>
              <w:tl2br w:val="nil"/>
              <w:tr2bl w:val="nil"/>
            </w:tcBorders>
            <w:shd w:val="clear" w:color="auto" w:fill="auto"/>
            <w:noWrap/>
            <w:tcMar>
              <w:top w:w="15" w:type="dxa"/>
              <w:left w:w="15" w:type="dxa"/>
              <w:right w:w="15" w:type="dxa"/>
            </w:tcMar>
            <w:vAlign w:val="center"/>
          </w:tcPr>
          <w:p w14:paraId="7692CE4D">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HR-4-200</w:t>
            </w:r>
          </w:p>
        </w:tc>
        <w:tc>
          <w:tcPr>
            <w:tcW w:w="348" w:type="pct"/>
            <w:tcBorders>
              <w:tl2br w:val="nil"/>
              <w:tr2bl w:val="nil"/>
            </w:tcBorders>
            <w:shd w:val="clear" w:color="auto" w:fill="auto"/>
            <w:noWrap/>
            <w:tcMar>
              <w:top w:w="15" w:type="dxa"/>
              <w:left w:w="15" w:type="dxa"/>
              <w:right w:w="15" w:type="dxa"/>
            </w:tcMar>
            <w:vAlign w:val="center"/>
          </w:tcPr>
          <w:p w14:paraId="3DB577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杂填土</w:t>
            </w:r>
          </w:p>
        </w:tc>
        <w:tc>
          <w:tcPr>
            <w:tcW w:w="244" w:type="pct"/>
            <w:tcBorders>
              <w:tl2br w:val="nil"/>
              <w:tr2bl w:val="nil"/>
            </w:tcBorders>
            <w:shd w:val="clear" w:color="auto" w:fill="auto"/>
            <w:noWrap/>
            <w:tcMar>
              <w:top w:w="15" w:type="dxa"/>
              <w:left w:w="15" w:type="dxa"/>
              <w:right w:w="15" w:type="dxa"/>
            </w:tcMar>
            <w:vAlign w:val="center"/>
          </w:tcPr>
          <w:p w14:paraId="4E074B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杂色</w:t>
            </w:r>
          </w:p>
        </w:tc>
        <w:tc>
          <w:tcPr>
            <w:tcW w:w="312" w:type="pct"/>
            <w:tcBorders>
              <w:tl2br w:val="nil"/>
              <w:tr2bl w:val="nil"/>
            </w:tcBorders>
            <w:shd w:val="clear" w:color="auto" w:fill="auto"/>
            <w:noWrap/>
            <w:tcMar>
              <w:top w:w="15" w:type="dxa"/>
              <w:left w:w="15" w:type="dxa"/>
              <w:right w:w="15" w:type="dxa"/>
            </w:tcMar>
            <w:vAlign w:val="center"/>
          </w:tcPr>
          <w:p w14:paraId="4CC82A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213" w:type="pct"/>
            <w:tcBorders>
              <w:tl2br w:val="nil"/>
              <w:tr2bl w:val="nil"/>
            </w:tcBorders>
            <w:shd w:val="clear" w:color="auto" w:fill="auto"/>
            <w:noWrap/>
            <w:tcMar>
              <w:top w:w="15" w:type="dxa"/>
              <w:left w:w="15" w:type="dxa"/>
              <w:right w:w="15" w:type="dxa"/>
            </w:tcMar>
            <w:vAlign w:val="center"/>
          </w:tcPr>
          <w:p w14:paraId="038B2C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426" w:type="pct"/>
            <w:tcBorders>
              <w:tl2br w:val="nil"/>
              <w:tr2bl w:val="nil"/>
            </w:tcBorders>
            <w:shd w:val="clear" w:color="auto" w:fill="auto"/>
            <w:noWrap/>
            <w:tcMar>
              <w:top w:w="15" w:type="dxa"/>
              <w:left w:w="15" w:type="dxa"/>
              <w:right w:w="15" w:type="dxa"/>
            </w:tcMar>
            <w:vAlign w:val="center"/>
          </w:tcPr>
          <w:p w14:paraId="0E3B36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可塑</w:t>
            </w:r>
          </w:p>
        </w:tc>
        <w:tc>
          <w:tcPr>
            <w:tcW w:w="2497" w:type="pct"/>
            <w:tcBorders>
              <w:tl2br w:val="nil"/>
              <w:tr2bl w:val="nil"/>
            </w:tcBorders>
            <w:shd w:val="clear" w:color="auto" w:fill="auto"/>
            <w:noWrap/>
            <w:tcMar>
              <w:top w:w="15" w:type="dxa"/>
              <w:left w:w="15" w:type="dxa"/>
              <w:right w:w="15" w:type="dxa"/>
            </w:tcMar>
            <w:vAlign w:val="center"/>
          </w:tcPr>
          <w:p w14:paraId="0116A3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含根系、石块，下层主要由粘土组成</w:t>
            </w:r>
          </w:p>
        </w:tc>
      </w:tr>
      <w:tr w14:paraId="529465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5A2CA3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12</w:t>
            </w:r>
          </w:p>
        </w:tc>
        <w:tc>
          <w:tcPr>
            <w:tcW w:w="303" w:type="pct"/>
            <w:vMerge w:val="continue"/>
            <w:tcBorders>
              <w:tl2br w:val="nil"/>
              <w:tr2bl w:val="nil"/>
            </w:tcBorders>
            <w:shd w:val="clear" w:color="auto" w:fill="auto"/>
            <w:noWrap/>
            <w:tcMar>
              <w:top w:w="15" w:type="dxa"/>
              <w:left w:w="15" w:type="dxa"/>
              <w:right w:w="15" w:type="dxa"/>
            </w:tcMar>
            <w:vAlign w:val="center"/>
          </w:tcPr>
          <w:p w14:paraId="2160EC27">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501" w:type="pct"/>
            <w:tcBorders>
              <w:tl2br w:val="nil"/>
              <w:tr2bl w:val="nil"/>
            </w:tcBorders>
            <w:shd w:val="clear" w:color="auto" w:fill="auto"/>
            <w:noWrap/>
            <w:tcMar>
              <w:top w:w="15" w:type="dxa"/>
              <w:left w:w="15" w:type="dxa"/>
              <w:right w:w="15" w:type="dxa"/>
            </w:tcMar>
            <w:vAlign w:val="center"/>
          </w:tcPr>
          <w:p w14:paraId="0E102474">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HR-4-400</w:t>
            </w:r>
          </w:p>
        </w:tc>
        <w:tc>
          <w:tcPr>
            <w:tcW w:w="348" w:type="pct"/>
            <w:tcBorders>
              <w:tl2br w:val="nil"/>
              <w:tr2bl w:val="nil"/>
            </w:tcBorders>
            <w:shd w:val="clear" w:color="auto" w:fill="auto"/>
            <w:noWrap/>
            <w:tcMar>
              <w:top w:w="15" w:type="dxa"/>
              <w:left w:w="15" w:type="dxa"/>
              <w:right w:w="15" w:type="dxa"/>
            </w:tcMar>
            <w:vAlign w:val="center"/>
          </w:tcPr>
          <w:p w14:paraId="466FF5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杂填土</w:t>
            </w:r>
          </w:p>
        </w:tc>
        <w:tc>
          <w:tcPr>
            <w:tcW w:w="244" w:type="pct"/>
            <w:tcBorders>
              <w:tl2br w:val="nil"/>
              <w:tr2bl w:val="nil"/>
            </w:tcBorders>
            <w:shd w:val="clear" w:color="auto" w:fill="auto"/>
            <w:noWrap/>
            <w:tcMar>
              <w:top w:w="15" w:type="dxa"/>
              <w:left w:w="15" w:type="dxa"/>
              <w:right w:w="15" w:type="dxa"/>
            </w:tcMar>
            <w:vAlign w:val="center"/>
          </w:tcPr>
          <w:p w14:paraId="29CC2F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黄褐色</w:t>
            </w:r>
          </w:p>
        </w:tc>
        <w:tc>
          <w:tcPr>
            <w:tcW w:w="312" w:type="pct"/>
            <w:tcBorders>
              <w:tl2br w:val="nil"/>
              <w:tr2bl w:val="nil"/>
            </w:tcBorders>
            <w:shd w:val="clear" w:color="auto" w:fill="auto"/>
            <w:noWrap/>
            <w:tcMar>
              <w:top w:w="15" w:type="dxa"/>
              <w:left w:w="15" w:type="dxa"/>
              <w:right w:w="15" w:type="dxa"/>
            </w:tcMar>
            <w:vAlign w:val="center"/>
          </w:tcPr>
          <w:p w14:paraId="49B556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213" w:type="pct"/>
            <w:tcBorders>
              <w:tl2br w:val="nil"/>
              <w:tr2bl w:val="nil"/>
            </w:tcBorders>
            <w:shd w:val="clear" w:color="auto" w:fill="auto"/>
            <w:noWrap/>
            <w:tcMar>
              <w:top w:w="15" w:type="dxa"/>
              <w:left w:w="15" w:type="dxa"/>
              <w:right w:w="15" w:type="dxa"/>
            </w:tcMar>
            <w:vAlign w:val="center"/>
          </w:tcPr>
          <w:p w14:paraId="6DF331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426" w:type="pct"/>
            <w:tcBorders>
              <w:tl2br w:val="nil"/>
              <w:tr2bl w:val="nil"/>
            </w:tcBorders>
            <w:shd w:val="clear" w:color="auto" w:fill="auto"/>
            <w:noWrap/>
            <w:tcMar>
              <w:top w:w="15" w:type="dxa"/>
              <w:left w:w="15" w:type="dxa"/>
              <w:right w:w="15" w:type="dxa"/>
            </w:tcMar>
            <w:vAlign w:val="center"/>
          </w:tcPr>
          <w:p w14:paraId="3BE1E8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1E67E8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含根系、石块，下层主要由粘土组成</w:t>
            </w:r>
          </w:p>
        </w:tc>
      </w:tr>
      <w:tr w14:paraId="411AA9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0C2B17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13</w:t>
            </w:r>
          </w:p>
        </w:tc>
        <w:tc>
          <w:tcPr>
            <w:tcW w:w="303" w:type="pct"/>
            <w:vMerge w:val="continue"/>
            <w:tcBorders>
              <w:tl2br w:val="nil"/>
              <w:tr2bl w:val="nil"/>
            </w:tcBorders>
            <w:shd w:val="clear" w:color="auto" w:fill="auto"/>
            <w:noWrap/>
            <w:tcMar>
              <w:top w:w="15" w:type="dxa"/>
              <w:left w:w="15" w:type="dxa"/>
              <w:right w:w="15" w:type="dxa"/>
            </w:tcMar>
            <w:vAlign w:val="center"/>
          </w:tcPr>
          <w:p w14:paraId="16CE5ABE">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p>
        </w:tc>
        <w:tc>
          <w:tcPr>
            <w:tcW w:w="501" w:type="pct"/>
            <w:tcBorders>
              <w:tl2br w:val="nil"/>
              <w:tr2bl w:val="nil"/>
            </w:tcBorders>
            <w:shd w:val="clear" w:color="auto" w:fill="auto"/>
            <w:noWrap/>
            <w:tcMar>
              <w:top w:w="15" w:type="dxa"/>
              <w:left w:w="15" w:type="dxa"/>
              <w:right w:w="15" w:type="dxa"/>
            </w:tcMar>
            <w:vAlign w:val="center"/>
          </w:tcPr>
          <w:p w14:paraId="5EB8A451">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HR-5</w:t>
            </w:r>
          </w:p>
        </w:tc>
        <w:tc>
          <w:tcPr>
            <w:tcW w:w="348" w:type="pct"/>
            <w:tcBorders>
              <w:tl2br w:val="nil"/>
              <w:tr2bl w:val="nil"/>
            </w:tcBorders>
            <w:shd w:val="clear" w:color="auto" w:fill="auto"/>
            <w:noWrap/>
            <w:tcMar>
              <w:top w:w="15" w:type="dxa"/>
              <w:left w:w="15" w:type="dxa"/>
              <w:right w:w="15" w:type="dxa"/>
            </w:tcMar>
            <w:vAlign w:val="center"/>
          </w:tcPr>
          <w:p w14:paraId="176A5F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eastAsia" w:cs="Times New Roman"/>
                <w:i w:val="0"/>
                <w:color w:val="000000"/>
                <w:kern w:val="0"/>
                <w:sz w:val="21"/>
                <w:szCs w:val="21"/>
                <w:highlight w:val="none"/>
                <w:u w:val="none"/>
                <w:lang w:val="en-US" w:eastAsia="zh-CN" w:bidi="ar"/>
              </w:rPr>
              <w:t>耕植土</w:t>
            </w:r>
          </w:p>
        </w:tc>
        <w:tc>
          <w:tcPr>
            <w:tcW w:w="244" w:type="pct"/>
            <w:tcBorders>
              <w:tl2br w:val="nil"/>
              <w:tr2bl w:val="nil"/>
            </w:tcBorders>
            <w:shd w:val="clear" w:color="auto" w:fill="auto"/>
            <w:noWrap/>
            <w:tcMar>
              <w:top w:w="15" w:type="dxa"/>
              <w:left w:w="15" w:type="dxa"/>
              <w:right w:w="15" w:type="dxa"/>
            </w:tcMar>
            <w:vAlign w:val="center"/>
          </w:tcPr>
          <w:p w14:paraId="43D964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棕褐色</w:t>
            </w:r>
          </w:p>
        </w:tc>
        <w:tc>
          <w:tcPr>
            <w:tcW w:w="312" w:type="pct"/>
            <w:tcBorders>
              <w:tl2br w:val="nil"/>
              <w:tr2bl w:val="nil"/>
            </w:tcBorders>
            <w:shd w:val="clear" w:color="auto" w:fill="auto"/>
            <w:noWrap/>
            <w:tcMar>
              <w:top w:w="15" w:type="dxa"/>
              <w:left w:w="15" w:type="dxa"/>
              <w:right w:w="15" w:type="dxa"/>
            </w:tcMar>
            <w:vAlign w:val="center"/>
          </w:tcPr>
          <w:p w14:paraId="72CC64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213" w:type="pct"/>
            <w:tcBorders>
              <w:tl2br w:val="nil"/>
              <w:tr2bl w:val="nil"/>
            </w:tcBorders>
            <w:shd w:val="clear" w:color="auto" w:fill="auto"/>
            <w:noWrap/>
            <w:tcMar>
              <w:top w:w="15" w:type="dxa"/>
              <w:left w:w="15" w:type="dxa"/>
              <w:right w:w="15" w:type="dxa"/>
            </w:tcMar>
            <w:vAlign w:val="center"/>
          </w:tcPr>
          <w:p w14:paraId="315043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426" w:type="pct"/>
            <w:tcBorders>
              <w:tl2br w:val="nil"/>
              <w:tr2bl w:val="nil"/>
            </w:tcBorders>
            <w:shd w:val="clear" w:color="auto" w:fill="auto"/>
            <w:noWrap/>
            <w:tcMar>
              <w:top w:w="15" w:type="dxa"/>
              <w:left w:w="15" w:type="dxa"/>
              <w:right w:w="15" w:type="dxa"/>
            </w:tcMar>
            <w:vAlign w:val="center"/>
          </w:tcPr>
          <w:p w14:paraId="00AF5F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5E75F1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含根系、石块，下层主要由粉质粘土组成</w:t>
            </w:r>
          </w:p>
        </w:tc>
      </w:tr>
      <w:tr w14:paraId="38528C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4BF33F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14</w:t>
            </w:r>
          </w:p>
        </w:tc>
        <w:tc>
          <w:tcPr>
            <w:tcW w:w="303" w:type="pct"/>
            <w:vMerge w:val="continue"/>
            <w:tcBorders>
              <w:tl2br w:val="nil"/>
              <w:tr2bl w:val="nil"/>
            </w:tcBorders>
            <w:shd w:val="clear" w:color="auto" w:fill="auto"/>
            <w:noWrap/>
            <w:tcMar>
              <w:top w:w="15" w:type="dxa"/>
              <w:left w:w="15" w:type="dxa"/>
              <w:right w:w="15" w:type="dxa"/>
            </w:tcMar>
            <w:vAlign w:val="center"/>
          </w:tcPr>
          <w:p w14:paraId="5DF204D4">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val="en-US" w:eastAsia="zh-CN"/>
              </w:rPr>
            </w:pPr>
          </w:p>
        </w:tc>
        <w:tc>
          <w:tcPr>
            <w:tcW w:w="501" w:type="pct"/>
            <w:tcBorders>
              <w:tl2br w:val="nil"/>
              <w:tr2bl w:val="nil"/>
            </w:tcBorders>
            <w:shd w:val="clear" w:color="auto" w:fill="auto"/>
            <w:noWrap/>
            <w:tcMar>
              <w:top w:w="15" w:type="dxa"/>
              <w:left w:w="15" w:type="dxa"/>
              <w:right w:w="15" w:type="dxa"/>
            </w:tcMar>
            <w:vAlign w:val="center"/>
          </w:tcPr>
          <w:p w14:paraId="21113F0E">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HR-6</w:t>
            </w:r>
          </w:p>
        </w:tc>
        <w:tc>
          <w:tcPr>
            <w:tcW w:w="348" w:type="pct"/>
            <w:tcBorders>
              <w:tl2br w:val="nil"/>
              <w:tr2bl w:val="nil"/>
            </w:tcBorders>
            <w:shd w:val="clear" w:color="auto" w:fill="auto"/>
            <w:noWrap/>
            <w:tcMar>
              <w:top w:w="15" w:type="dxa"/>
              <w:left w:w="15" w:type="dxa"/>
              <w:right w:w="15" w:type="dxa"/>
            </w:tcMar>
            <w:vAlign w:val="center"/>
          </w:tcPr>
          <w:p w14:paraId="5C8158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素填土</w:t>
            </w:r>
          </w:p>
        </w:tc>
        <w:tc>
          <w:tcPr>
            <w:tcW w:w="244" w:type="pct"/>
            <w:tcBorders>
              <w:tl2br w:val="nil"/>
              <w:tr2bl w:val="nil"/>
            </w:tcBorders>
            <w:shd w:val="clear" w:color="auto" w:fill="auto"/>
            <w:noWrap/>
            <w:tcMar>
              <w:top w:w="15" w:type="dxa"/>
              <w:left w:w="15" w:type="dxa"/>
              <w:right w:w="15" w:type="dxa"/>
            </w:tcMar>
            <w:vAlign w:val="center"/>
          </w:tcPr>
          <w:p w14:paraId="597292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黄褐色</w:t>
            </w:r>
          </w:p>
        </w:tc>
        <w:tc>
          <w:tcPr>
            <w:tcW w:w="312" w:type="pct"/>
            <w:tcBorders>
              <w:tl2br w:val="nil"/>
              <w:tr2bl w:val="nil"/>
            </w:tcBorders>
            <w:shd w:val="clear" w:color="auto" w:fill="auto"/>
            <w:noWrap/>
            <w:tcMar>
              <w:top w:w="15" w:type="dxa"/>
              <w:left w:w="15" w:type="dxa"/>
              <w:right w:w="15" w:type="dxa"/>
            </w:tcMar>
            <w:vAlign w:val="center"/>
          </w:tcPr>
          <w:p w14:paraId="6BFD54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213" w:type="pct"/>
            <w:tcBorders>
              <w:tl2br w:val="nil"/>
              <w:tr2bl w:val="nil"/>
            </w:tcBorders>
            <w:shd w:val="clear" w:color="auto" w:fill="auto"/>
            <w:noWrap/>
            <w:tcMar>
              <w:top w:w="15" w:type="dxa"/>
              <w:left w:w="15" w:type="dxa"/>
              <w:right w:w="15" w:type="dxa"/>
            </w:tcMar>
            <w:vAlign w:val="center"/>
          </w:tcPr>
          <w:p w14:paraId="456432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426" w:type="pct"/>
            <w:tcBorders>
              <w:tl2br w:val="nil"/>
              <w:tr2bl w:val="nil"/>
            </w:tcBorders>
            <w:shd w:val="clear" w:color="auto" w:fill="auto"/>
            <w:noWrap/>
            <w:tcMar>
              <w:top w:w="15" w:type="dxa"/>
              <w:left w:w="15" w:type="dxa"/>
              <w:right w:w="15" w:type="dxa"/>
            </w:tcMar>
            <w:vAlign w:val="center"/>
          </w:tcPr>
          <w:p w14:paraId="6B40F1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44E949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含根系、碎石，下层主要由粉质粘土组成，含高岭土、黑色铁锰氧化物</w:t>
            </w:r>
          </w:p>
        </w:tc>
      </w:tr>
      <w:tr w14:paraId="63A60E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33A2CB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15</w:t>
            </w:r>
          </w:p>
        </w:tc>
        <w:tc>
          <w:tcPr>
            <w:tcW w:w="303" w:type="pct"/>
            <w:vMerge w:val="restart"/>
            <w:tcBorders>
              <w:tl2br w:val="nil"/>
              <w:tr2bl w:val="nil"/>
            </w:tcBorders>
            <w:shd w:val="clear" w:color="auto" w:fill="auto"/>
            <w:noWrap/>
            <w:tcMar>
              <w:top w:w="15" w:type="dxa"/>
              <w:left w:w="15" w:type="dxa"/>
              <w:right w:w="15" w:type="dxa"/>
            </w:tcMar>
            <w:vAlign w:val="center"/>
          </w:tcPr>
          <w:p w14:paraId="48C18F6F">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val="en-US" w:eastAsia="zh-CN"/>
              </w:rPr>
              <w:t>企业聚集区周边</w:t>
            </w:r>
          </w:p>
        </w:tc>
        <w:tc>
          <w:tcPr>
            <w:tcW w:w="501" w:type="pct"/>
            <w:tcBorders>
              <w:tl2br w:val="nil"/>
              <w:tr2bl w:val="nil"/>
            </w:tcBorders>
            <w:shd w:val="clear" w:color="auto" w:fill="auto"/>
            <w:noWrap/>
            <w:tcMar>
              <w:top w:w="15" w:type="dxa"/>
              <w:left w:w="15" w:type="dxa"/>
              <w:right w:w="15" w:type="dxa"/>
            </w:tcMar>
            <w:vAlign w:val="center"/>
          </w:tcPr>
          <w:p w14:paraId="47CC2626">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HR-JJ-1</w:t>
            </w:r>
          </w:p>
        </w:tc>
        <w:tc>
          <w:tcPr>
            <w:tcW w:w="348" w:type="pct"/>
            <w:tcBorders>
              <w:tl2br w:val="nil"/>
              <w:tr2bl w:val="nil"/>
            </w:tcBorders>
            <w:shd w:val="clear" w:color="auto" w:fill="auto"/>
            <w:noWrap/>
            <w:tcMar>
              <w:top w:w="15" w:type="dxa"/>
              <w:left w:w="15" w:type="dxa"/>
              <w:right w:w="15" w:type="dxa"/>
            </w:tcMar>
            <w:vAlign w:val="center"/>
          </w:tcPr>
          <w:p w14:paraId="57C44B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杂填土</w:t>
            </w:r>
          </w:p>
        </w:tc>
        <w:tc>
          <w:tcPr>
            <w:tcW w:w="244" w:type="pct"/>
            <w:tcBorders>
              <w:tl2br w:val="nil"/>
              <w:tr2bl w:val="nil"/>
            </w:tcBorders>
            <w:shd w:val="clear" w:color="auto" w:fill="auto"/>
            <w:noWrap/>
            <w:tcMar>
              <w:top w:w="15" w:type="dxa"/>
              <w:left w:w="15" w:type="dxa"/>
              <w:right w:w="15" w:type="dxa"/>
            </w:tcMar>
            <w:vAlign w:val="center"/>
          </w:tcPr>
          <w:p w14:paraId="0C29F5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杂色</w:t>
            </w:r>
          </w:p>
        </w:tc>
        <w:tc>
          <w:tcPr>
            <w:tcW w:w="312" w:type="pct"/>
            <w:tcBorders>
              <w:tl2br w:val="nil"/>
              <w:tr2bl w:val="nil"/>
            </w:tcBorders>
            <w:shd w:val="clear" w:color="auto" w:fill="auto"/>
            <w:noWrap/>
            <w:tcMar>
              <w:top w:w="15" w:type="dxa"/>
              <w:left w:w="15" w:type="dxa"/>
              <w:right w:w="15" w:type="dxa"/>
            </w:tcMar>
            <w:vAlign w:val="center"/>
          </w:tcPr>
          <w:p w14:paraId="31B82B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干</w:t>
            </w:r>
          </w:p>
        </w:tc>
        <w:tc>
          <w:tcPr>
            <w:tcW w:w="213" w:type="pct"/>
            <w:tcBorders>
              <w:tl2br w:val="nil"/>
              <w:tr2bl w:val="nil"/>
            </w:tcBorders>
            <w:shd w:val="clear" w:color="auto" w:fill="auto"/>
            <w:noWrap/>
            <w:tcMar>
              <w:top w:w="15" w:type="dxa"/>
              <w:left w:w="15" w:type="dxa"/>
              <w:right w:w="15" w:type="dxa"/>
            </w:tcMar>
            <w:vAlign w:val="center"/>
          </w:tcPr>
          <w:p w14:paraId="25E274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426" w:type="pct"/>
            <w:tcBorders>
              <w:tl2br w:val="nil"/>
              <w:tr2bl w:val="nil"/>
            </w:tcBorders>
            <w:shd w:val="clear" w:color="auto" w:fill="auto"/>
            <w:noWrap/>
            <w:tcMar>
              <w:top w:w="15" w:type="dxa"/>
              <w:left w:w="15" w:type="dxa"/>
              <w:right w:w="15" w:type="dxa"/>
            </w:tcMar>
            <w:vAlign w:val="center"/>
          </w:tcPr>
          <w:p w14:paraId="4EFD40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49DF93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含根系、碎石，含砂质</w:t>
            </w:r>
          </w:p>
        </w:tc>
      </w:tr>
      <w:tr w14:paraId="284CC8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4B78D5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16</w:t>
            </w:r>
          </w:p>
        </w:tc>
        <w:tc>
          <w:tcPr>
            <w:tcW w:w="303" w:type="pct"/>
            <w:vMerge w:val="continue"/>
            <w:tcBorders>
              <w:tl2br w:val="nil"/>
              <w:tr2bl w:val="nil"/>
            </w:tcBorders>
            <w:shd w:val="clear" w:color="auto" w:fill="auto"/>
            <w:noWrap/>
            <w:tcMar>
              <w:top w:w="15" w:type="dxa"/>
              <w:left w:w="15" w:type="dxa"/>
              <w:right w:w="15" w:type="dxa"/>
            </w:tcMar>
            <w:vAlign w:val="center"/>
          </w:tcPr>
          <w:p w14:paraId="663F4869">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eastAsia="zh-CN"/>
              </w:rPr>
            </w:pPr>
          </w:p>
        </w:tc>
        <w:tc>
          <w:tcPr>
            <w:tcW w:w="501" w:type="pct"/>
            <w:tcBorders>
              <w:tl2br w:val="nil"/>
              <w:tr2bl w:val="nil"/>
            </w:tcBorders>
            <w:shd w:val="clear" w:color="auto" w:fill="auto"/>
            <w:noWrap/>
            <w:tcMar>
              <w:top w:w="15" w:type="dxa"/>
              <w:left w:w="15" w:type="dxa"/>
              <w:right w:w="15" w:type="dxa"/>
            </w:tcMar>
            <w:vAlign w:val="center"/>
          </w:tcPr>
          <w:p w14:paraId="02F78046">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HR-JJ-2</w:t>
            </w:r>
          </w:p>
        </w:tc>
        <w:tc>
          <w:tcPr>
            <w:tcW w:w="348" w:type="pct"/>
            <w:tcBorders>
              <w:tl2br w:val="nil"/>
              <w:tr2bl w:val="nil"/>
            </w:tcBorders>
            <w:shd w:val="clear" w:color="auto" w:fill="auto"/>
            <w:noWrap/>
            <w:tcMar>
              <w:top w:w="15" w:type="dxa"/>
              <w:left w:w="15" w:type="dxa"/>
              <w:right w:w="15" w:type="dxa"/>
            </w:tcMar>
            <w:vAlign w:val="center"/>
          </w:tcPr>
          <w:p w14:paraId="4B3DA0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杂填土</w:t>
            </w:r>
          </w:p>
        </w:tc>
        <w:tc>
          <w:tcPr>
            <w:tcW w:w="244" w:type="pct"/>
            <w:tcBorders>
              <w:tl2br w:val="nil"/>
              <w:tr2bl w:val="nil"/>
            </w:tcBorders>
            <w:shd w:val="clear" w:color="auto" w:fill="auto"/>
            <w:noWrap/>
            <w:tcMar>
              <w:top w:w="15" w:type="dxa"/>
              <w:left w:w="15" w:type="dxa"/>
              <w:right w:w="15" w:type="dxa"/>
            </w:tcMar>
            <w:vAlign w:val="center"/>
          </w:tcPr>
          <w:p w14:paraId="25AB8A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杂色</w:t>
            </w:r>
          </w:p>
        </w:tc>
        <w:tc>
          <w:tcPr>
            <w:tcW w:w="312" w:type="pct"/>
            <w:tcBorders>
              <w:tl2br w:val="nil"/>
              <w:tr2bl w:val="nil"/>
            </w:tcBorders>
            <w:shd w:val="clear" w:color="auto" w:fill="auto"/>
            <w:noWrap/>
            <w:tcMar>
              <w:top w:w="15" w:type="dxa"/>
              <w:left w:w="15" w:type="dxa"/>
              <w:right w:w="15" w:type="dxa"/>
            </w:tcMar>
            <w:vAlign w:val="center"/>
          </w:tcPr>
          <w:p w14:paraId="3D6206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213" w:type="pct"/>
            <w:tcBorders>
              <w:tl2br w:val="nil"/>
              <w:tr2bl w:val="nil"/>
            </w:tcBorders>
            <w:shd w:val="clear" w:color="auto" w:fill="auto"/>
            <w:noWrap/>
            <w:tcMar>
              <w:top w:w="15" w:type="dxa"/>
              <w:left w:w="15" w:type="dxa"/>
              <w:right w:w="15" w:type="dxa"/>
            </w:tcMar>
            <w:vAlign w:val="center"/>
          </w:tcPr>
          <w:p w14:paraId="4B3FD8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426" w:type="pct"/>
            <w:tcBorders>
              <w:tl2br w:val="nil"/>
              <w:tr2bl w:val="nil"/>
            </w:tcBorders>
            <w:shd w:val="clear" w:color="auto" w:fill="auto"/>
            <w:noWrap/>
            <w:tcMar>
              <w:top w:w="15" w:type="dxa"/>
              <w:left w:w="15" w:type="dxa"/>
              <w:right w:w="15" w:type="dxa"/>
            </w:tcMar>
            <w:vAlign w:val="center"/>
          </w:tcPr>
          <w:p w14:paraId="346CA3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4937EC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含根系、碎石，下层主要由粘土组成</w:t>
            </w:r>
          </w:p>
        </w:tc>
      </w:tr>
      <w:tr w14:paraId="6772B4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0ACDDF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17</w:t>
            </w:r>
          </w:p>
        </w:tc>
        <w:tc>
          <w:tcPr>
            <w:tcW w:w="303" w:type="pct"/>
            <w:vMerge w:val="continue"/>
            <w:tcBorders>
              <w:tl2br w:val="nil"/>
              <w:tr2bl w:val="nil"/>
            </w:tcBorders>
            <w:shd w:val="clear" w:color="auto" w:fill="auto"/>
            <w:noWrap/>
            <w:tcMar>
              <w:top w:w="15" w:type="dxa"/>
              <w:left w:w="15" w:type="dxa"/>
              <w:right w:w="15" w:type="dxa"/>
            </w:tcMar>
            <w:vAlign w:val="center"/>
          </w:tcPr>
          <w:p w14:paraId="112C2198">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eastAsia="zh-CN"/>
              </w:rPr>
            </w:pPr>
          </w:p>
        </w:tc>
        <w:tc>
          <w:tcPr>
            <w:tcW w:w="501" w:type="pct"/>
            <w:tcBorders>
              <w:tl2br w:val="nil"/>
              <w:tr2bl w:val="nil"/>
            </w:tcBorders>
            <w:shd w:val="clear" w:color="auto" w:fill="auto"/>
            <w:noWrap/>
            <w:tcMar>
              <w:top w:w="15" w:type="dxa"/>
              <w:left w:w="15" w:type="dxa"/>
              <w:right w:w="15" w:type="dxa"/>
            </w:tcMar>
            <w:vAlign w:val="center"/>
          </w:tcPr>
          <w:p w14:paraId="6EC3E04E">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HR-JJ-3</w:t>
            </w:r>
          </w:p>
        </w:tc>
        <w:tc>
          <w:tcPr>
            <w:tcW w:w="348" w:type="pct"/>
            <w:tcBorders>
              <w:tl2br w:val="nil"/>
              <w:tr2bl w:val="nil"/>
            </w:tcBorders>
            <w:shd w:val="clear" w:color="auto" w:fill="auto"/>
            <w:noWrap/>
            <w:tcMar>
              <w:top w:w="15" w:type="dxa"/>
              <w:left w:w="15" w:type="dxa"/>
              <w:right w:w="15" w:type="dxa"/>
            </w:tcMar>
            <w:vAlign w:val="center"/>
          </w:tcPr>
          <w:p w14:paraId="697B13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素填土</w:t>
            </w:r>
          </w:p>
        </w:tc>
        <w:tc>
          <w:tcPr>
            <w:tcW w:w="244" w:type="pct"/>
            <w:tcBorders>
              <w:tl2br w:val="nil"/>
              <w:tr2bl w:val="nil"/>
            </w:tcBorders>
            <w:shd w:val="clear" w:color="auto" w:fill="auto"/>
            <w:noWrap/>
            <w:tcMar>
              <w:top w:w="15" w:type="dxa"/>
              <w:left w:w="15" w:type="dxa"/>
              <w:right w:w="15" w:type="dxa"/>
            </w:tcMar>
            <w:vAlign w:val="center"/>
          </w:tcPr>
          <w:p w14:paraId="29BD2C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棕褐色</w:t>
            </w:r>
          </w:p>
        </w:tc>
        <w:tc>
          <w:tcPr>
            <w:tcW w:w="312" w:type="pct"/>
            <w:tcBorders>
              <w:tl2br w:val="nil"/>
              <w:tr2bl w:val="nil"/>
            </w:tcBorders>
            <w:shd w:val="clear" w:color="auto" w:fill="auto"/>
            <w:noWrap/>
            <w:tcMar>
              <w:top w:w="15" w:type="dxa"/>
              <w:left w:w="15" w:type="dxa"/>
              <w:right w:w="15" w:type="dxa"/>
            </w:tcMar>
            <w:vAlign w:val="center"/>
          </w:tcPr>
          <w:p w14:paraId="201B8B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潮湿</w:t>
            </w:r>
          </w:p>
        </w:tc>
        <w:tc>
          <w:tcPr>
            <w:tcW w:w="213" w:type="pct"/>
            <w:tcBorders>
              <w:tl2br w:val="nil"/>
              <w:tr2bl w:val="nil"/>
            </w:tcBorders>
            <w:shd w:val="clear" w:color="auto" w:fill="auto"/>
            <w:noWrap/>
            <w:tcMar>
              <w:top w:w="15" w:type="dxa"/>
              <w:left w:w="15" w:type="dxa"/>
              <w:right w:w="15" w:type="dxa"/>
            </w:tcMar>
            <w:vAlign w:val="center"/>
          </w:tcPr>
          <w:p w14:paraId="5194A1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426" w:type="pct"/>
            <w:tcBorders>
              <w:tl2br w:val="nil"/>
              <w:tr2bl w:val="nil"/>
            </w:tcBorders>
            <w:shd w:val="clear" w:color="auto" w:fill="auto"/>
            <w:noWrap/>
            <w:tcMar>
              <w:top w:w="15" w:type="dxa"/>
              <w:left w:w="15" w:type="dxa"/>
              <w:right w:w="15" w:type="dxa"/>
            </w:tcMar>
            <w:vAlign w:val="center"/>
          </w:tcPr>
          <w:p w14:paraId="1ADCA3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206C48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含根系、碎石，下层主要由粘土组成，含高岭土、黑色铁锰氧化物</w:t>
            </w:r>
          </w:p>
        </w:tc>
      </w:tr>
      <w:tr w14:paraId="620EB0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7E32AA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18</w:t>
            </w:r>
          </w:p>
        </w:tc>
        <w:tc>
          <w:tcPr>
            <w:tcW w:w="303" w:type="pct"/>
            <w:vMerge w:val="continue"/>
            <w:tcBorders>
              <w:tl2br w:val="nil"/>
              <w:tr2bl w:val="nil"/>
            </w:tcBorders>
            <w:shd w:val="clear" w:color="auto" w:fill="auto"/>
            <w:noWrap/>
            <w:tcMar>
              <w:top w:w="15" w:type="dxa"/>
              <w:left w:w="15" w:type="dxa"/>
              <w:right w:w="15" w:type="dxa"/>
            </w:tcMar>
            <w:vAlign w:val="center"/>
          </w:tcPr>
          <w:p w14:paraId="4D56660C">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eastAsia="zh-CN"/>
              </w:rPr>
            </w:pPr>
          </w:p>
        </w:tc>
        <w:tc>
          <w:tcPr>
            <w:tcW w:w="501" w:type="pct"/>
            <w:tcBorders>
              <w:tl2br w:val="nil"/>
              <w:tr2bl w:val="nil"/>
            </w:tcBorders>
            <w:shd w:val="clear" w:color="auto" w:fill="auto"/>
            <w:noWrap/>
            <w:tcMar>
              <w:top w:w="15" w:type="dxa"/>
              <w:left w:w="15" w:type="dxa"/>
              <w:right w:w="15" w:type="dxa"/>
            </w:tcMar>
            <w:vAlign w:val="center"/>
          </w:tcPr>
          <w:p w14:paraId="460C3DD1">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HR-JJ-4</w:t>
            </w:r>
          </w:p>
        </w:tc>
        <w:tc>
          <w:tcPr>
            <w:tcW w:w="348" w:type="pct"/>
            <w:tcBorders>
              <w:tl2br w:val="nil"/>
              <w:tr2bl w:val="nil"/>
            </w:tcBorders>
            <w:shd w:val="clear" w:color="auto" w:fill="auto"/>
            <w:noWrap/>
            <w:tcMar>
              <w:top w:w="15" w:type="dxa"/>
              <w:left w:w="15" w:type="dxa"/>
              <w:right w:w="15" w:type="dxa"/>
            </w:tcMar>
            <w:vAlign w:val="center"/>
          </w:tcPr>
          <w:p w14:paraId="741BF2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素填土</w:t>
            </w:r>
          </w:p>
        </w:tc>
        <w:tc>
          <w:tcPr>
            <w:tcW w:w="244" w:type="pct"/>
            <w:tcBorders>
              <w:tl2br w:val="nil"/>
              <w:tr2bl w:val="nil"/>
            </w:tcBorders>
            <w:shd w:val="clear" w:color="auto" w:fill="auto"/>
            <w:noWrap/>
            <w:tcMar>
              <w:top w:w="15" w:type="dxa"/>
              <w:left w:w="15" w:type="dxa"/>
              <w:right w:w="15" w:type="dxa"/>
            </w:tcMar>
            <w:vAlign w:val="center"/>
          </w:tcPr>
          <w:p w14:paraId="34B35B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黄褐色</w:t>
            </w:r>
          </w:p>
        </w:tc>
        <w:tc>
          <w:tcPr>
            <w:tcW w:w="312" w:type="pct"/>
            <w:tcBorders>
              <w:tl2br w:val="nil"/>
              <w:tr2bl w:val="nil"/>
            </w:tcBorders>
            <w:shd w:val="clear" w:color="auto" w:fill="auto"/>
            <w:noWrap/>
            <w:tcMar>
              <w:top w:w="15" w:type="dxa"/>
              <w:left w:w="15" w:type="dxa"/>
              <w:right w:w="15" w:type="dxa"/>
            </w:tcMar>
            <w:vAlign w:val="center"/>
          </w:tcPr>
          <w:p w14:paraId="7AA0B1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潮湿</w:t>
            </w:r>
          </w:p>
        </w:tc>
        <w:tc>
          <w:tcPr>
            <w:tcW w:w="213" w:type="pct"/>
            <w:tcBorders>
              <w:tl2br w:val="nil"/>
              <w:tr2bl w:val="nil"/>
            </w:tcBorders>
            <w:shd w:val="clear" w:color="auto" w:fill="auto"/>
            <w:noWrap/>
            <w:tcMar>
              <w:top w:w="15" w:type="dxa"/>
              <w:left w:w="15" w:type="dxa"/>
              <w:right w:w="15" w:type="dxa"/>
            </w:tcMar>
            <w:vAlign w:val="center"/>
          </w:tcPr>
          <w:p w14:paraId="76A672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426" w:type="pct"/>
            <w:tcBorders>
              <w:tl2br w:val="nil"/>
              <w:tr2bl w:val="nil"/>
            </w:tcBorders>
            <w:shd w:val="clear" w:color="auto" w:fill="auto"/>
            <w:noWrap/>
            <w:tcMar>
              <w:top w:w="15" w:type="dxa"/>
              <w:left w:w="15" w:type="dxa"/>
              <w:right w:w="15" w:type="dxa"/>
            </w:tcMar>
            <w:vAlign w:val="center"/>
          </w:tcPr>
          <w:p w14:paraId="04F43C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09FD21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主要由粘土组成，含高岭土、黑色铁锰氧化物</w:t>
            </w:r>
          </w:p>
        </w:tc>
      </w:tr>
      <w:tr w14:paraId="18B025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0355BF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19</w:t>
            </w:r>
          </w:p>
        </w:tc>
        <w:tc>
          <w:tcPr>
            <w:tcW w:w="303" w:type="pct"/>
            <w:vMerge w:val="continue"/>
            <w:tcBorders>
              <w:tl2br w:val="nil"/>
              <w:tr2bl w:val="nil"/>
            </w:tcBorders>
            <w:shd w:val="clear" w:color="auto" w:fill="auto"/>
            <w:noWrap/>
            <w:tcMar>
              <w:top w:w="15" w:type="dxa"/>
              <w:left w:w="15" w:type="dxa"/>
              <w:right w:w="15" w:type="dxa"/>
            </w:tcMar>
            <w:vAlign w:val="center"/>
          </w:tcPr>
          <w:p w14:paraId="50CA64CA">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eastAsia="zh-CN"/>
              </w:rPr>
            </w:pPr>
          </w:p>
        </w:tc>
        <w:tc>
          <w:tcPr>
            <w:tcW w:w="501" w:type="pct"/>
            <w:tcBorders>
              <w:tl2br w:val="nil"/>
              <w:tr2bl w:val="nil"/>
            </w:tcBorders>
            <w:shd w:val="clear" w:color="auto" w:fill="auto"/>
            <w:noWrap/>
            <w:tcMar>
              <w:top w:w="15" w:type="dxa"/>
              <w:left w:w="15" w:type="dxa"/>
              <w:right w:w="15" w:type="dxa"/>
            </w:tcMar>
            <w:vAlign w:val="center"/>
          </w:tcPr>
          <w:p w14:paraId="4EA37F38">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HR-JJ-5</w:t>
            </w:r>
          </w:p>
        </w:tc>
        <w:tc>
          <w:tcPr>
            <w:tcW w:w="348" w:type="pct"/>
            <w:tcBorders>
              <w:tl2br w:val="nil"/>
              <w:tr2bl w:val="nil"/>
            </w:tcBorders>
            <w:shd w:val="clear" w:color="auto" w:fill="auto"/>
            <w:noWrap/>
            <w:tcMar>
              <w:top w:w="15" w:type="dxa"/>
              <w:left w:w="15" w:type="dxa"/>
              <w:right w:w="15" w:type="dxa"/>
            </w:tcMar>
            <w:vAlign w:val="center"/>
          </w:tcPr>
          <w:p w14:paraId="4BFDE5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素填土</w:t>
            </w:r>
          </w:p>
        </w:tc>
        <w:tc>
          <w:tcPr>
            <w:tcW w:w="244" w:type="pct"/>
            <w:tcBorders>
              <w:tl2br w:val="nil"/>
              <w:tr2bl w:val="nil"/>
            </w:tcBorders>
            <w:shd w:val="clear" w:color="auto" w:fill="auto"/>
            <w:noWrap/>
            <w:tcMar>
              <w:top w:w="15" w:type="dxa"/>
              <w:left w:w="15" w:type="dxa"/>
              <w:right w:w="15" w:type="dxa"/>
            </w:tcMar>
            <w:vAlign w:val="center"/>
          </w:tcPr>
          <w:p w14:paraId="719F55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黄褐色</w:t>
            </w:r>
          </w:p>
        </w:tc>
        <w:tc>
          <w:tcPr>
            <w:tcW w:w="312" w:type="pct"/>
            <w:tcBorders>
              <w:tl2br w:val="nil"/>
              <w:tr2bl w:val="nil"/>
            </w:tcBorders>
            <w:shd w:val="clear" w:color="auto" w:fill="auto"/>
            <w:noWrap/>
            <w:tcMar>
              <w:top w:w="15" w:type="dxa"/>
              <w:left w:w="15" w:type="dxa"/>
              <w:right w:w="15" w:type="dxa"/>
            </w:tcMar>
            <w:vAlign w:val="center"/>
          </w:tcPr>
          <w:p w14:paraId="535B28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213" w:type="pct"/>
            <w:tcBorders>
              <w:tl2br w:val="nil"/>
              <w:tr2bl w:val="nil"/>
            </w:tcBorders>
            <w:shd w:val="clear" w:color="auto" w:fill="auto"/>
            <w:noWrap/>
            <w:tcMar>
              <w:top w:w="15" w:type="dxa"/>
              <w:left w:w="15" w:type="dxa"/>
              <w:right w:w="15" w:type="dxa"/>
            </w:tcMar>
            <w:vAlign w:val="center"/>
          </w:tcPr>
          <w:p w14:paraId="6D912B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426" w:type="pct"/>
            <w:tcBorders>
              <w:tl2br w:val="nil"/>
              <w:tr2bl w:val="nil"/>
            </w:tcBorders>
            <w:shd w:val="clear" w:color="auto" w:fill="auto"/>
            <w:noWrap/>
            <w:tcMar>
              <w:top w:w="15" w:type="dxa"/>
              <w:left w:w="15" w:type="dxa"/>
              <w:right w:w="15" w:type="dxa"/>
            </w:tcMar>
            <w:vAlign w:val="center"/>
          </w:tcPr>
          <w:p w14:paraId="7A1F83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0D38DD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含根系、石块，下层主要由粘土组成，含高岭土、黑色铁锰氧化物</w:t>
            </w:r>
          </w:p>
        </w:tc>
      </w:tr>
      <w:tr w14:paraId="25B84E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51" w:type="pct"/>
            <w:tcBorders>
              <w:tl2br w:val="nil"/>
              <w:tr2bl w:val="nil"/>
            </w:tcBorders>
            <w:shd w:val="clear" w:color="auto" w:fill="auto"/>
            <w:noWrap/>
            <w:tcMar>
              <w:top w:w="15" w:type="dxa"/>
              <w:left w:w="15" w:type="dxa"/>
              <w:right w:w="15" w:type="dxa"/>
            </w:tcMar>
            <w:vAlign w:val="center"/>
          </w:tcPr>
          <w:p w14:paraId="7EDF1A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20</w:t>
            </w:r>
          </w:p>
        </w:tc>
        <w:tc>
          <w:tcPr>
            <w:tcW w:w="303" w:type="pct"/>
            <w:vMerge w:val="continue"/>
            <w:tcBorders>
              <w:tl2br w:val="nil"/>
              <w:tr2bl w:val="nil"/>
            </w:tcBorders>
            <w:shd w:val="clear" w:color="auto" w:fill="auto"/>
            <w:noWrap/>
            <w:tcMar>
              <w:top w:w="15" w:type="dxa"/>
              <w:left w:w="15" w:type="dxa"/>
              <w:right w:w="15" w:type="dxa"/>
            </w:tcMar>
            <w:vAlign w:val="center"/>
          </w:tcPr>
          <w:p w14:paraId="490F133E">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sz w:val="21"/>
                <w:szCs w:val="21"/>
                <w:highlight w:val="none"/>
                <w:lang w:eastAsia="zh-CN"/>
              </w:rPr>
            </w:pPr>
          </w:p>
        </w:tc>
        <w:tc>
          <w:tcPr>
            <w:tcW w:w="501" w:type="pct"/>
            <w:tcBorders>
              <w:tl2br w:val="nil"/>
              <w:tr2bl w:val="nil"/>
            </w:tcBorders>
            <w:shd w:val="clear" w:color="auto" w:fill="auto"/>
            <w:noWrap/>
            <w:tcMar>
              <w:top w:w="15" w:type="dxa"/>
              <w:left w:w="15" w:type="dxa"/>
              <w:right w:w="15" w:type="dxa"/>
            </w:tcMar>
            <w:vAlign w:val="center"/>
          </w:tcPr>
          <w:p w14:paraId="6A3385FB">
            <w:pPr>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HR-JJ-6</w:t>
            </w:r>
          </w:p>
        </w:tc>
        <w:tc>
          <w:tcPr>
            <w:tcW w:w="348" w:type="pct"/>
            <w:tcBorders>
              <w:tl2br w:val="nil"/>
              <w:tr2bl w:val="nil"/>
            </w:tcBorders>
            <w:shd w:val="clear" w:color="auto" w:fill="auto"/>
            <w:noWrap/>
            <w:tcMar>
              <w:top w:w="15" w:type="dxa"/>
              <w:left w:w="15" w:type="dxa"/>
              <w:right w:w="15" w:type="dxa"/>
            </w:tcMar>
            <w:vAlign w:val="center"/>
          </w:tcPr>
          <w:p w14:paraId="253E24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素填土</w:t>
            </w:r>
          </w:p>
        </w:tc>
        <w:tc>
          <w:tcPr>
            <w:tcW w:w="244" w:type="pct"/>
            <w:tcBorders>
              <w:tl2br w:val="nil"/>
              <w:tr2bl w:val="nil"/>
            </w:tcBorders>
            <w:shd w:val="clear" w:color="auto" w:fill="auto"/>
            <w:noWrap/>
            <w:tcMar>
              <w:top w:w="15" w:type="dxa"/>
              <w:left w:w="15" w:type="dxa"/>
              <w:right w:w="15" w:type="dxa"/>
            </w:tcMar>
            <w:vAlign w:val="center"/>
          </w:tcPr>
          <w:p w14:paraId="441AA2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黄褐色</w:t>
            </w:r>
          </w:p>
        </w:tc>
        <w:tc>
          <w:tcPr>
            <w:tcW w:w="312" w:type="pct"/>
            <w:tcBorders>
              <w:tl2br w:val="nil"/>
              <w:tr2bl w:val="nil"/>
            </w:tcBorders>
            <w:shd w:val="clear" w:color="auto" w:fill="auto"/>
            <w:noWrap/>
            <w:tcMar>
              <w:top w:w="15" w:type="dxa"/>
              <w:left w:w="15" w:type="dxa"/>
              <w:right w:w="15" w:type="dxa"/>
            </w:tcMar>
            <w:vAlign w:val="center"/>
          </w:tcPr>
          <w:p w14:paraId="621ED0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稍湿</w:t>
            </w:r>
          </w:p>
        </w:tc>
        <w:tc>
          <w:tcPr>
            <w:tcW w:w="213" w:type="pct"/>
            <w:tcBorders>
              <w:tl2br w:val="nil"/>
              <w:tr2bl w:val="nil"/>
            </w:tcBorders>
            <w:shd w:val="clear" w:color="auto" w:fill="auto"/>
            <w:noWrap/>
            <w:tcMar>
              <w:top w:w="15" w:type="dxa"/>
              <w:left w:w="15" w:type="dxa"/>
              <w:right w:w="15" w:type="dxa"/>
            </w:tcMar>
            <w:vAlign w:val="center"/>
          </w:tcPr>
          <w:p w14:paraId="086AB1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w:t>
            </w:r>
          </w:p>
        </w:tc>
        <w:tc>
          <w:tcPr>
            <w:tcW w:w="426" w:type="pct"/>
            <w:tcBorders>
              <w:tl2br w:val="nil"/>
              <w:tr2bl w:val="nil"/>
            </w:tcBorders>
            <w:shd w:val="clear" w:color="auto" w:fill="auto"/>
            <w:noWrap/>
            <w:tcMar>
              <w:top w:w="15" w:type="dxa"/>
              <w:left w:w="15" w:type="dxa"/>
              <w:right w:w="15" w:type="dxa"/>
            </w:tcMar>
            <w:vAlign w:val="center"/>
          </w:tcPr>
          <w:p w14:paraId="594654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松散</w:t>
            </w:r>
          </w:p>
        </w:tc>
        <w:tc>
          <w:tcPr>
            <w:tcW w:w="2497" w:type="pct"/>
            <w:tcBorders>
              <w:tl2br w:val="nil"/>
              <w:tr2bl w:val="nil"/>
            </w:tcBorders>
            <w:shd w:val="clear" w:color="auto" w:fill="auto"/>
            <w:noWrap/>
            <w:tcMar>
              <w:top w:w="15" w:type="dxa"/>
              <w:left w:w="15" w:type="dxa"/>
              <w:right w:w="15" w:type="dxa"/>
            </w:tcMar>
            <w:vAlign w:val="center"/>
          </w:tcPr>
          <w:p w14:paraId="676AA2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表面</w:t>
            </w:r>
            <w:r>
              <w:rPr>
                <w:rFonts w:hint="default" w:ascii="Times New Roman" w:hAnsi="Times New Roman" w:eastAsia="宋体" w:cs="Times New Roman"/>
                <w:i w:val="0"/>
                <w:color w:val="000000"/>
                <w:kern w:val="0"/>
                <w:sz w:val="21"/>
                <w:szCs w:val="21"/>
                <w:highlight w:val="none"/>
                <w:u w:val="none"/>
                <w:lang w:val="en-US" w:eastAsia="zh-CN" w:bidi="ar"/>
              </w:rPr>
              <w:t>含根系、石块，下层主要由粘土组成，含氧化物</w:t>
            </w:r>
          </w:p>
        </w:tc>
      </w:tr>
    </w:tbl>
    <w:p w14:paraId="3CE10726">
      <w:pPr>
        <w:pStyle w:val="31"/>
        <w:adjustRightInd w:val="0"/>
        <w:snapToGrid w:val="0"/>
        <w:spacing w:after="0" w:line="240" w:lineRule="auto"/>
        <w:ind w:firstLine="480"/>
        <w:rPr>
          <w:rFonts w:hint="default" w:ascii="Times New Roman" w:hAnsi="Times New Roman" w:cs="Times New Roman"/>
          <w:b/>
          <w:bCs/>
          <w:color w:val="000000"/>
          <w:sz w:val="18"/>
          <w:szCs w:val="18"/>
          <w:highlight w:val="none"/>
          <w:lang w:eastAsia="zh-CN"/>
        </w:rPr>
        <w:sectPr>
          <w:headerReference r:id="rId14" w:type="default"/>
          <w:footerReference r:id="rId15" w:type="default"/>
          <w:pgSz w:w="16781" w:h="11849" w:orient="landscape"/>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0" w:charSpace="0"/>
        </w:sectPr>
      </w:pPr>
    </w:p>
    <w:p w14:paraId="107AC8A7">
      <w:pPr>
        <w:pStyle w:val="5"/>
        <w:bidi w:val="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地下水样品采集</w:t>
      </w:r>
    </w:p>
    <w:p w14:paraId="4ABB2BF2">
      <w:pPr>
        <w:spacing w:line="360" w:lineRule="auto"/>
        <w:ind w:firstLine="480" w:firstLineChars="200"/>
        <w:rPr>
          <w:rFonts w:hint="default" w:ascii="Times New Roman" w:hAnsi="Times New Roman" w:cs="Times New Roman"/>
          <w:color w:val="000000"/>
          <w:sz w:val="24"/>
          <w:szCs w:val="24"/>
          <w:highlight w:val="none"/>
          <w:lang w:eastAsia="zh-CN"/>
        </w:rPr>
      </w:pPr>
      <w:r>
        <w:rPr>
          <w:rFonts w:hint="default" w:ascii="Times New Roman" w:hAnsi="Times New Roman" w:cs="Times New Roman"/>
          <w:color w:val="000000"/>
          <w:sz w:val="24"/>
          <w:highlight w:val="none"/>
          <w:lang w:eastAsia="zh-CN"/>
        </w:rPr>
        <w:t>调查范围</w:t>
      </w:r>
      <w:r>
        <w:rPr>
          <w:rFonts w:hint="default" w:ascii="Times New Roman" w:hAnsi="Times New Roman" w:cs="Times New Roman"/>
          <w:color w:val="000000"/>
          <w:sz w:val="24"/>
          <w:highlight w:val="none"/>
        </w:rPr>
        <w:t>内</w:t>
      </w:r>
      <w:r>
        <w:rPr>
          <w:rFonts w:hint="default" w:ascii="Times New Roman" w:hAnsi="Times New Roman" w:cs="Times New Roman"/>
          <w:color w:val="000000"/>
          <w:sz w:val="24"/>
          <w:highlight w:val="none"/>
          <w:lang w:eastAsia="zh-CN"/>
        </w:rPr>
        <w:t>共有</w:t>
      </w:r>
      <w:r>
        <w:rPr>
          <w:rFonts w:hint="default" w:ascii="Times New Roman" w:hAnsi="Times New Roman" w:cs="Times New Roman"/>
          <w:color w:val="000000"/>
          <w:sz w:val="24"/>
          <w:highlight w:val="none"/>
          <w:lang w:val="en-US" w:eastAsia="zh-CN"/>
        </w:rPr>
        <w:t>2个地下水监测井，</w:t>
      </w:r>
      <w:r>
        <w:rPr>
          <w:rFonts w:hint="default" w:ascii="Times New Roman" w:hAnsi="Times New Roman" w:cs="Times New Roman"/>
          <w:color w:val="000000"/>
          <w:sz w:val="24"/>
          <w:highlight w:val="none"/>
        </w:rPr>
        <w:t>每个点位取1个样品，共采集</w:t>
      </w:r>
      <w:r>
        <w:rPr>
          <w:rFonts w:hint="default" w:ascii="Times New Roman" w:hAnsi="Times New Roman" w:cs="Times New Roman"/>
          <w:color w:val="000000"/>
          <w:sz w:val="24"/>
          <w:highlight w:val="none"/>
          <w:lang w:val="en-US" w:eastAsia="zh-CN"/>
        </w:rPr>
        <w:t>2</w:t>
      </w:r>
      <w:r>
        <w:rPr>
          <w:rFonts w:hint="default" w:ascii="Times New Roman" w:hAnsi="Times New Roman" w:cs="Times New Roman"/>
          <w:color w:val="000000"/>
          <w:sz w:val="24"/>
          <w:highlight w:val="none"/>
        </w:rPr>
        <w:t>个样品调查</w:t>
      </w:r>
      <w:r>
        <w:rPr>
          <w:rFonts w:hint="default" w:ascii="Times New Roman" w:hAnsi="Times New Roman" w:cs="Times New Roman"/>
          <w:color w:val="000000"/>
          <w:sz w:val="24"/>
          <w:highlight w:val="none"/>
          <w:lang w:eastAsia="zh-CN"/>
        </w:rPr>
        <w:t>。</w:t>
      </w:r>
    </w:p>
    <w:p w14:paraId="402408EB">
      <w:pPr>
        <w:spacing w:line="360" w:lineRule="auto"/>
        <w:ind w:firstLine="420" w:firstLineChars="0"/>
        <w:rPr>
          <w:rFonts w:hint="default" w:ascii="Times New Roman" w:hAnsi="Times New Roman" w:cs="Times New Roman"/>
          <w:highlight w:val="none"/>
          <w:lang w:eastAsia="zh-CN"/>
        </w:rPr>
      </w:pPr>
      <w:r>
        <w:rPr>
          <w:rFonts w:hint="default" w:ascii="Times New Roman" w:hAnsi="Times New Roman" w:cs="Times New Roman"/>
          <w:sz w:val="24"/>
          <w:szCs w:val="24"/>
          <w:highlight w:val="none"/>
          <w:lang w:eastAsia="zh-CN"/>
        </w:rPr>
        <w:t>具体</w:t>
      </w:r>
      <w:r>
        <w:rPr>
          <w:rFonts w:hint="default" w:ascii="Times New Roman" w:hAnsi="Times New Roman" w:cs="Times New Roman"/>
          <w:color w:val="000000"/>
          <w:sz w:val="24"/>
          <w:highlight w:val="none"/>
        </w:rPr>
        <w:t>地下水样采集情况详见表4-3-</w:t>
      </w:r>
      <w:r>
        <w:rPr>
          <w:rFonts w:hint="eastAsia" w:cs="Times New Roman"/>
          <w:color w:val="000000"/>
          <w:sz w:val="24"/>
          <w:highlight w:val="none"/>
          <w:lang w:val="en-US" w:eastAsia="zh-CN"/>
        </w:rPr>
        <w:t>4</w:t>
      </w:r>
      <w:r>
        <w:rPr>
          <w:rFonts w:hint="default" w:ascii="Times New Roman" w:hAnsi="Times New Roman" w:cs="Times New Roman"/>
          <w:color w:val="000000"/>
          <w:sz w:val="24"/>
          <w:highlight w:val="none"/>
        </w:rPr>
        <w:t>。</w:t>
      </w:r>
    </w:p>
    <w:p w14:paraId="4BC21EF8">
      <w:pPr>
        <w:pStyle w:val="34"/>
        <w:spacing w:before="0" w:beforeLines="0"/>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highlight w:val="none"/>
        </w:rPr>
        <w:t>表4-3-</w:t>
      </w:r>
      <w:r>
        <w:rPr>
          <w:rFonts w:hint="default" w:ascii="Times New Roman" w:hAnsi="Times New Roman" w:eastAsia="宋体" w:cs="Times New Roman"/>
          <w:color w:val="000000"/>
          <w:highlight w:val="none"/>
          <w:lang w:val="en-US" w:eastAsia="zh-CN"/>
        </w:rPr>
        <w:t>4</w:t>
      </w:r>
      <w:r>
        <w:rPr>
          <w:rFonts w:hint="default" w:ascii="Times New Roman" w:hAnsi="Times New Roman" w:eastAsia="宋体" w:cs="Times New Roman"/>
          <w:color w:val="000000"/>
          <w:highlight w:val="none"/>
        </w:rPr>
        <w:t xml:space="preserve">  地下水现场采样信息统计</w:t>
      </w:r>
    </w:p>
    <w:tbl>
      <w:tblPr>
        <w:tblStyle w:val="21"/>
        <w:tblW w:w="4993"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82"/>
        <w:gridCol w:w="1132"/>
        <w:gridCol w:w="1285"/>
        <w:gridCol w:w="1158"/>
        <w:gridCol w:w="711"/>
        <w:gridCol w:w="975"/>
        <w:gridCol w:w="1132"/>
        <w:gridCol w:w="1146"/>
        <w:gridCol w:w="1264"/>
      </w:tblGrid>
      <w:tr w14:paraId="4B8BEF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1" w:type="pct"/>
            <w:vMerge w:val="restart"/>
            <w:tcBorders>
              <w:tl2br w:val="nil"/>
              <w:tr2bl w:val="nil"/>
            </w:tcBorders>
            <w:noWrap w:val="0"/>
            <w:vAlign w:val="center"/>
          </w:tcPr>
          <w:p w14:paraId="0B13187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kern w:val="0"/>
                <w:sz w:val="21"/>
                <w:szCs w:val="21"/>
                <w:highlight w:val="none"/>
              </w:rPr>
            </w:pPr>
            <w:r>
              <w:rPr>
                <w:rFonts w:hint="default" w:ascii="Times New Roman" w:hAnsi="Times New Roman" w:cs="Times New Roman"/>
                <w:b/>
                <w:kern w:val="0"/>
                <w:sz w:val="21"/>
                <w:szCs w:val="21"/>
                <w:highlight w:val="none"/>
              </w:rPr>
              <w:t>点位</w:t>
            </w:r>
          </w:p>
          <w:p w14:paraId="0C48C3E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kern w:val="0"/>
                <w:sz w:val="21"/>
                <w:szCs w:val="21"/>
                <w:highlight w:val="none"/>
              </w:rPr>
            </w:pPr>
            <w:r>
              <w:rPr>
                <w:rFonts w:hint="default" w:ascii="Times New Roman" w:hAnsi="Times New Roman" w:cs="Times New Roman"/>
                <w:b/>
                <w:kern w:val="0"/>
                <w:sz w:val="21"/>
                <w:szCs w:val="21"/>
                <w:highlight w:val="none"/>
              </w:rPr>
              <w:t>编号</w:t>
            </w:r>
          </w:p>
        </w:tc>
        <w:tc>
          <w:tcPr>
            <w:tcW w:w="578" w:type="pct"/>
            <w:vMerge w:val="restart"/>
            <w:tcBorders>
              <w:tl2br w:val="nil"/>
              <w:tr2bl w:val="nil"/>
            </w:tcBorders>
            <w:noWrap w:val="0"/>
            <w:vAlign w:val="center"/>
          </w:tcPr>
          <w:p w14:paraId="4A8BB58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kern w:val="0"/>
                <w:sz w:val="21"/>
                <w:szCs w:val="21"/>
                <w:highlight w:val="none"/>
              </w:rPr>
            </w:pPr>
            <w:r>
              <w:rPr>
                <w:rFonts w:hint="default" w:ascii="Times New Roman" w:hAnsi="Times New Roman" w:cs="Times New Roman"/>
                <w:b/>
                <w:kern w:val="0"/>
                <w:sz w:val="21"/>
                <w:szCs w:val="21"/>
                <w:highlight w:val="none"/>
              </w:rPr>
              <w:t>对应土壤</w:t>
            </w:r>
          </w:p>
          <w:p w14:paraId="778FAB8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kern w:val="0"/>
                <w:sz w:val="21"/>
                <w:szCs w:val="21"/>
                <w:highlight w:val="none"/>
              </w:rPr>
            </w:pPr>
            <w:r>
              <w:rPr>
                <w:rFonts w:hint="default" w:ascii="Times New Roman" w:hAnsi="Times New Roman" w:cs="Times New Roman"/>
                <w:b/>
                <w:kern w:val="0"/>
                <w:sz w:val="21"/>
                <w:szCs w:val="21"/>
                <w:highlight w:val="none"/>
              </w:rPr>
              <w:t>点位</w:t>
            </w:r>
          </w:p>
        </w:tc>
        <w:tc>
          <w:tcPr>
            <w:tcW w:w="1248" w:type="pct"/>
            <w:gridSpan w:val="2"/>
            <w:tcBorders>
              <w:tl2br w:val="nil"/>
              <w:tr2bl w:val="nil"/>
            </w:tcBorders>
            <w:noWrap w:val="0"/>
            <w:vAlign w:val="center"/>
          </w:tcPr>
          <w:p w14:paraId="472A322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color w:val="000000"/>
                <w:kern w:val="0"/>
                <w:sz w:val="21"/>
                <w:szCs w:val="21"/>
                <w:highlight w:val="none"/>
              </w:rPr>
            </w:pPr>
            <w:r>
              <w:rPr>
                <w:rFonts w:hint="default" w:ascii="Times New Roman" w:hAnsi="Times New Roman" w:cs="Times New Roman"/>
                <w:b/>
                <w:color w:val="000000"/>
                <w:kern w:val="0"/>
                <w:sz w:val="21"/>
                <w:szCs w:val="21"/>
                <w:highlight w:val="none"/>
              </w:rPr>
              <w:t>坐标</w:t>
            </w:r>
          </w:p>
        </w:tc>
        <w:tc>
          <w:tcPr>
            <w:tcW w:w="363" w:type="pct"/>
            <w:vMerge w:val="restart"/>
            <w:tcBorders>
              <w:tl2br w:val="nil"/>
              <w:tr2bl w:val="nil"/>
            </w:tcBorders>
            <w:noWrap w:val="0"/>
            <w:vAlign w:val="center"/>
          </w:tcPr>
          <w:p w14:paraId="5FCAF2D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color w:val="000000"/>
                <w:kern w:val="0"/>
                <w:sz w:val="21"/>
                <w:szCs w:val="21"/>
                <w:highlight w:val="none"/>
              </w:rPr>
            </w:pPr>
            <w:r>
              <w:rPr>
                <w:rFonts w:hint="default" w:ascii="Times New Roman" w:hAnsi="Times New Roman" w:cs="Times New Roman"/>
                <w:b/>
                <w:color w:val="000000"/>
                <w:kern w:val="0"/>
                <w:sz w:val="21"/>
                <w:szCs w:val="21"/>
                <w:highlight w:val="none"/>
              </w:rPr>
              <w:t>井深</w:t>
            </w:r>
          </w:p>
          <w:p w14:paraId="18A4E71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color w:val="000000"/>
                <w:kern w:val="0"/>
                <w:sz w:val="21"/>
                <w:szCs w:val="21"/>
                <w:highlight w:val="none"/>
              </w:rPr>
            </w:pPr>
            <w:r>
              <w:rPr>
                <w:rFonts w:hint="default" w:ascii="Times New Roman" w:hAnsi="Times New Roman" w:cs="Times New Roman"/>
                <w:b/>
                <w:color w:val="000000"/>
                <w:kern w:val="0"/>
                <w:sz w:val="21"/>
                <w:szCs w:val="21"/>
                <w:highlight w:val="none"/>
              </w:rPr>
              <w:t>（m）</w:t>
            </w:r>
          </w:p>
        </w:tc>
        <w:tc>
          <w:tcPr>
            <w:tcW w:w="498" w:type="pct"/>
            <w:vMerge w:val="restart"/>
            <w:tcBorders>
              <w:tl2br w:val="nil"/>
              <w:tr2bl w:val="nil"/>
            </w:tcBorders>
            <w:noWrap w:val="0"/>
            <w:vAlign w:val="center"/>
          </w:tcPr>
          <w:p w14:paraId="40363EAB">
            <w:pPr>
              <w:pStyle w:val="30"/>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sz w:val="21"/>
                <w:szCs w:val="21"/>
                <w:highlight w:val="none"/>
              </w:rPr>
            </w:pPr>
            <w:r>
              <w:rPr>
                <w:rFonts w:hint="default" w:ascii="Times New Roman" w:hAnsi="Times New Roman" w:cs="Times New Roman"/>
                <w:b/>
                <w:bCs/>
                <w:sz w:val="21"/>
                <w:szCs w:val="21"/>
                <w:highlight w:val="none"/>
              </w:rPr>
              <w:t>初见水位</w:t>
            </w:r>
            <w:r>
              <w:rPr>
                <w:rFonts w:hint="default" w:ascii="Times New Roman" w:hAnsi="Times New Roman" w:cs="Times New Roman"/>
                <w:b/>
                <w:bCs/>
                <w:sz w:val="21"/>
                <w:szCs w:val="21"/>
                <w:highlight w:val="none"/>
                <w:lang w:eastAsia="zh-CN"/>
              </w:rPr>
              <w:t>①</w:t>
            </w:r>
            <w:r>
              <w:rPr>
                <w:rFonts w:hint="default" w:ascii="Times New Roman" w:hAnsi="Times New Roman" w:cs="Times New Roman"/>
                <w:b/>
                <w:bCs/>
                <w:sz w:val="21"/>
                <w:szCs w:val="21"/>
                <w:highlight w:val="none"/>
              </w:rPr>
              <w:t>（</w:t>
            </w:r>
            <w:r>
              <w:rPr>
                <w:rFonts w:hint="default" w:ascii="Times New Roman" w:hAnsi="Times New Roman" w:cs="Times New Roman"/>
                <w:b/>
                <w:sz w:val="21"/>
                <w:szCs w:val="21"/>
                <w:highlight w:val="none"/>
              </w:rPr>
              <w:t>m</w:t>
            </w:r>
            <w:r>
              <w:rPr>
                <w:rFonts w:hint="default" w:ascii="Times New Roman" w:hAnsi="Times New Roman" w:cs="Times New Roman"/>
                <w:b/>
                <w:bCs/>
                <w:sz w:val="21"/>
                <w:szCs w:val="21"/>
                <w:highlight w:val="none"/>
              </w:rPr>
              <w:t>）</w:t>
            </w:r>
          </w:p>
        </w:tc>
        <w:tc>
          <w:tcPr>
            <w:tcW w:w="578" w:type="pct"/>
            <w:vMerge w:val="restart"/>
            <w:tcBorders>
              <w:tl2br w:val="nil"/>
              <w:tr2bl w:val="nil"/>
            </w:tcBorders>
            <w:noWrap w:val="0"/>
            <w:vAlign w:val="center"/>
          </w:tcPr>
          <w:p w14:paraId="000CF726">
            <w:pPr>
              <w:pStyle w:val="30"/>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sz w:val="21"/>
                <w:szCs w:val="21"/>
                <w:highlight w:val="none"/>
              </w:rPr>
            </w:pPr>
            <w:r>
              <w:rPr>
                <w:rFonts w:hint="default" w:ascii="Times New Roman" w:hAnsi="Times New Roman" w:cs="Times New Roman"/>
                <w:b/>
                <w:bCs/>
                <w:sz w:val="21"/>
                <w:szCs w:val="21"/>
                <w:highlight w:val="none"/>
              </w:rPr>
              <w:t>稳定水位</w:t>
            </w:r>
          </w:p>
          <w:p w14:paraId="500EC4EA">
            <w:pPr>
              <w:pStyle w:val="30"/>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sz w:val="21"/>
                <w:szCs w:val="21"/>
                <w:highlight w:val="none"/>
              </w:rPr>
            </w:pPr>
            <w:r>
              <w:rPr>
                <w:rFonts w:hint="default" w:ascii="Times New Roman" w:hAnsi="Times New Roman" w:cs="Times New Roman"/>
                <w:b/>
                <w:kern w:val="0"/>
                <w:sz w:val="18"/>
                <w:szCs w:val="18"/>
                <w:highlight w:val="none"/>
              </w:rPr>
              <w:t>①</w:t>
            </w:r>
            <w:r>
              <w:rPr>
                <w:rFonts w:hint="default" w:ascii="Times New Roman" w:hAnsi="Times New Roman" w:cs="Times New Roman"/>
                <w:b/>
                <w:bCs/>
                <w:sz w:val="21"/>
                <w:szCs w:val="21"/>
                <w:highlight w:val="none"/>
              </w:rPr>
              <w:t>（</w:t>
            </w:r>
            <w:r>
              <w:rPr>
                <w:rFonts w:hint="default" w:ascii="Times New Roman" w:hAnsi="Times New Roman" w:cs="Times New Roman"/>
                <w:b/>
                <w:sz w:val="21"/>
                <w:szCs w:val="21"/>
                <w:highlight w:val="none"/>
              </w:rPr>
              <w:t>m</w:t>
            </w:r>
            <w:r>
              <w:rPr>
                <w:rFonts w:hint="default" w:ascii="Times New Roman" w:hAnsi="Times New Roman" w:cs="Times New Roman"/>
                <w:b/>
                <w:bCs/>
                <w:sz w:val="21"/>
                <w:szCs w:val="21"/>
                <w:highlight w:val="none"/>
              </w:rPr>
              <w:t>）</w:t>
            </w:r>
          </w:p>
        </w:tc>
        <w:tc>
          <w:tcPr>
            <w:tcW w:w="585" w:type="pct"/>
            <w:vMerge w:val="restart"/>
            <w:tcBorders>
              <w:tl2br w:val="nil"/>
              <w:tr2bl w:val="nil"/>
            </w:tcBorders>
            <w:noWrap w:val="0"/>
            <w:vAlign w:val="center"/>
          </w:tcPr>
          <w:p w14:paraId="51A17114">
            <w:pPr>
              <w:pStyle w:val="30"/>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sz w:val="21"/>
                <w:szCs w:val="21"/>
                <w:highlight w:val="none"/>
              </w:rPr>
            </w:pPr>
            <w:r>
              <w:rPr>
                <w:rFonts w:hint="eastAsia" w:ascii="Times New Roman" w:hAnsi="Times New Roman" w:cs="Times New Roman"/>
                <w:b/>
                <w:bCs/>
                <w:color w:val="auto"/>
                <w:sz w:val="21"/>
                <w:szCs w:val="21"/>
                <w:highlight w:val="none"/>
                <w:lang w:val="en-US" w:eastAsia="zh-CN"/>
              </w:rPr>
              <w:t>花管埋深（m）</w:t>
            </w:r>
          </w:p>
        </w:tc>
        <w:tc>
          <w:tcPr>
            <w:tcW w:w="645" w:type="pct"/>
            <w:vMerge w:val="restart"/>
            <w:tcBorders>
              <w:tl2br w:val="nil"/>
              <w:tr2bl w:val="nil"/>
            </w:tcBorders>
            <w:noWrap w:val="0"/>
            <w:vAlign w:val="center"/>
          </w:tcPr>
          <w:p w14:paraId="421C6478">
            <w:pPr>
              <w:pStyle w:val="30"/>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sz w:val="21"/>
                <w:szCs w:val="21"/>
                <w:highlight w:val="none"/>
              </w:rPr>
            </w:pPr>
            <w:r>
              <w:rPr>
                <w:rFonts w:hint="default" w:ascii="Times New Roman" w:hAnsi="Times New Roman" w:cs="Times New Roman"/>
                <w:b/>
                <w:bCs/>
                <w:sz w:val="21"/>
                <w:szCs w:val="21"/>
                <w:highlight w:val="none"/>
              </w:rPr>
              <w:t>地下水类型</w:t>
            </w:r>
          </w:p>
        </w:tc>
      </w:tr>
      <w:tr w14:paraId="0B893D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1" w:type="pct"/>
            <w:vMerge w:val="continue"/>
            <w:tcBorders>
              <w:bottom w:val="single" w:color="auto" w:sz="12" w:space="0"/>
              <w:tl2br w:val="nil"/>
              <w:tr2bl w:val="nil"/>
            </w:tcBorders>
            <w:noWrap w:val="0"/>
            <w:vAlign w:val="center"/>
          </w:tcPr>
          <w:p w14:paraId="18B73D6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kern w:val="0"/>
                <w:sz w:val="21"/>
                <w:szCs w:val="21"/>
                <w:highlight w:val="none"/>
              </w:rPr>
            </w:pPr>
          </w:p>
        </w:tc>
        <w:tc>
          <w:tcPr>
            <w:tcW w:w="578" w:type="pct"/>
            <w:vMerge w:val="continue"/>
            <w:tcBorders>
              <w:bottom w:val="single" w:color="auto" w:sz="12" w:space="0"/>
              <w:tl2br w:val="nil"/>
              <w:tr2bl w:val="nil"/>
            </w:tcBorders>
            <w:noWrap w:val="0"/>
            <w:vAlign w:val="center"/>
          </w:tcPr>
          <w:p w14:paraId="037085F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kern w:val="0"/>
                <w:sz w:val="21"/>
                <w:szCs w:val="21"/>
                <w:highlight w:val="none"/>
              </w:rPr>
            </w:pPr>
          </w:p>
        </w:tc>
        <w:tc>
          <w:tcPr>
            <w:tcW w:w="656" w:type="pct"/>
            <w:tcBorders>
              <w:bottom w:val="single" w:color="auto" w:sz="12" w:space="0"/>
              <w:tl2br w:val="nil"/>
              <w:tr2bl w:val="nil"/>
            </w:tcBorders>
            <w:noWrap w:val="0"/>
            <w:vAlign w:val="center"/>
          </w:tcPr>
          <w:p w14:paraId="7D51EAA1">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color w:val="000000"/>
                <w:kern w:val="0"/>
                <w:sz w:val="21"/>
                <w:szCs w:val="21"/>
                <w:highlight w:val="none"/>
              </w:rPr>
            </w:pPr>
            <w:r>
              <w:rPr>
                <w:rFonts w:hint="default" w:ascii="Times New Roman" w:hAnsi="Times New Roman" w:cs="Times New Roman"/>
                <w:b/>
                <w:bCs/>
                <w:sz w:val="21"/>
                <w:szCs w:val="21"/>
                <w:highlight w:val="none"/>
                <w:lang w:val="en-US" w:eastAsia="zh-CN"/>
              </w:rPr>
              <w:t>经度（°）</w:t>
            </w:r>
          </w:p>
        </w:tc>
        <w:tc>
          <w:tcPr>
            <w:tcW w:w="591" w:type="pct"/>
            <w:tcBorders>
              <w:bottom w:val="single" w:color="auto" w:sz="12" w:space="0"/>
              <w:tl2br w:val="nil"/>
              <w:tr2bl w:val="nil"/>
            </w:tcBorders>
            <w:noWrap w:val="0"/>
            <w:vAlign w:val="center"/>
          </w:tcPr>
          <w:p w14:paraId="6C6CA88D">
            <w:pPr>
              <w:keepNext w:val="0"/>
              <w:keepLines w:val="0"/>
              <w:suppressLineNumbers w:val="0"/>
              <w:bidi w:val="0"/>
              <w:spacing w:before="0" w:beforeAutospacing="0" w:after="0" w:afterAutospacing="0" w:line="240" w:lineRule="auto"/>
              <w:ind w:left="0" w:right="0"/>
              <w:jc w:val="center"/>
              <w:rPr>
                <w:rFonts w:hint="default" w:ascii="Times New Roman" w:hAnsi="Times New Roman" w:cs="Times New Roman"/>
                <w:b/>
                <w:bCs/>
                <w:color w:val="000000"/>
                <w:kern w:val="0"/>
                <w:sz w:val="21"/>
                <w:szCs w:val="21"/>
                <w:highlight w:val="none"/>
              </w:rPr>
            </w:pPr>
            <w:r>
              <w:rPr>
                <w:rFonts w:hint="default" w:ascii="Times New Roman" w:hAnsi="Times New Roman" w:cs="Times New Roman"/>
                <w:b/>
                <w:bCs/>
                <w:sz w:val="21"/>
                <w:szCs w:val="21"/>
                <w:highlight w:val="none"/>
                <w:lang w:val="en-US" w:eastAsia="zh-CN"/>
              </w:rPr>
              <w:t>纬度（°）</w:t>
            </w:r>
          </w:p>
        </w:tc>
        <w:tc>
          <w:tcPr>
            <w:tcW w:w="363" w:type="pct"/>
            <w:vMerge w:val="continue"/>
            <w:tcBorders>
              <w:bottom w:val="single" w:color="auto" w:sz="12" w:space="0"/>
              <w:tl2br w:val="nil"/>
              <w:tr2bl w:val="nil"/>
            </w:tcBorders>
            <w:noWrap w:val="0"/>
            <w:vAlign w:val="center"/>
          </w:tcPr>
          <w:p w14:paraId="31F933C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color w:val="000000"/>
                <w:kern w:val="0"/>
                <w:sz w:val="21"/>
                <w:szCs w:val="21"/>
                <w:highlight w:val="none"/>
              </w:rPr>
            </w:pPr>
          </w:p>
        </w:tc>
        <w:tc>
          <w:tcPr>
            <w:tcW w:w="498" w:type="pct"/>
            <w:vMerge w:val="continue"/>
            <w:tcBorders>
              <w:bottom w:val="single" w:color="auto" w:sz="12" w:space="0"/>
              <w:tl2br w:val="nil"/>
              <w:tr2bl w:val="nil"/>
            </w:tcBorders>
            <w:noWrap w:val="0"/>
            <w:vAlign w:val="center"/>
          </w:tcPr>
          <w:p w14:paraId="3587D50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kern w:val="0"/>
                <w:sz w:val="21"/>
                <w:szCs w:val="21"/>
                <w:highlight w:val="none"/>
              </w:rPr>
            </w:pPr>
          </w:p>
        </w:tc>
        <w:tc>
          <w:tcPr>
            <w:tcW w:w="578" w:type="pct"/>
            <w:vMerge w:val="continue"/>
            <w:tcBorders>
              <w:bottom w:val="single" w:color="auto" w:sz="12" w:space="0"/>
              <w:tl2br w:val="nil"/>
              <w:tr2bl w:val="nil"/>
            </w:tcBorders>
            <w:noWrap w:val="0"/>
            <w:vAlign w:val="center"/>
          </w:tcPr>
          <w:p w14:paraId="4BAAADF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kern w:val="0"/>
                <w:sz w:val="21"/>
                <w:szCs w:val="21"/>
                <w:highlight w:val="none"/>
              </w:rPr>
            </w:pPr>
          </w:p>
        </w:tc>
        <w:tc>
          <w:tcPr>
            <w:tcW w:w="585" w:type="pct"/>
            <w:vMerge w:val="continue"/>
            <w:tcBorders>
              <w:bottom w:val="single" w:color="auto" w:sz="12" w:space="0"/>
              <w:tl2br w:val="nil"/>
              <w:tr2bl w:val="nil"/>
            </w:tcBorders>
            <w:noWrap w:val="0"/>
            <w:vAlign w:val="center"/>
          </w:tcPr>
          <w:p w14:paraId="618760B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kern w:val="0"/>
                <w:sz w:val="21"/>
                <w:szCs w:val="21"/>
                <w:highlight w:val="none"/>
              </w:rPr>
            </w:pPr>
          </w:p>
        </w:tc>
        <w:tc>
          <w:tcPr>
            <w:tcW w:w="645" w:type="pct"/>
            <w:vMerge w:val="continue"/>
            <w:tcBorders>
              <w:bottom w:val="single" w:color="auto" w:sz="12" w:space="0"/>
              <w:tl2br w:val="nil"/>
              <w:tr2bl w:val="nil"/>
            </w:tcBorders>
            <w:noWrap w:val="0"/>
            <w:vAlign w:val="center"/>
          </w:tcPr>
          <w:p w14:paraId="2D22982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kern w:val="0"/>
                <w:sz w:val="21"/>
                <w:szCs w:val="21"/>
                <w:highlight w:val="none"/>
              </w:rPr>
            </w:pPr>
          </w:p>
        </w:tc>
      </w:tr>
      <w:tr w14:paraId="791701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1" w:type="pct"/>
            <w:tcBorders>
              <w:top w:val="single" w:color="auto" w:sz="12" w:space="0"/>
            </w:tcBorders>
            <w:noWrap w:val="0"/>
            <w:vAlign w:val="center"/>
          </w:tcPr>
          <w:p w14:paraId="67FE004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kern w:val="0"/>
                <w:sz w:val="21"/>
                <w:szCs w:val="21"/>
                <w:highlight w:val="none"/>
              </w:rPr>
            </w:pPr>
            <w:r>
              <w:rPr>
                <w:rFonts w:hint="default" w:ascii="Times New Roman" w:hAnsi="Times New Roman" w:cs="Times New Roman"/>
                <w:kern w:val="0"/>
                <w:sz w:val="21"/>
                <w:szCs w:val="21"/>
                <w:highlight w:val="none"/>
                <w:lang w:val="en-US" w:eastAsia="zh-CN"/>
              </w:rPr>
              <w:t>HR-</w:t>
            </w:r>
            <w:r>
              <w:rPr>
                <w:rFonts w:hint="default" w:ascii="Times New Roman" w:hAnsi="Times New Roman" w:cs="Times New Roman"/>
                <w:kern w:val="0"/>
                <w:sz w:val="21"/>
                <w:szCs w:val="21"/>
                <w:highlight w:val="none"/>
              </w:rPr>
              <w:t>W1</w:t>
            </w:r>
          </w:p>
        </w:tc>
        <w:tc>
          <w:tcPr>
            <w:tcW w:w="578" w:type="pct"/>
            <w:tcBorders>
              <w:top w:val="single" w:color="auto" w:sz="12" w:space="0"/>
            </w:tcBorders>
            <w:noWrap w:val="0"/>
            <w:vAlign w:val="center"/>
          </w:tcPr>
          <w:p w14:paraId="69EF89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kern w:val="0"/>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HR-3-400</w:t>
            </w:r>
          </w:p>
        </w:tc>
        <w:tc>
          <w:tcPr>
            <w:tcW w:w="656" w:type="pct"/>
            <w:tcBorders>
              <w:top w:val="single" w:color="auto" w:sz="12" w:space="0"/>
            </w:tcBorders>
            <w:noWrap w:val="0"/>
            <w:vAlign w:val="center"/>
          </w:tcPr>
          <w:p w14:paraId="4AE1B8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Cs/>
                <w:color w:val="000000"/>
                <w:kern w:val="0"/>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114.728014</w:t>
            </w:r>
          </w:p>
        </w:tc>
        <w:tc>
          <w:tcPr>
            <w:tcW w:w="591" w:type="pct"/>
            <w:tcBorders>
              <w:top w:val="single" w:color="auto" w:sz="12" w:space="0"/>
            </w:tcBorders>
            <w:noWrap w:val="0"/>
            <w:vAlign w:val="center"/>
          </w:tcPr>
          <w:p w14:paraId="03AEFF2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Cs/>
                <w:color w:val="000000"/>
                <w:kern w:val="0"/>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30.518295</w:t>
            </w:r>
          </w:p>
        </w:tc>
        <w:tc>
          <w:tcPr>
            <w:tcW w:w="363" w:type="pct"/>
            <w:tcBorders>
              <w:top w:val="single" w:color="auto" w:sz="12" w:space="0"/>
            </w:tcBorders>
            <w:noWrap w:val="0"/>
            <w:vAlign w:val="center"/>
          </w:tcPr>
          <w:p w14:paraId="79D7FC5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kern w:val="0"/>
                <w:sz w:val="21"/>
                <w:szCs w:val="21"/>
                <w:highlight w:val="none"/>
                <w:lang w:val="en-US" w:eastAsia="zh-CN"/>
              </w:rPr>
            </w:pPr>
            <w:r>
              <w:rPr>
                <w:rFonts w:hint="default" w:ascii="Times New Roman" w:hAnsi="Times New Roman" w:cs="Times New Roman"/>
                <w:bCs/>
                <w:color w:val="000000"/>
                <w:kern w:val="0"/>
                <w:sz w:val="21"/>
                <w:szCs w:val="21"/>
                <w:highlight w:val="none"/>
                <w:lang w:val="en-US" w:eastAsia="zh-CN"/>
              </w:rPr>
              <w:t>12.0</w:t>
            </w:r>
          </w:p>
        </w:tc>
        <w:tc>
          <w:tcPr>
            <w:tcW w:w="498" w:type="pct"/>
            <w:tcBorders>
              <w:top w:val="single" w:color="auto" w:sz="12" w:space="0"/>
            </w:tcBorders>
            <w:noWrap w:val="0"/>
            <w:vAlign w:val="center"/>
          </w:tcPr>
          <w:p w14:paraId="6178DEC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rPr>
            </w:pPr>
            <w:r>
              <w:rPr>
                <w:rFonts w:hint="default" w:ascii="Times New Roman" w:hAnsi="Times New Roman" w:cs="Times New Roman"/>
                <w:kern w:val="0"/>
                <w:sz w:val="21"/>
                <w:szCs w:val="21"/>
                <w:highlight w:val="none"/>
                <w:lang w:val="en-US" w:eastAsia="zh-CN"/>
              </w:rPr>
              <w:t>10.0</w:t>
            </w:r>
          </w:p>
        </w:tc>
        <w:tc>
          <w:tcPr>
            <w:tcW w:w="578" w:type="pct"/>
            <w:tcBorders>
              <w:top w:val="single" w:color="auto" w:sz="12" w:space="0"/>
            </w:tcBorders>
            <w:noWrap w:val="0"/>
            <w:vAlign w:val="center"/>
          </w:tcPr>
          <w:p w14:paraId="13B5B59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rPr>
            </w:pPr>
            <w:r>
              <w:rPr>
                <w:rFonts w:hint="default" w:ascii="Times New Roman" w:hAnsi="Times New Roman" w:cs="Times New Roman"/>
                <w:bCs/>
                <w:color w:val="000000"/>
                <w:kern w:val="0"/>
                <w:sz w:val="21"/>
                <w:szCs w:val="21"/>
                <w:highlight w:val="none"/>
              </w:rPr>
              <w:t>1.</w:t>
            </w:r>
            <w:r>
              <w:rPr>
                <w:rFonts w:hint="default" w:ascii="Times New Roman" w:hAnsi="Times New Roman" w:cs="Times New Roman"/>
                <w:bCs/>
                <w:color w:val="000000"/>
                <w:kern w:val="0"/>
                <w:sz w:val="21"/>
                <w:szCs w:val="21"/>
                <w:highlight w:val="none"/>
                <w:lang w:val="en-US" w:eastAsia="zh-CN"/>
              </w:rPr>
              <w:t>2</w:t>
            </w:r>
          </w:p>
        </w:tc>
        <w:tc>
          <w:tcPr>
            <w:tcW w:w="585" w:type="pct"/>
            <w:tcBorders>
              <w:top w:val="single" w:color="auto" w:sz="12" w:space="0"/>
            </w:tcBorders>
            <w:noWrap w:val="0"/>
            <w:vAlign w:val="center"/>
          </w:tcPr>
          <w:p w14:paraId="4DB99F1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kern w:val="0"/>
                <w:sz w:val="21"/>
                <w:szCs w:val="21"/>
                <w:highlight w:val="none"/>
                <w:lang w:val="en-US" w:eastAsia="zh-CN"/>
              </w:rPr>
            </w:pPr>
            <w:r>
              <w:rPr>
                <w:rFonts w:hint="eastAsia" w:cs="Times New Roman"/>
                <w:color w:val="000000"/>
                <w:kern w:val="0"/>
                <w:sz w:val="21"/>
                <w:szCs w:val="21"/>
                <w:highlight w:val="none"/>
                <w:lang w:val="en-US" w:eastAsia="zh-CN"/>
              </w:rPr>
              <w:t>9.0-11.5</w:t>
            </w:r>
          </w:p>
        </w:tc>
        <w:tc>
          <w:tcPr>
            <w:tcW w:w="645" w:type="pct"/>
            <w:tcBorders>
              <w:top w:val="single" w:color="auto" w:sz="12" w:space="0"/>
            </w:tcBorders>
            <w:noWrap w:val="0"/>
            <w:vAlign w:val="center"/>
          </w:tcPr>
          <w:p w14:paraId="639F0D4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eastAsia="zh-CN"/>
              </w:rPr>
            </w:pPr>
            <w:r>
              <w:rPr>
                <w:rFonts w:hint="eastAsia" w:cs="Times New Roman"/>
                <w:color w:val="000000"/>
                <w:kern w:val="0"/>
                <w:sz w:val="21"/>
                <w:szCs w:val="21"/>
                <w:highlight w:val="none"/>
                <w:lang w:val="en-US" w:eastAsia="zh-CN"/>
              </w:rPr>
              <w:t>裂隙承压水</w:t>
            </w:r>
          </w:p>
        </w:tc>
      </w:tr>
      <w:tr w14:paraId="5ED6EB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1" w:type="pct"/>
            <w:noWrap w:val="0"/>
            <w:vAlign w:val="center"/>
          </w:tcPr>
          <w:p w14:paraId="00B2987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eastAsia="zh-CN"/>
              </w:rPr>
            </w:pPr>
            <w:r>
              <w:rPr>
                <w:rFonts w:hint="default" w:ascii="Times New Roman" w:hAnsi="Times New Roman" w:cs="Times New Roman"/>
                <w:kern w:val="0"/>
                <w:sz w:val="21"/>
                <w:szCs w:val="21"/>
                <w:highlight w:val="none"/>
                <w:lang w:val="en-US" w:eastAsia="zh-CN"/>
              </w:rPr>
              <w:t>HR-</w:t>
            </w:r>
            <w:r>
              <w:rPr>
                <w:rFonts w:hint="default" w:ascii="Times New Roman" w:hAnsi="Times New Roman" w:cs="Times New Roman"/>
                <w:kern w:val="0"/>
                <w:sz w:val="21"/>
                <w:szCs w:val="21"/>
                <w:highlight w:val="none"/>
              </w:rPr>
              <w:t>W2</w:t>
            </w:r>
          </w:p>
        </w:tc>
        <w:tc>
          <w:tcPr>
            <w:tcW w:w="578" w:type="pct"/>
            <w:noWrap w:val="0"/>
            <w:vAlign w:val="center"/>
          </w:tcPr>
          <w:p w14:paraId="635885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kern w:val="0"/>
                <w:sz w:val="21"/>
                <w:szCs w:val="21"/>
                <w:highlight w:val="none"/>
              </w:rPr>
            </w:pPr>
            <w:r>
              <w:rPr>
                <w:rFonts w:hint="default" w:ascii="Times New Roman" w:hAnsi="Times New Roman" w:eastAsia="宋体" w:cs="Times New Roman"/>
                <w:i w:val="0"/>
                <w:color w:val="000000"/>
                <w:kern w:val="0"/>
                <w:sz w:val="21"/>
                <w:szCs w:val="21"/>
                <w:highlight w:val="none"/>
                <w:u w:val="none"/>
                <w:lang w:val="en-US" w:eastAsia="zh-CN" w:bidi="ar"/>
              </w:rPr>
              <w:t>HR-5</w:t>
            </w:r>
          </w:p>
        </w:tc>
        <w:tc>
          <w:tcPr>
            <w:tcW w:w="656" w:type="pct"/>
            <w:noWrap w:val="0"/>
            <w:vAlign w:val="center"/>
          </w:tcPr>
          <w:p w14:paraId="776057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Cs/>
                <w:color w:val="000000"/>
                <w:kern w:val="0"/>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114.712393</w:t>
            </w:r>
          </w:p>
        </w:tc>
        <w:tc>
          <w:tcPr>
            <w:tcW w:w="591" w:type="pct"/>
            <w:noWrap w:val="0"/>
            <w:vAlign w:val="center"/>
          </w:tcPr>
          <w:p w14:paraId="6E3DB6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Cs/>
                <w:color w:val="000000"/>
                <w:kern w:val="0"/>
                <w:sz w:val="21"/>
                <w:szCs w:val="21"/>
                <w:highlight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30.546388</w:t>
            </w:r>
          </w:p>
        </w:tc>
        <w:tc>
          <w:tcPr>
            <w:tcW w:w="363" w:type="pct"/>
            <w:noWrap w:val="0"/>
            <w:vAlign w:val="center"/>
          </w:tcPr>
          <w:p w14:paraId="3C1549E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kern w:val="0"/>
                <w:sz w:val="21"/>
                <w:szCs w:val="21"/>
                <w:highlight w:val="none"/>
                <w:lang w:val="en-US" w:eastAsia="zh-CN"/>
              </w:rPr>
            </w:pPr>
            <w:r>
              <w:rPr>
                <w:rFonts w:hint="default" w:ascii="Times New Roman" w:hAnsi="Times New Roman" w:cs="Times New Roman"/>
                <w:bCs/>
                <w:color w:val="000000"/>
                <w:kern w:val="0"/>
                <w:sz w:val="21"/>
                <w:szCs w:val="21"/>
                <w:highlight w:val="none"/>
                <w:lang w:val="en-US" w:eastAsia="zh-CN"/>
              </w:rPr>
              <w:t>12.0</w:t>
            </w:r>
          </w:p>
        </w:tc>
        <w:tc>
          <w:tcPr>
            <w:tcW w:w="498" w:type="pct"/>
            <w:noWrap w:val="0"/>
            <w:vAlign w:val="center"/>
          </w:tcPr>
          <w:p w14:paraId="092B516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cs="Times New Roman"/>
                <w:color w:val="000000"/>
                <w:kern w:val="0"/>
                <w:sz w:val="21"/>
                <w:szCs w:val="21"/>
                <w:highlight w:val="none"/>
                <w:lang w:val="en-US" w:eastAsia="zh-CN"/>
              </w:rPr>
              <w:t>10.0</w:t>
            </w:r>
          </w:p>
        </w:tc>
        <w:tc>
          <w:tcPr>
            <w:tcW w:w="578" w:type="pct"/>
            <w:noWrap w:val="0"/>
            <w:vAlign w:val="center"/>
          </w:tcPr>
          <w:p w14:paraId="5951672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cs="Times New Roman"/>
                <w:color w:val="000000"/>
                <w:kern w:val="0"/>
                <w:sz w:val="21"/>
                <w:szCs w:val="21"/>
                <w:highlight w:val="none"/>
              </w:rPr>
              <w:t>1.</w:t>
            </w:r>
            <w:r>
              <w:rPr>
                <w:rFonts w:hint="default" w:ascii="Times New Roman" w:hAnsi="Times New Roman" w:cs="Times New Roman"/>
                <w:color w:val="000000"/>
                <w:kern w:val="0"/>
                <w:sz w:val="21"/>
                <w:szCs w:val="21"/>
                <w:highlight w:val="none"/>
                <w:lang w:val="en-US" w:eastAsia="zh-CN"/>
              </w:rPr>
              <w:t>5</w:t>
            </w:r>
          </w:p>
        </w:tc>
        <w:tc>
          <w:tcPr>
            <w:tcW w:w="585" w:type="pct"/>
            <w:noWrap w:val="0"/>
            <w:vAlign w:val="center"/>
          </w:tcPr>
          <w:p w14:paraId="494869D3">
            <w:pPr>
              <w:keepNext w:val="0"/>
              <w:keepLines w:val="0"/>
              <w:widowControl/>
              <w:suppressLineNumbers w:val="0"/>
              <w:spacing w:before="0" w:beforeAutospacing="0" w:after="0" w:afterAutospacing="0" w:line="240" w:lineRule="auto"/>
              <w:ind w:left="0" w:right="0"/>
              <w:jc w:val="center"/>
              <w:rPr>
                <w:rFonts w:hint="default" w:cs="Times New Roman"/>
                <w:color w:val="000000"/>
                <w:kern w:val="0"/>
                <w:sz w:val="21"/>
                <w:szCs w:val="21"/>
                <w:highlight w:val="none"/>
                <w:lang w:val="en-US" w:eastAsia="zh-CN"/>
              </w:rPr>
            </w:pPr>
            <w:r>
              <w:rPr>
                <w:rFonts w:hint="eastAsia" w:cs="Times New Roman"/>
                <w:color w:val="000000"/>
                <w:kern w:val="0"/>
                <w:sz w:val="21"/>
                <w:szCs w:val="21"/>
                <w:highlight w:val="none"/>
                <w:lang w:val="en-US" w:eastAsia="zh-CN"/>
              </w:rPr>
              <w:t>9.0-11.5</w:t>
            </w:r>
          </w:p>
        </w:tc>
        <w:tc>
          <w:tcPr>
            <w:tcW w:w="645" w:type="pct"/>
            <w:noWrap w:val="0"/>
            <w:vAlign w:val="center"/>
          </w:tcPr>
          <w:p w14:paraId="565B24E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cs="Times New Roman"/>
                <w:color w:val="000000"/>
                <w:kern w:val="0"/>
                <w:sz w:val="21"/>
                <w:szCs w:val="21"/>
                <w:highlight w:val="none"/>
                <w:lang w:eastAsia="zh-CN"/>
              </w:rPr>
              <w:t>潜水</w:t>
            </w:r>
          </w:p>
        </w:tc>
      </w:tr>
    </w:tbl>
    <w:p w14:paraId="3A5056DD">
      <w:pPr>
        <w:widowControl/>
        <w:spacing w:line="240" w:lineRule="auto"/>
        <w:rPr>
          <w:rFonts w:hint="default" w:ascii="Times New Roman" w:hAnsi="Times New Roman" w:cs="Times New Roman"/>
          <w:b/>
          <w:kern w:val="0"/>
          <w:sz w:val="18"/>
          <w:szCs w:val="18"/>
          <w:highlight w:val="none"/>
        </w:rPr>
      </w:pPr>
      <w:r>
        <w:rPr>
          <w:rFonts w:hint="default" w:ascii="Times New Roman" w:hAnsi="Times New Roman" w:cs="Times New Roman"/>
          <w:b/>
          <w:kern w:val="0"/>
          <w:sz w:val="18"/>
          <w:szCs w:val="18"/>
          <w:highlight w:val="none"/>
        </w:rPr>
        <w:t>备注：①初见水位和稳定水位均为距离地面的距离</w:t>
      </w:r>
      <w:r>
        <w:rPr>
          <w:rFonts w:hint="default" w:ascii="Times New Roman" w:hAnsi="Times New Roman" w:cs="Times New Roman"/>
          <w:b/>
          <w:kern w:val="0"/>
          <w:sz w:val="18"/>
          <w:szCs w:val="18"/>
          <w:highlight w:val="none"/>
          <w:lang w:eastAsia="zh-CN"/>
        </w:rPr>
        <w:t>。</w:t>
      </w:r>
    </w:p>
    <w:p w14:paraId="598D32F7">
      <w:pPr>
        <w:pStyle w:val="4"/>
        <w:tabs>
          <w:tab w:val="left" w:leader="dot" w:pos="0"/>
          <w:tab w:val="clear" w:pos="425"/>
        </w:tabs>
        <w:rPr>
          <w:rFonts w:hint="default" w:ascii="Times New Roman" w:hAnsi="Times New Roman" w:cs="Times New Roman"/>
          <w:highlight w:val="none"/>
        </w:rPr>
      </w:pPr>
      <w:bookmarkStart w:id="31" w:name="_Toc10149"/>
      <w:r>
        <w:rPr>
          <w:rFonts w:hint="default" w:ascii="Times New Roman" w:hAnsi="Times New Roman" w:cs="Times New Roman"/>
          <w:highlight w:val="none"/>
        </w:rPr>
        <w:t>实验室分析</w:t>
      </w:r>
      <w:bookmarkEnd w:id="31"/>
    </w:p>
    <w:p w14:paraId="73FAD9D0">
      <w:pPr>
        <w:spacing w:line="360" w:lineRule="auto"/>
        <w:ind w:left="1" w:firstLine="480" w:firstLineChars="200"/>
        <w:rPr>
          <w:rFonts w:hint="default" w:ascii="Times New Roman" w:hAnsi="Times New Roman" w:eastAsia="宋体" w:cs="Times New Roman"/>
          <w:sz w:val="24"/>
          <w:highlight w:val="none"/>
          <w:lang w:eastAsia="zh-CN"/>
        </w:rPr>
      </w:pPr>
      <w:r>
        <w:rPr>
          <w:rFonts w:hint="default" w:ascii="Times New Roman" w:hAnsi="Times New Roman" w:cs="Times New Roman"/>
          <w:sz w:val="24"/>
          <w:highlight w:val="none"/>
        </w:rPr>
        <w:t>本次调查共送检</w:t>
      </w:r>
      <w:r>
        <w:rPr>
          <w:rFonts w:hint="default" w:ascii="Times New Roman" w:hAnsi="Times New Roman" w:cs="Times New Roman"/>
          <w:sz w:val="24"/>
          <w:highlight w:val="none"/>
          <w:lang w:val="en-US" w:eastAsia="zh-CN"/>
        </w:rPr>
        <w:t>20</w:t>
      </w:r>
      <w:r>
        <w:rPr>
          <w:rFonts w:hint="default" w:ascii="Times New Roman" w:hAnsi="Times New Roman" w:cs="Times New Roman"/>
          <w:sz w:val="24"/>
          <w:highlight w:val="none"/>
        </w:rPr>
        <w:t>个土壤样品</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3</w:t>
      </w:r>
      <w:r>
        <w:rPr>
          <w:rFonts w:hint="default" w:ascii="Times New Roman" w:hAnsi="Times New Roman" w:cs="Times New Roman"/>
          <w:sz w:val="24"/>
          <w:highlight w:val="none"/>
        </w:rPr>
        <w:t>个平行盲样</w:t>
      </w:r>
      <w:r>
        <w:rPr>
          <w:rFonts w:hint="default" w:ascii="Times New Roman" w:hAnsi="Times New Roman" w:cs="Times New Roman"/>
          <w:sz w:val="24"/>
          <w:highlight w:val="none"/>
          <w:lang w:eastAsia="zh-CN"/>
        </w:rPr>
        <w:t>和</w:t>
      </w:r>
      <w:r>
        <w:rPr>
          <w:rFonts w:hint="default" w:ascii="Times New Roman" w:hAnsi="Times New Roman" w:cs="Times New Roman"/>
          <w:color w:val="000000"/>
          <w:kern w:val="0"/>
          <w:sz w:val="24"/>
          <w:highlight w:val="none"/>
        </w:rPr>
        <w:t>1个运输空白样</w:t>
      </w:r>
      <w:r>
        <w:rPr>
          <w:rFonts w:hint="default" w:ascii="Times New Roman" w:hAnsi="Times New Roman" w:cs="Times New Roman"/>
          <w:sz w:val="24"/>
          <w:highlight w:val="none"/>
        </w:rPr>
        <w:t>，</w:t>
      </w:r>
      <w:r>
        <w:rPr>
          <w:rFonts w:hint="eastAsia" w:cs="Times New Roman"/>
          <w:sz w:val="24"/>
          <w:highlight w:val="none"/>
          <w:lang w:val="en-US" w:eastAsia="zh-CN"/>
        </w:rPr>
        <w:t>共计24个</w:t>
      </w:r>
      <w:r>
        <w:rPr>
          <w:rFonts w:hint="default" w:ascii="Times New Roman" w:hAnsi="Times New Roman" w:cs="Times New Roman"/>
          <w:sz w:val="24"/>
          <w:highlight w:val="none"/>
        </w:rPr>
        <w:t>土壤样品</w:t>
      </w:r>
      <w:r>
        <w:rPr>
          <w:rFonts w:hint="eastAsia" w:cs="Times New Roman"/>
          <w:sz w:val="24"/>
          <w:highlight w:val="none"/>
          <w:lang w:eastAsia="zh-CN"/>
        </w:rPr>
        <w:t>。</w:t>
      </w:r>
      <w:r>
        <w:rPr>
          <w:rFonts w:hint="default" w:ascii="Times New Roman" w:hAnsi="Times New Roman" w:cs="Times New Roman"/>
          <w:sz w:val="24"/>
          <w:highlight w:val="none"/>
        </w:rPr>
        <w:t>所有</w:t>
      </w:r>
      <w:r>
        <w:rPr>
          <w:rFonts w:hint="eastAsia" w:cs="Times New Roman"/>
          <w:sz w:val="24"/>
          <w:highlight w:val="none"/>
          <w:lang w:val="en-US" w:eastAsia="zh-CN"/>
        </w:rPr>
        <w:t>土壤样品中</w:t>
      </w:r>
      <w:r>
        <w:rPr>
          <w:rFonts w:hint="default" w:ascii="Times New Roman" w:hAnsi="Times New Roman" w:cs="Times New Roman"/>
          <w:sz w:val="24"/>
          <w:highlight w:val="none"/>
          <w:lang w:eastAsia="zh-CN"/>
        </w:rPr>
        <w:t>铬（六价）、氰化物</w:t>
      </w:r>
      <w:r>
        <w:rPr>
          <w:rFonts w:hint="default" w:ascii="Times New Roman" w:hAnsi="Times New Roman" w:cs="Times New Roman"/>
          <w:sz w:val="24"/>
          <w:highlight w:val="none"/>
        </w:rPr>
        <w:t>的测试工作委托第三方实验室武汉仲联诚鉴检测技术有限公司承担，其余测试项目均委托苏伊士环境检测技术（上海）有限公司</w:t>
      </w:r>
      <w:r>
        <w:rPr>
          <w:rFonts w:hint="eastAsia" w:cs="Times New Roman"/>
          <w:sz w:val="24"/>
          <w:highlight w:val="none"/>
          <w:lang w:val="en-US" w:eastAsia="zh-CN"/>
        </w:rPr>
        <w:t>北京</w:t>
      </w:r>
      <w:r>
        <w:rPr>
          <w:rFonts w:hint="default" w:ascii="Times New Roman" w:hAnsi="Times New Roman" w:cs="Times New Roman"/>
          <w:sz w:val="24"/>
          <w:highlight w:val="none"/>
        </w:rPr>
        <w:t>分公司承担</w:t>
      </w:r>
      <w:r>
        <w:rPr>
          <w:rFonts w:hint="default" w:ascii="Times New Roman" w:hAnsi="Times New Roman" w:cs="Times New Roman"/>
          <w:sz w:val="24"/>
          <w:highlight w:val="none"/>
          <w:lang w:eastAsia="zh-CN"/>
        </w:rPr>
        <w:t>；</w:t>
      </w:r>
      <w:r>
        <w:rPr>
          <w:rFonts w:hint="eastAsia" w:cs="Times New Roman"/>
          <w:sz w:val="24"/>
          <w:highlight w:val="none"/>
          <w:lang w:val="en-US" w:eastAsia="zh-CN"/>
        </w:rPr>
        <w:t>2个</w:t>
      </w:r>
      <w:r>
        <w:rPr>
          <w:rFonts w:hint="default" w:ascii="Times New Roman" w:hAnsi="Times New Roman" w:cs="Times New Roman"/>
          <w:sz w:val="24"/>
          <w:highlight w:val="none"/>
          <w:lang w:eastAsia="zh-CN"/>
        </w:rPr>
        <w:t>地下水样品均委托</w:t>
      </w:r>
      <w:r>
        <w:rPr>
          <w:rFonts w:hint="default" w:ascii="Times New Roman" w:hAnsi="Times New Roman" w:cs="Times New Roman"/>
          <w:sz w:val="24"/>
          <w:highlight w:val="none"/>
        </w:rPr>
        <w:t>武汉仲联诚鉴检测技术有限公司承担</w:t>
      </w:r>
      <w:r>
        <w:rPr>
          <w:rFonts w:hint="default" w:ascii="Times New Roman" w:hAnsi="Times New Roman" w:cs="Times New Roman"/>
          <w:sz w:val="24"/>
          <w:highlight w:val="none"/>
          <w:lang w:eastAsia="zh-CN"/>
        </w:rPr>
        <w:t>。</w:t>
      </w:r>
    </w:p>
    <w:p w14:paraId="350C92DE">
      <w:pPr>
        <w:pStyle w:val="5"/>
        <w:tabs>
          <w:tab w:val="left" w:pos="425"/>
        </w:tabs>
        <w:spacing w:before="120"/>
        <w:rPr>
          <w:rFonts w:hint="default" w:ascii="Times New Roman" w:hAnsi="Times New Roman" w:cs="Times New Roman"/>
          <w:bCs w:val="0"/>
          <w:highlight w:val="none"/>
        </w:rPr>
      </w:pPr>
      <w:r>
        <w:rPr>
          <w:rFonts w:hint="default" w:ascii="Times New Roman" w:hAnsi="Times New Roman" w:cs="Times New Roman"/>
          <w:bCs w:val="0"/>
          <w:highlight w:val="none"/>
        </w:rPr>
        <w:t>检测单位介绍</w:t>
      </w:r>
    </w:p>
    <w:p w14:paraId="53EC90FB">
      <w:pPr>
        <w:spacing w:line="360" w:lineRule="auto"/>
        <w:ind w:left="1"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委托开展样品测试的第三方检测单位（苏伊士环境检测技术（上海）有限公司北京分公司、武汉仲联诚鉴检测技术有限公司</w:t>
      </w:r>
      <w:r>
        <w:rPr>
          <w:rFonts w:hint="default" w:ascii="Times New Roman" w:hAnsi="Times New Roman" w:cs="Times New Roman"/>
          <w:sz w:val="24"/>
          <w:highlight w:val="none"/>
          <w:lang w:eastAsia="zh-CN"/>
        </w:rPr>
        <w:t>、通标技术服务（上海）有限公司</w:t>
      </w:r>
      <w:r>
        <w:rPr>
          <w:rFonts w:hint="default" w:ascii="Times New Roman" w:hAnsi="Times New Roman" w:cs="Times New Roman"/>
          <w:sz w:val="24"/>
          <w:highlight w:val="none"/>
        </w:rPr>
        <w:t>）均具有CMA计量认证，可提供现场采样以及现场监测服务。</w:t>
      </w:r>
    </w:p>
    <w:p w14:paraId="37F62E32">
      <w:pPr>
        <w:spacing w:line="360" w:lineRule="auto"/>
        <w:ind w:left="1"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检测单位资质证书见附件2。</w:t>
      </w:r>
    </w:p>
    <w:p w14:paraId="1AFA94CA">
      <w:pPr>
        <w:pStyle w:val="5"/>
        <w:tabs>
          <w:tab w:val="left" w:pos="425"/>
        </w:tabs>
        <w:spacing w:before="120"/>
        <w:rPr>
          <w:rFonts w:hint="default" w:ascii="Times New Roman" w:hAnsi="Times New Roman" w:cs="Times New Roman"/>
          <w:highlight w:val="none"/>
        </w:rPr>
      </w:pPr>
      <w:r>
        <w:rPr>
          <w:rFonts w:hint="default" w:ascii="Times New Roman" w:hAnsi="Times New Roman" w:cs="Times New Roman"/>
          <w:highlight w:val="none"/>
        </w:rPr>
        <w:t>监测分析方法</w:t>
      </w:r>
    </w:p>
    <w:p w14:paraId="689C3B7A">
      <w:pPr>
        <w:spacing w:line="360" w:lineRule="auto"/>
        <w:ind w:left="1"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土壤样品</w:t>
      </w:r>
      <w:r>
        <w:rPr>
          <w:rFonts w:hint="default" w:ascii="Times New Roman" w:hAnsi="Times New Roman" w:cs="Times New Roman"/>
          <w:sz w:val="24"/>
          <w:highlight w:val="none"/>
        </w:rPr>
        <w:t>各检测指标检测方法和检出限详见表4-</w:t>
      </w:r>
      <w:r>
        <w:rPr>
          <w:rFonts w:hint="default" w:ascii="Times New Roman" w:hAnsi="Times New Roman" w:cs="Times New Roman"/>
          <w:sz w:val="24"/>
          <w:highlight w:val="none"/>
          <w:lang w:val="en-US" w:eastAsia="zh-CN"/>
        </w:rPr>
        <w:t>4</w:t>
      </w:r>
      <w:r>
        <w:rPr>
          <w:rFonts w:hint="default" w:ascii="Times New Roman" w:hAnsi="Times New Roman" w:cs="Times New Roman"/>
          <w:sz w:val="24"/>
          <w:highlight w:val="none"/>
        </w:rPr>
        <w:t>-1。</w:t>
      </w:r>
    </w:p>
    <w:p w14:paraId="4E234580">
      <w:pPr>
        <w:spacing w:line="360" w:lineRule="auto"/>
        <w:ind w:left="1" w:firstLine="480" w:firstLineChars="200"/>
        <w:rPr>
          <w:rFonts w:hint="default" w:ascii="Times New Roman" w:hAnsi="Times New Roman" w:cs="Times New Roman"/>
          <w:highlight w:val="none"/>
        </w:rPr>
      </w:pPr>
      <w:r>
        <w:rPr>
          <w:rFonts w:hint="default" w:ascii="Times New Roman" w:hAnsi="Times New Roman" w:cs="Times New Roman"/>
          <w:sz w:val="24"/>
          <w:highlight w:val="none"/>
          <w:lang w:eastAsia="zh-CN"/>
        </w:rPr>
        <w:t>地下水样品</w:t>
      </w:r>
      <w:r>
        <w:rPr>
          <w:rFonts w:hint="default" w:ascii="Times New Roman" w:hAnsi="Times New Roman" w:cs="Times New Roman"/>
          <w:sz w:val="24"/>
          <w:highlight w:val="none"/>
        </w:rPr>
        <w:t>各检测指标检测方法和检出限详见表4-</w:t>
      </w:r>
      <w:r>
        <w:rPr>
          <w:rFonts w:hint="default" w:ascii="Times New Roman" w:hAnsi="Times New Roman" w:cs="Times New Roman"/>
          <w:sz w:val="24"/>
          <w:highlight w:val="none"/>
          <w:lang w:val="en-US" w:eastAsia="zh-CN"/>
        </w:rPr>
        <w:t>4</w:t>
      </w:r>
      <w:r>
        <w:rPr>
          <w:rFonts w:hint="default" w:ascii="Times New Roman" w:hAnsi="Times New Roman" w:cs="Times New Roman"/>
          <w:sz w:val="24"/>
          <w:highlight w:val="none"/>
        </w:rPr>
        <w:t>-</w:t>
      </w:r>
      <w:r>
        <w:rPr>
          <w:rFonts w:hint="default" w:ascii="Times New Roman" w:hAnsi="Times New Roman" w:cs="Times New Roman"/>
          <w:sz w:val="24"/>
          <w:highlight w:val="none"/>
          <w:lang w:val="en-US" w:eastAsia="zh-CN"/>
        </w:rPr>
        <w:t>2</w:t>
      </w:r>
      <w:r>
        <w:rPr>
          <w:rFonts w:hint="default" w:ascii="Times New Roman" w:hAnsi="Times New Roman" w:cs="Times New Roman"/>
          <w:sz w:val="24"/>
          <w:highlight w:val="none"/>
        </w:rPr>
        <w:t>。</w:t>
      </w:r>
    </w:p>
    <w:p w14:paraId="2EEA8F1B">
      <w:pPr>
        <w:spacing w:before="156" w:beforeLines="50" w:line="240" w:lineRule="auto"/>
        <w:jc w:val="center"/>
        <w:rPr>
          <w:rFonts w:hint="default" w:ascii="Times New Roman" w:hAnsi="Times New Roman" w:eastAsia="黑体" w:cs="Times New Roman"/>
          <w:b/>
          <w:bCs/>
          <w:color w:val="000000"/>
          <w:sz w:val="24"/>
          <w:highlight w:val="none"/>
        </w:rPr>
      </w:pPr>
      <w:r>
        <w:rPr>
          <w:rFonts w:hint="default" w:ascii="Times New Roman" w:hAnsi="Times New Roman" w:eastAsia="黑体" w:cs="Times New Roman"/>
          <w:b/>
          <w:bCs/>
          <w:color w:val="000000"/>
          <w:sz w:val="24"/>
          <w:highlight w:val="none"/>
        </w:rPr>
        <w:t>表4-</w:t>
      </w:r>
      <w:r>
        <w:rPr>
          <w:rFonts w:hint="default" w:ascii="Times New Roman" w:hAnsi="Times New Roman" w:eastAsia="黑体" w:cs="Times New Roman"/>
          <w:b/>
          <w:bCs/>
          <w:color w:val="000000"/>
          <w:sz w:val="24"/>
          <w:highlight w:val="none"/>
          <w:lang w:val="en-US" w:eastAsia="zh-CN"/>
        </w:rPr>
        <w:t>4</w:t>
      </w:r>
      <w:r>
        <w:rPr>
          <w:rFonts w:hint="default" w:ascii="Times New Roman" w:hAnsi="Times New Roman" w:eastAsia="黑体" w:cs="Times New Roman"/>
          <w:b/>
          <w:bCs/>
          <w:color w:val="000000"/>
          <w:sz w:val="24"/>
          <w:highlight w:val="none"/>
        </w:rPr>
        <w:t>-1  土壤监测分析方法及检出限汇总</w:t>
      </w:r>
    </w:p>
    <w:tbl>
      <w:tblPr>
        <w:tblStyle w:val="21"/>
        <w:tblW w:w="9798" w:type="dxa"/>
        <w:jc w:val="center"/>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
        <w:gridCol w:w="896"/>
        <w:gridCol w:w="1807"/>
        <w:gridCol w:w="3447"/>
        <w:gridCol w:w="1597"/>
        <w:gridCol w:w="1429"/>
      </w:tblGrid>
      <w:tr w14:paraId="366E3C29">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blHeader/>
          <w:jc w:val="center"/>
        </w:trPr>
        <w:tc>
          <w:tcPr>
            <w:tcW w:w="622" w:type="dxa"/>
            <w:tcBorders>
              <w:top w:val="single" w:color="auto" w:sz="12" w:space="0"/>
              <w:left w:val="nil"/>
              <w:bottom w:val="single" w:color="auto" w:sz="12" w:space="0"/>
              <w:right w:val="single" w:color="auto" w:sz="4" w:space="0"/>
            </w:tcBorders>
            <w:noWrap w:val="0"/>
            <w:vAlign w:val="center"/>
          </w:tcPr>
          <w:p w14:paraId="0F0390D2">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b/>
                <w:color w:val="000000"/>
                <w:sz w:val="21"/>
                <w:szCs w:val="21"/>
                <w:highlight w:val="none"/>
              </w:rPr>
            </w:pPr>
            <w:r>
              <w:rPr>
                <w:rFonts w:hint="default" w:ascii="Times New Roman" w:hAnsi="Times New Roman" w:cs="Times New Roman"/>
                <w:b/>
                <w:color w:val="000000"/>
                <w:sz w:val="21"/>
                <w:szCs w:val="21"/>
                <w:highlight w:val="none"/>
              </w:rPr>
              <w:t>类型</w:t>
            </w:r>
          </w:p>
        </w:tc>
        <w:tc>
          <w:tcPr>
            <w:tcW w:w="2703" w:type="dxa"/>
            <w:gridSpan w:val="2"/>
            <w:tcBorders>
              <w:top w:val="single" w:color="auto" w:sz="12" w:space="0"/>
              <w:left w:val="single" w:color="auto" w:sz="4" w:space="0"/>
              <w:bottom w:val="single" w:color="auto" w:sz="12" w:space="0"/>
              <w:right w:val="single" w:color="auto" w:sz="4" w:space="0"/>
            </w:tcBorders>
            <w:noWrap w:val="0"/>
            <w:vAlign w:val="center"/>
          </w:tcPr>
          <w:p w14:paraId="57092C7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b/>
                <w:color w:val="000000"/>
                <w:sz w:val="21"/>
                <w:szCs w:val="21"/>
                <w:highlight w:val="none"/>
                <w:lang w:eastAsia="zh-CN"/>
              </w:rPr>
            </w:pPr>
            <w:r>
              <w:rPr>
                <w:rFonts w:hint="default" w:ascii="Times New Roman" w:hAnsi="Times New Roman" w:cs="Times New Roman"/>
                <w:b/>
                <w:color w:val="000000"/>
                <w:sz w:val="21"/>
                <w:szCs w:val="21"/>
                <w:highlight w:val="none"/>
              </w:rPr>
              <w:t>监测</w:t>
            </w:r>
            <w:r>
              <w:rPr>
                <w:rFonts w:hint="default" w:ascii="Times New Roman" w:hAnsi="Times New Roman" w:cs="Times New Roman"/>
                <w:b/>
                <w:color w:val="000000"/>
                <w:sz w:val="21"/>
                <w:szCs w:val="21"/>
                <w:highlight w:val="none"/>
                <w:lang w:eastAsia="zh-CN"/>
              </w:rPr>
              <w:t>污染指标</w:t>
            </w:r>
          </w:p>
        </w:tc>
        <w:tc>
          <w:tcPr>
            <w:tcW w:w="3447" w:type="dxa"/>
            <w:tcBorders>
              <w:top w:val="single" w:color="auto" w:sz="12" w:space="0"/>
              <w:left w:val="single" w:color="auto" w:sz="4" w:space="0"/>
              <w:bottom w:val="single" w:color="auto" w:sz="12" w:space="0"/>
              <w:right w:val="single" w:color="auto" w:sz="4" w:space="0"/>
            </w:tcBorders>
            <w:noWrap w:val="0"/>
            <w:vAlign w:val="center"/>
          </w:tcPr>
          <w:p w14:paraId="392B895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b/>
                <w:color w:val="000000"/>
                <w:sz w:val="21"/>
                <w:szCs w:val="21"/>
                <w:highlight w:val="none"/>
              </w:rPr>
            </w:pPr>
            <w:r>
              <w:rPr>
                <w:rFonts w:hint="default" w:ascii="Times New Roman" w:hAnsi="Times New Roman" w:cs="Times New Roman"/>
                <w:b/>
                <w:color w:val="000000"/>
                <w:sz w:val="21"/>
                <w:szCs w:val="21"/>
                <w:highlight w:val="none"/>
              </w:rPr>
              <w:t>分析方法及依据</w:t>
            </w:r>
          </w:p>
        </w:tc>
        <w:tc>
          <w:tcPr>
            <w:tcW w:w="1597" w:type="dxa"/>
            <w:tcBorders>
              <w:top w:val="single" w:color="auto" w:sz="12" w:space="0"/>
              <w:left w:val="single" w:color="auto" w:sz="4" w:space="0"/>
              <w:bottom w:val="single" w:color="auto" w:sz="12" w:space="0"/>
              <w:right w:val="single" w:color="auto" w:sz="4" w:space="0"/>
            </w:tcBorders>
            <w:noWrap w:val="0"/>
            <w:vAlign w:val="center"/>
          </w:tcPr>
          <w:p w14:paraId="7C46CC0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b/>
                <w:color w:val="000000"/>
                <w:sz w:val="21"/>
                <w:szCs w:val="21"/>
                <w:highlight w:val="none"/>
              </w:rPr>
            </w:pPr>
            <w:r>
              <w:rPr>
                <w:rFonts w:hint="default" w:ascii="Times New Roman" w:hAnsi="Times New Roman" w:cs="Times New Roman"/>
                <w:b/>
                <w:color w:val="000000"/>
                <w:sz w:val="21"/>
                <w:szCs w:val="21"/>
                <w:highlight w:val="none"/>
              </w:rPr>
              <w:t>标准编号</w:t>
            </w:r>
          </w:p>
        </w:tc>
        <w:tc>
          <w:tcPr>
            <w:tcW w:w="1429" w:type="dxa"/>
            <w:tcBorders>
              <w:top w:val="single" w:color="auto" w:sz="12" w:space="0"/>
              <w:left w:val="single" w:color="auto" w:sz="4" w:space="0"/>
              <w:bottom w:val="single" w:color="auto" w:sz="12" w:space="0"/>
              <w:right w:val="nil"/>
            </w:tcBorders>
            <w:noWrap w:val="0"/>
            <w:vAlign w:val="center"/>
          </w:tcPr>
          <w:p w14:paraId="5BDE6DB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b/>
                <w:color w:val="000000"/>
                <w:sz w:val="21"/>
                <w:szCs w:val="21"/>
                <w:highlight w:val="none"/>
              </w:rPr>
            </w:pPr>
            <w:r>
              <w:rPr>
                <w:rFonts w:hint="default" w:ascii="Times New Roman" w:hAnsi="Times New Roman" w:cs="Times New Roman"/>
                <w:b/>
                <w:color w:val="000000"/>
                <w:sz w:val="21"/>
                <w:szCs w:val="21"/>
                <w:highlight w:val="none"/>
              </w:rPr>
              <w:t>检出限</w:t>
            </w:r>
            <w:r>
              <w:rPr>
                <w:rFonts w:hint="eastAsia" w:cs="Times New Roman"/>
                <w:b/>
                <w:color w:val="000000"/>
                <w:sz w:val="21"/>
                <w:szCs w:val="21"/>
                <w:highlight w:val="none"/>
                <w:vertAlign w:val="superscript"/>
                <w:lang w:val="en-US" w:eastAsia="zh-CN"/>
              </w:rPr>
              <w:t>①</w:t>
            </w:r>
            <w:r>
              <w:rPr>
                <w:rFonts w:hint="default" w:ascii="Times New Roman" w:hAnsi="Times New Roman" w:cs="Times New Roman"/>
                <w:b/>
                <w:color w:val="000000"/>
                <w:kern w:val="0"/>
                <w:sz w:val="21"/>
                <w:szCs w:val="21"/>
                <w:highlight w:val="none"/>
              </w:rPr>
              <w:t>（mg/kg）</w:t>
            </w:r>
          </w:p>
        </w:tc>
      </w:tr>
      <w:tr w14:paraId="3CA70FD5">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22" w:type="dxa"/>
            <w:vMerge w:val="restart"/>
            <w:tcBorders>
              <w:top w:val="single" w:color="auto" w:sz="12" w:space="0"/>
              <w:left w:val="nil"/>
              <w:bottom w:val="single" w:color="auto" w:sz="4" w:space="0"/>
              <w:right w:val="single" w:color="auto" w:sz="4" w:space="0"/>
            </w:tcBorders>
            <w:noWrap w:val="0"/>
            <w:vAlign w:val="center"/>
          </w:tcPr>
          <w:p w14:paraId="366260A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土壤</w:t>
            </w:r>
          </w:p>
        </w:tc>
        <w:tc>
          <w:tcPr>
            <w:tcW w:w="2703" w:type="dxa"/>
            <w:gridSpan w:val="2"/>
            <w:tcBorders>
              <w:top w:val="single" w:color="auto" w:sz="12" w:space="0"/>
              <w:left w:val="single" w:color="auto" w:sz="4" w:space="0"/>
              <w:bottom w:val="single" w:color="auto" w:sz="4" w:space="0"/>
              <w:right w:val="single" w:color="auto" w:sz="4" w:space="0"/>
            </w:tcBorders>
            <w:noWrap w:val="0"/>
            <w:vAlign w:val="center"/>
          </w:tcPr>
          <w:p w14:paraId="3849F59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pH值</w:t>
            </w:r>
          </w:p>
        </w:tc>
        <w:tc>
          <w:tcPr>
            <w:tcW w:w="3447" w:type="dxa"/>
            <w:tcBorders>
              <w:top w:val="single" w:color="auto" w:sz="12" w:space="0"/>
              <w:left w:val="single" w:color="auto" w:sz="4" w:space="0"/>
              <w:bottom w:val="single" w:color="auto" w:sz="4" w:space="0"/>
              <w:right w:val="single" w:color="auto" w:sz="4" w:space="0"/>
            </w:tcBorders>
            <w:noWrap w:val="0"/>
            <w:vAlign w:val="center"/>
          </w:tcPr>
          <w:p w14:paraId="0CA91A1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kern w:val="0"/>
                <w:sz w:val="21"/>
                <w:szCs w:val="21"/>
                <w:highlight w:val="none"/>
              </w:rPr>
            </w:pPr>
            <w:r>
              <w:rPr>
                <w:rFonts w:hint="default" w:ascii="Times New Roman" w:hAnsi="Times New Roman" w:cs="Times New Roman"/>
                <w:color w:val="000000"/>
                <w:kern w:val="0"/>
                <w:sz w:val="21"/>
                <w:szCs w:val="21"/>
                <w:highlight w:val="none"/>
              </w:rPr>
              <w:t>土壤 pH值的测定 电位法</w:t>
            </w:r>
          </w:p>
        </w:tc>
        <w:tc>
          <w:tcPr>
            <w:tcW w:w="1597" w:type="dxa"/>
            <w:tcBorders>
              <w:top w:val="single" w:color="auto" w:sz="12" w:space="0"/>
              <w:left w:val="single" w:color="auto" w:sz="4" w:space="0"/>
              <w:bottom w:val="single" w:color="auto" w:sz="4" w:space="0"/>
              <w:right w:val="single" w:color="auto" w:sz="4" w:space="0"/>
            </w:tcBorders>
            <w:noWrap w:val="0"/>
            <w:vAlign w:val="center"/>
          </w:tcPr>
          <w:p w14:paraId="26C85AA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kern w:val="0"/>
                <w:sz w:val="21"/>
                <w:szCs w:val="21"/>
                <w:highlight w:val="none"/>
              </w:rPr>
            </w:pPr>
            <w:r>
              <w:rPr>
                <w:rFonts w:hint="default" w:ascii="Times New Roman" w:hAnsi="Times New Roman" w:cs="Times New Roman"/>
                <w:color w:val="000000"/>
                <w:kern w:val="0"/>
                <w:sz w:val="21"/>
                <w:szCs w:val="21"/>
                <w:highlight w:val="none"/>
              </w:rPr>
              <w:t>HJ 962-2018</w:t>
            </w:r>
          </w:p>
        </w:tc>
        <w:tc>
          <w:tcPr>
            <w:tcW w:w="1429" w:type="dxa"/>
            <w:tcBorders>
              <w:top w:val="single" w:color="auto" w:sz="12" w:space="0"/>
              <w:left w:val="single" w:color="auto" w:sz="4" w:space="0"/>
              <w:bottom w:val="single" w:color="auto" w:sz="4" w:space="0"/>
              <w:right w:val="nil"/>
            </w:tcBorders>
            <w:noWrap w:val="0"/>
            <w:vAlign w:val="center"/>
          </w:tcPr>
          <w:p w14:paraId="1F8B0F0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0.01（无量纲）</w:t>
            </w:r>
          </w:p>
        </w:tc>
      </w:tr>
      <w:tr w14:paraId="7CBA8A86">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22" w:type="dxa"/>
            <w:vMerge w:val="continue"/>
            <w:tcBorders>
              <w:left w:val="nil"/>
              <w:right w:val="single" w:color="auto" w:sz="4" w:space="0"/>
            </w:tcBorders>
            <w:noWrap w:val="0"/>
            <w:vAlign w:val="center"/>
          </w:tcPr>
          <w:p w14:paraId="04493A7D">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p>
        </w:tc>
        <w:tc>
          <w:tcPr>
            <w:tcW w:w="2703" w:type="dxa"/>
            <w:gridSpan w:val="2"/>
            <w:tcBorders>
              <w:top w:val="single" w:color="auto" w:sz="4" w:space="0"/>
              <w:left w:val="single" w:color="auto" w:sz="4" w:space="0"/>
              <w:bottom w:val="single" w:color="auto" w:sz="4" w:space="0"/>
              <w:right w:val="single" w:color="auto" w:sz="4" w:space="0"/>
            </w:tcBorders>
            <w:noWrap w:val="0"/>
            <w:vAlign w:val="center"/>
          </w:tcPr>
          <w:p w14:paraId="244E9D0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总氟化物</w:t>
            </w:r>
          </w:p>
        </w:tc>
        <w:tc>
          <w:tcPr>
            <w:tcW w:w="3447" w:type="dxa"/>
            <w:tcBorders>
              <w:top w:val="single" w:color="auto" w:sz="4" w:space="0"/>
              <w:left w:val="single" w:color="auto" w:sz="4" w:space="0"/>
              <w:bottom w:val="single" w:color="auto" w:sz="4" w:space="0"/>
              <w:right w:val="single" w:color="auto" w:sz="4" w:space="0"/>
            </w:tcBorders>
            <w:noWrap w:val="0"/>
            <w:vAlign w:val="center"/>
          </w:tcPr>
          <w:p w14:paraId="1CACF93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kern w:val="0"/>
                <w:sz w:val="21"/>
                <w:szCs w:val="21"/>
                <w:highlight w:val="none"/>
              </w:rPr>
            </w:pPr>
            <w:r>
              <w:rPr>
                <w:rFonts w:hint="default" w:ascii="Times New Roman" w:hAnsi="Times New Roman" w:eastAsia="宋体" w:cs="Times New Roman"/>
                <w:sz w:val="21"/>
                <w:szCs w:val="21"/>
                <w:highlight w:val="none"/>
              </w:rPr>
              <w:t>土壤 水溶性</w:t>
            </w:r>
            <w:r>
              <w:rPr>
                <w:rFonts w:hint="eastAsia" w:cs="Times New Roman"/>
                <w:sz w:val="21"/>
                <w:szCs w:val="21"/>
                <w:highlight w:val="none"/>
                <w:lang w:eastAsia="zh-CN"/>
              </w:rPr>
              <w:t>总氟化物</w:t>
            </w:r>
            <w:r>
              <w:rPr>
                <w:rFonts w:hint="default" w:ascii="Times New Roman" w:hAnsi="Times New Roman" w:eastAsia="宋体" w:cs="Times New Roman"/>
                <w:sz w:val="21"/>
                <w:szCs w:val="21"/>
                <w:highlight w:val="none"/>
              </w:rPr>
              <w:t>和</w:t>
            </w:r>
            <w:r>
              <w:rPr>
                <w:rFonts w:hint="eastAsia" w:cs="Times New Roman"/>
                <w:sz w:val="21"/>
                <w:szCs w:val="21"/>
                <w:highlight w:val="none"/>
                <w:lang w:eastAsia="zh-CN"/>
              </w:rPr>
              <w:t>总氟化物</w:t>
            </w:r>
            <w:r>
              <w:rPr>
                <w:rFonts w:hint="default" w:ascii="Times New Roman" w:hAnsi="Times New Roman" w:eastAsia="宋体" w:cs="Times New Roman"/>
                <w:sz w:val="21"/>
                <w:szCs w:val="21"/>
                <w:highlight w:val="none"/>
              </w:rPr>
              <w:t>的测定 离子选择电极法</w:t>
            </w:r>
          </w:p>
        </w:tc>
        <w:tc>
          <w:tcPr>
            <w:tcW w:w="1597" w:type="dxa"/>
            <w:tcBorders>
              <w:top w:val="single" w:color="auto" w:sz="4" w:space="0"/>
              <w:left w:val="single" w:color="auto" w:sz="4" w:space="0"/>
              <w:bottom w:val="single" w:color="auto" w:sz="4" w:space="0"/>
              <w:right w:val="single" w:color="auto" w:sz="4" w:space="0"/>
            </w:tcBorders>
            <w:noWrap w:val="0"/>
            <w:vAlign w:val="center"/>
          </w:tcPr>
          <w:p w14:paraId="703D2D3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kern w:val="0"/>
                <w:sz w:val="21"/>
                <w:szCs w:val="21"/>
                <w:highlight w:val="none"/>
              </w:rPr>
            </w:pPr>
            <w:r>
              <w:rPr>
                <w:rFonts w:hint="default" w:ascii="Times New Roman" w:hAnsi="Times New Roman" w:eastAsia="宋体" w:cs="Times New Roman"/>
                <w:sz w:val="21"/>
                <w:szCs w:val="21"/>
                <w:highlight w:val="none"/>
              </w:rPr>
              <w:t>HJ 873-2017</w:t>
            </w:r>
          </w:p>
        </w:tc>
        <w:tc>
          <w:tcPr>
            <w:tcW w:w="1429" w:type="dxa"/>
            <w:tcBorders>
              <w:top w:val="single" w:color="auto" w:sz="4" w:space="0"/>
              <w:left w:val="single" w:color="auto" w:sz="4" w:space="0"/>
              <w:bottom w:val="single" w:color="auto" w:sz="4" w:space="0"/>
              <w:right w:val="nil"/>
            </w:tcBorders>
            <w:noWrap w:val="0"/>
            <w:vAlign w:val="center"/>
          </w:tcPr>
          <w:p w14:paraId="09018E08">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cs="Times New Roman"/>
                <w:color w:val="000000"/>
                <w:sz w:val="21"/>
                <w:szCs w:val="21"/>
                <w:highlight w:val="none"/>
                <w:lang w:val="en-US" w:eastAsia="zh-CN"/>
              </w:rPr>
              <w:t>63</w:t>
            </w:r>
          </w:p>
        </w:tc>
      </w:tr>
      <w:tr w14:paraId="2C395A0B">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098F407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2703" w:type="dxa"/>
            <w:gridSpan w:val="2"/>
            <w:tcBorders>
              <w:top w:val="single" w:color="auto" w:sz="4" w:space="0"/>
              <w:left w:val="single" w:color="auto" w:sz="4" w:space="0"/>
              <w:bottom w:val="single" w:color="auto" w:sz="4" w:space="0"/>
              <w:right w:val="single" w:color="auto" w:sz="4" w:space="0"/>
            </w:tcBorders>
            <w:noWrap w:val="0"/>
            <w:vAlign w:val="center"/>
          </w:tcPr>
          <w:p w14:paraId="7A1FC3C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铬（六价）</w:t>
            </w:r>
          </w:p>
        </w:tc>
        <w:tc>
          <w:tcPr>
            <w:tcW w:w="3447" w:type="dxa"/>
            <w:tcBorders>
              <w:top w:val="single" w:color="auto" w:sz="4" w:space="0"/>
              <w:left w:val="single" w:color="auto" w:sz="4" w:space="0"/>
              <w:bottom w:val="single" w:color="auto" w:sz="4" w:space="0"/>
              <w:right w:val="single" w:color="auto" w:sz="4" w:space="0"/>
            </w:tcBorders>
            <w:noWrap w:val="0"/>
            <w:vAlign w:val="center"/>
          </w:tcPr>
          <w:p w14:paraId="40F90F8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kern w:val="0"/>
                <w:sz w:val="21"/>
                <w:szCs w:val="21"/>
                <w:highlight w:val="none"/>
              </w:rPr>
              <w:t xml:space="preserve">土壤和沉积物 </w:t>
            </w:r>
            <w:r>
              <w:rPr>
                <w:rFonts w:hint="default" w:ascii="Times New Roman" w:hAnsi="Times New Roman" w:cs="Times New Roman"/>
                <w:color w:val="000000"/>
                <w:kern w:val="0"/>
                <w:sz w:val="21"/>
                <w:szCs w:val="21"/>
                <w:highlight w:val="none"/>
                <w:lang w:eastAsia="zh-CN"/>
              </w:rPr>
              <w:t>铬（六价）</w:t>
            </w:r>
            <w:r>
              <w:rPr>
                <w:rFonts w:hint="default" w:ascii="Times New Roman" w:hAnsi="Times New Roman" w:cs="Times New Roman"/>
                <w:color w:val="000000"/>
                <w:kern w:val="0"/>
                <w:sz w:val="21"/>
                <w:szCs w:val="21"/>
                <w:highlight w:val="none"/>
              </w:rPr>
              <w:t>的测定 碱溶液提取-火焰原子吸收分光光度法</w:t>
            </w:r>
          </w:p>
        </w:tc>
        <w:tc>
          <w:tcPr>
            <w:tcW w:w="1597" w:type="dxa"/>
            <w:tcBorders>
              <w:top w:val="single" w:color="auto" w:sz="4" w:space="0"/>
              <w:left w:val="single" w:color="auto" w:sz="4" w:space="0"/>
              <w:bottom w:val="single" w:color="auto" w:sz="4" w:space="0"/>
              <w:right w:val="single" w:color="auto" w:sz="4" w:space="0"/>
            </w:tcBorders>
            <w:noWrap w:val="0"/>
            <w:vAlign w:val="center"/>
          </w:tcPr>
          <w:p w14:paraId="363CA93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kern w:val="0"/>
                <w:sz w:val="21"/>
                <w:szCs w:val="21"/>
                <w:highlight w:val="none"/>
              </w:rPr>
              <w:t xml:space="preserve">HJ 1082-2019 </w:t>
            </w:r>
          </w:p>
        </w:tc>
        <w:tc>
          <w:tcPr>
            <w:tcW w:w="1429" w:type="dxa"/>
            <w:tcBorders>
              <w:top w:val="single" w:color="auto" w:sz="4" w:space="0"/>
              <w:left w:val="single" w:color="auto" w:sz="4" w:space="0"/>
              <w:bottom w:val="single" w:color="auto" w:sz="4" w:space="0"/>
              <w:right w:val="nil"/>
            </w:tcBorders>
            <w:noWrap w:val="0"/>
            <w:vAlign w:val="center"/>
          </w:tcPr>
          <w:p w14:paraId="7A18602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0.5</w:t>
            </w:r>
          </w:p>
        </w:tc>
      </w:tr>
      <w:tr w14:paraId="5E622518">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39E264C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2703" w:type="dxa"/>
            <w:gridSpan w:val="2"/>
            <w:tcBorders>
              <w:top w:val="single" w:color="auto" w:sz="4" w:space="0"/>
              <w:left w:val="single" w:color="auto" w:sz="4" w:space="0"/>
              <w:bottom w:val="single" w:color="auto" w:sz="4" w:space="0"/>
              <w:right w:val="single" w:color="auto" w:sz="4" w:space="0"/>
            </w:tcBorders>
            <w:noWrap w:val="0"/>
            <w:vAlign w:val="center"/>
          </w:tcPr>
          <w:p w14:paraId="46F0F77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铅</w:t>
            </w:r>
          </w:p>
        </w:tc>
        <w:tc>
          <w:tcPr>
            <w:tcW w:w="3447" w:type="dxa"/>
            <w:vMerge w:val="restart"/>
            <w:tcBorders>
              <w:top w:val="single" w:color="auto" w:sz="4" w:space="0"/>
              <w:left w:val="single" w:color="auto" w:sz="4" w:space="0"/>
              <w:right w:val="single" w:color="auto" w:sz="4" w:space="0"/>
            </w:tcBorders>
            <w:noWrap w:val="0"/>
            <w:vAlign w:val="center"/>
          </w:tcPr>
          <w:p w14:paraId="669695B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kern w:val="0"/>
                <w:sz w:val="21"/>
                <w:szCs w:val="21"/>
                <w:highlight w:val="none"/>
              </w:rPr>
            </w:pPr>
            <w:r>
              <w:rPr>
                <w:rFonts w:hint="default" w:ascii="Times New Roman" w:hAnsi="Times New Roman" w:cs="Times New Roman"/>
                <w:color w:val="000000"/>
                <w:kern w:val="0"/>
                <w:sz w:val="21"/>
                <w:szCs w:val="21"/>
                <w:highlight w:val="none"/>
              </w:rPr>
              <w:t>土壤质量 铅、镉的测定 石墨炉原子吸收分光光度法</w:t>
            </w:r>
          </w:p>
        </w:tc>
        <w:tc>
          <w:tcPr>
            <w:tcW w:w="1597" w:type="dxa"/>
            <w:tcBorders>
              <w:top w:val="single" w:color="auto" w:sz="4" w:space="0"/>
              <w:left w:val="single" w:color="auto" w:sz="4" w:space="0"/>
              <w:bottom w:val="single" w:color="auto" w:sz="4" w:space="0"/>
              <w:right w:val="single" w:color="auto" w:sz="4" w:space="0"/>
            </w:tcBorders>
            <w:noWrap w:val="0"/>
            <w:vAlign w:val="center"/>
          </w:tcPr>
          <w:p w14:paraId="7C828E0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kern w:val="0"/>
                <w:sz w:val="21"/>
                <w:szCs w:val="21"/>
                <w:highlight w:val="none"/>
              </w:rPr>
            </w:pPr>
            <w:r>
              <w:rPr>
                <w:rFonts w:hint="default" w:ascii="Times New Roman" w:hAnsi="Times New Roman" w:cs="Times New Roman"/>
                <w:color w:val="000000"/>
                <w:kern w:val="0"/>
                <w:sz w:val="21"/>
                <w:szCs w:val="21"/>
                <w:highlight w:val="none"/>
              </w:rPr>
              <w:t>GB/T 17141-1997</w:t>
            </w:r>
          </w:p>
        </w:tc>
        <w:tc>
          <w:tcPr>
            <w:tcW w:w="1429" w:type="dxa"/>
            <w:tcBorders>
              <w:top w:val="single" w:color="auto" w:sz="4" w:space="0"/>
              <w:left w:val="single" w:color="auto" w:sz="4" w:space="0"/>
              <w:bottom w:val="single" w:color="auto" w:sz="4" w:space="0"/>
              <w:right w:val="nil"/>
            </w:tcBorders>
            <w:noWrap w:val="0"/>
            <w:vAlign w:val="center"/>
          </w:tcPr>
          <w:p w14:paraId="3CE4BDB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0.1</w:t>
            </w:r>
          </w:p>
        </w:tc>
      </w:tr>
      <w:tr w14:paraId="65B8FC29">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3A9529A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2703" w:type="dxa"/>
            <w:gridSpan w:val="2"/>
            <w:tcBorders>
              <w:top w:val="single" w:color="auto" w:sz="4" w:space="0"/>
              <w:left w:val="single" w:color="auto" w:sz="4" w:space="0"/>
              <w:bottom w:val="single" w:color="auto" w:sz="4" w:space="0"/>
              <w:right w:val="single" w:color="auto" w:sz="4" w:space="0"/>
            </w:tcBorders>
            <w:noWrap w:val="0"/>
            <w:vAlign w:val="center"/>
          </w:tcPr>
          <w:p w14:paraId="5D1F77E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镉</w:t>
            </w:r>
          </w:p>
        </w:tc>
        <w:tc>
          <w:tcPr>
            <w:tcW w:w="3447" w:type="dxa"/>
            <w:vMerge w:val="continue"/>
            <w:tcBorders>
              <w:left w:val="single" w:color="auto" w:sz="4" w:space="0"/>
              <w:bottom w:val="single" w:color="auto" w:sz="4" w:space="0"/>
              <w:right w:val="single" w:color="auto" w:sz="4" w:space="0"/>
            </w:tcBorders>
            <w:noWrap w:val="0"/>
            <w:vAlign w:val="center"/>
          </w:tcPr>
          <w:p w14:paraId="4B90AA3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kern w:val="0"/>
                <w:sz w:val="21"/>
                <w:szCs w:val="21"/>
                <w:highlight w:val="none"/>
              </w:rPr>
            </w:pPr>
          </w:p>
        </w:tc>
        <w:tc>
          <w:tcPr>
            <w:tcW w:w="1597" w:type="dxa"/>
            <w:tcBorders>
              <w:top w:val="single" w:color="auto" w:sz="4" w:space="0"/>
              <w:left w:val="single" w:color="auto" w:sz="4" w:space="0"/>
              <w:bottom w:val="single" w:color="auto" w:sz="4" w:space="0"/>
              <w:right w:val="single" w:color="auto" w:sz="4" w:space="0"/>
            </w:tcBorders>
            <w:noWrap w:val="0"/>
            <w:vAlign w:val="center"/>
          </w:tcPr>
          <w:p w14:paraId="68C32BD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kern w:val="0"/>
                <w:sz w:val="21"/>
                <w:szCs w:val="21"/>
                <w:highlight w:val="none"/>
              </w:rPr>
            </w:pPr>
            <w:r>
              <w:rPr>
                <w:rFonts w:hint="default" w:ascii="Times New Roman" w:hAnsi="Times New Roman" w:cs="Times New Roman"/>
                <w:color w:val="000000"/>
                <w:sz w:val="21"/>
                <w:szCs w:val="21"/>
                <w:highlight w:val="none"/>
              </w:rPr>
              <w:t>GB/T 17141-1997</w:t>
            </w:r>
          </w:p>
        </w:tc>
        <w:tc>
          <w:tcPr>
            <w:tcW w:w="1429" w:type="dxa"/>
            <w:tcBorders>
              <w:top w:val="single" w:color="auto" w:sz="4" w:space="0"/>
              <w:left w:val="single" w:color="auto" w:sz="4" w:space="0"/>
              <w:bottom w:val="single" w:color="auto" w:sz="4" w:space="0"/>
              <w:right w:val="nil"/>
            </w:tcBorders>
            <w:noWrap w:val="0"/>
            <w:vAlign w:val="center"/>
          </w:tcPr>
          <w:p w14:paraId="26306417">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0.01</w:t>
            </w:r>
          </w:p>
        </w:tc>
      </w:tr>
      <w:tr w14:paraId="0A392637">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5DF1BE8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2703" w:type="dxa"/>
            <w:gridSpan w:val="2"/>
            <w:tcBorders>
              <w:top w:val="single" w:color="auto" w:sz="4" w:space="0"/>
              <w:left w:val="single" w:color="auto" w:sz="4" w:space="0"/>
              <w:bottom w:val="single" w:color="auto" w:sz="4" w:space="0"/>
              <w:right w:val="single" w:color="auto" w:sz="4" w:space="0"/>
            </w:tcBorders>
            <w:noWrap w:val="0"/>
            <w:vAlign w:val="center"/>
          </w:tcPr>
          <w:p w14:paraId="6A3730F8">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铜</w:t>
            </w:r>
          </w:p>
        </w:tc>
        <w:tc>
          <w:tcPr>
            <w:tcW w:w="3447" w:type="dxa"/>
            <w:vMerge w:val="restart"/>
            <w:tcBorders>
              <w:top w:val="single" w:color="auto" w:sz="4" w:space="0"/>
              <w:left w:val="single" w:color="auto" w:sz="4" w:space="0"/>
              <w:bottom w:val="single" w:color="auto" w:sz="4" w:space="0"/>
              <w:right w:val="single" w:color="auto" w:sz="4" w:space="0"/>
            </w:tcBorders>
            <w:noWrap w:val="0"/>
            <w:vAlign w:val="center"/>
          </w:tcPr>
          <w:p w14:paraId="11E7BF4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土壤和沉积物 铜、锌、铅、镍、铬的测定 火焰原子吸收分光光度法</w:t>
            </w:r>
          </w:p>
        </w:tc>
        <w:tc>
          <w:tcPr>
            <w:tcW w:w="1597" w:type="dxa"/>
            <w:vMerge w:val="restart"/>
            <w:tcBorders>
              <w:top w:val="single" w:color="auto" w:sz="4" w:space="0"/>
              <w:left w:val="single" w:color="auto" w:sz="4" w:space="0"/>
              <w:bottom w:val="single" w:color="auto" w:sz="4" w:space="0"/>
              <w:right w:val="single" w:color="auto" w:sz="4" w:space="0"/>
            </w:tcBorders>
            <w:noWrap w:val="0"/>
            <w:vAlign w:val="center"/>
          </w:tcPr>
          <w:p w14:paraId="7C0143E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HJ 491-2019</w:t>
            </w:r>
          </w:p>
        </w:tc>
        <w:tc>
          <w:tcPr>
            <w:tcW w:w="1429" w:type="dxa"/>
            <w:tcBorders>
              <w:top w:val="single" w:color="auto" w:sz="4" w:space="0"/>
              <w:left w:val="single" w:color="auto" w:sz="4" w:space="0"/>
              <w:bottom w:val="single" w:color="auto" w:sz="4" w:space="0"/>
              <w:right w:val="nil"/>
            </w:tcBorders>
            <w:noWrap w:val="0"/>
            <w:vAlign w:val="center"/>
          </w:tcPr>
          <w:p w14:paraId="1F62A58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w:t>
            </w:r>
          </w:p>
        </w:tc>
      </w:tr>
      <w:tr w14:paraId="35102080">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6A988E8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2703" w:type="dxa"/>
            <w:gridSpan w:val="2"/>
            <w:tcBorders>
              <w:top w:val="single" w:color="auto" w:sz="4" w:space="0"/>
              <w:left w:val="single" w:color="auto" w:sz="4" w:space="0"/>
              <w:bottom w:val="single" w:color="auto" w:sz="4" w:space="0"/>
              <w:right w:val="single" w:color="auto" w:sz="4" w:space="0"/>
            </w:tcBorders>
            <w:noWrap w:val="0"/>
            <w:vAlign w:val="center"/>
          </w:tcPr>
          <w:p w14:paraId="497F4E4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000000"/>
                <w:sz w:val="21"/>
                <w:szCs w:val="21"/>
                <w:highlight w:val="none"/>
                <w:lang w:eastAsia="zh-CN"/>
              </w:rPr>
            </w:pPr>
            <w:r>
              <w:rPr>
                <w:rFonts w:hint="default" w:ascii="Times New Roman" w:hAnsi="Times New Roman" w:cs="Times New Roman"/>
                <w:color w:val="000000"/>
                <w:sz w:val="21"/>
                <w:szCs w:val="21"/>
                <w:highlight w:val="none"/>
                <w:lang w:eastAsia="zh-CN"/>
              </w:rPr>
              <w:t>铬</w:t>
            </w:r>
          </w:p>
        </w:tc>
        <w:tc>
          <w:tcPr>
            <w:tcW w:w="3447" w:type="dxa"/>
            <w:vMerge w:val="continue"/>
            <w:tcBorders>
              <w:left w:val="single" w:color="auto" w:sz="4" w:space="0"/>
              <w:right w:val="single" w:color="auto" w:sz="4" w:space="0"/>
            </w:tcBorders>
            <w:noWrap w:val="0"/>
            <w:vAlign w:val="center"/>
          </w:tcPr>
          <w:p w14:paraId="5723DF1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p>
        </w:tc>
        <w:tc>
          <w:tcPr>
            <w:tcW w:w="1597" w:type="dxa"/>
            <w:vMerge w:val="continue"/>
            <w:tcBorders>
              <w:left w:val="single" w:color="auto" w:sz="4" w:space="0"/>
              <w:right w:val="single" w:color="auto" w:sz="4" w:space="0"/>
            </w:tcBorders>
            <w:noWrap w:val="0"/>
            <w:vAlign w:val="center"/>
          </w:tcPr>
          <w:p w14:paraId="6B743BFD">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p>
        </w:tc>
        <w:tc>
          <w:tcPr>
            <w:tcW w:w="1429" w:type="dxa"/>
            <w:tcBorders>
              <w:top w:val="single" w:color="auto" w:sz="4" w:space="0"/>
              <w:left w:val="single" w:color="auto" w:sz="4" w:space="0"/>
              <w:bottom w:val="single" w:color="auto" w:sz="4" w:space="0"/>
              <w:right w:val="nil"/>
            </w:tcBorders>
            <w:noWrap w:val="0"/>
            <w:vAlign w:val="center"/>
          </w:tcPr>
          <w:p w14:paraId="081E94D6">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cs="Times New Roman"/>
                <w:color w:val="000000"/>
                <w:sz w:val="21"/>
                <w:szCs w:val="21"/>
                <w:highlight w:val="none"/>
                <w:lang w:val="en-US" w:eastAsia="zh-CN"/>
              </w:rPr>
              <w:t>4</w:t>
            </w:r>
          </w:p>
        </w:tc>
      </w:tr>
      <w:tr w14:paraId="52A8790A">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7E3DACB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2703" w:type="dxa"/>
            <w:gridSpan w:val="2"/>
            <w:tcBorders>
              <w:top w:val="single" w:color="auto" w:sz="4" w:space="0"/>
              <w:left w:val="single" w:color="auto" w:sz="4" w:space="0"/>
              <w:bottom w:val="single" w:color="auto" w:sz="4" w:space="0"/>
              <w:right w:val="single" w:color="auto" w:sz="4" w:space="0"/>
            </w:tcBorders>
            <w:noWrap w:val="0"/>
            <w:vAlign w:val="center"/>
          </w:tcPr>
          <w:p w14:paraId="29E8F8B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000000"/>
                <w:sz w:val="21"/>
                <w:szCs w:val="21"/>
                <w:highlight w:val="none"/>
                <w:lang w:eastAsia="zh-CN"/>
              </w:rPr>
            </w:pPr>
            <w:r>
              <w:rPr>
                <w:rFonts w:hint="default" w:ascii="Times New Roman" w:hAnsi="Times New Roman" w:cs="Times New Roman"/>
                <w:color w:val="000000"/>
                <w:sz w:val="21"/>
                <w:szCs w:val="21"/>
                <w:highlight w:val="none"/>
                <w:lang w:eastAsia="zh-CN"/>
              </w:rPr>
              <w:t>锌</w:t>
            </w:r>
          </w:p>
        </w:tc>
        <w:tc>
          <w:tcPr>
            <w:tcW w:w="3447" w:type="dxa"/>
            <w:vMerge w:val="continue"/>
            <w:tcBorders>
              <w:left w:val="single" w:color="auto" w:sz="4" w:space="0"/>
              <w:right w:val="single" w:color="auto" w:sz="4" w:space="0"/>
            </w:tcBorders>
            <w:noWrap w:val="0"/>
            <w:vAlign w:val="center"/>
          </w:tcPr>
          <w:p w14:paraId="7107001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p>
        </w:tc>
        <w:tc>
          <w:tcPr>
            <w:tcW w:w="1597" w:type="dxa"/>
            <w:vMerge w:val="continue"/>
            <w:tcBorders>
              <w:left w:val="single" w:color="auto" w:sz="4" w:space="0"/>
              <w:right w:val="single" w:color="auto" w:sz="4" w:space="0"/>
            </w:tcBorders>
            <w:noWrap w:val="0"/>
            <w:vAlign w:val="center"/>
          </w:tcPr>
          <w:p w14:paraId="0ABDBC32">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p>
        </w:tc>
        <w:tc>
          <w:tcPr>
            <w:tcW w:w="1429" w:type="dxa"/>
            <w:tcBorders>
              <w:top w:val="single" w:color="auto" w:sz="4" w:space="0"/>
              <w:left w:val="single" w:color="auto" w:sz="4" w:space="0"/>
              <w:bottom w:val="single" w:color="auto" w:sz="4" w:space="0"/>
              <w:right w:val="nil"/>
            </w:tcBorders>
            <w:noWrap w:val="0"/>
            <w:vAlign w:val="center"/>
          </w:tcPr>
          <w:p w14:paraId="7C16319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cs="Times New Roman"/>
                <w:color w:val="000000"/>
                <w:sz w:val="21"/>
                <w:szCs w:val="21"/>
                <w:highlight w:val="none"/>
                <w:lang w:val="en-US" w:eastAsia="zh-CN"/>
              </w:rPr>
              <w:t>1</w:t>
            </w:r>
          </w:p>
        </w:tc>
      </w:tr>
      <w:tr w14:paraId="2A0AFACA">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0DC21D7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2703" w:type="dxa"/>
            <w:gridSpan w:val="2"/>
            <w:tcBorders>
              <w:top w:val="single" w:color="auto" w:sz="4" w:space="0"/>
              <w:left w:val="single" w:color="auto" w:sz="4" w:space="0"/>
              <w:bottom w:val="single" w:color="auto" w:sz="4" w:space="0"/>
              <w:right w:val="single" w:color="auto" w:sz="4" w:space="0"/>
            </w:tcBorders>
            <w:noWrap w:val="0"/>
            <w:vAlign w:val="center"/>
          </w:tcPr>
          <w:p w14:paraId="49BF303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镍</w:t>
            </w:r>
          </w:p>
        </w:tc>
        <w:tc>
          <w:tcPr>
            <w:tcW w:w="3447" w:type="dxa"/>
            <w:vMerge w:val="continue"/>
            <w:tcBorders>
              <w:top w:val="single" w:color="auto" w:sz="4" w:space="0"/>
              <w:left w:val="single" w:color="auto" w:sz="4" w:space="0"/>
              <w:bottom w:val="single" w:color="auto" w:sz="4" w:space="0"/>
              <w:right w:val="single" w:color="auto" w:sz="4" w:space="0"/>
            </w:tcBorders>
            <w:noWrap w:val="0"/>
            <w:vAlign w:val="center"/>
          </w:tcPr>
          <w:p w14:paraId="206F026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p>
        </w:tc>
        <w:tc>
          <w:tcPr>
            <w:tcW w:w="1597" w:type="dxa"/>
            <w:vMerge w:val="continue"/>
            <w:tcBorders>
              <w:top w:val="single" w:color="auto" w:sz="4" w:space="0"/>
              <w:left w:val="single" w:color="auto" w:sz="4" w:space="0"/>
              <w:bottom w:val="single" w:color="auto" w:sz="4" w:space="0"/>
              <w:right w:val="single" w:color="auto" w:sz="4" w:space="0"/>
            </w:tcBorders>
            <w:noWrap w:val="0"/>
            <w:vAlign w:val="center"/>
          </w:tcPr>
          <w:p w14:paraId="7676F0F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left w:val="single" w:color="auto" w:sz="4" w:space="0"/>
              <w:bottom w:val="single" w:color="auto" w:sz="4" w:space="0"/>
              <w:right w:val="nil"/>
            </w:tcBorders>
            <w:noWrap w:val="0"/>
            <w:vAlign w:val="center"/>
          </w:tcPr>
          <w:p w14:paraId="2B5C386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3</w:t>
            </w:r>
          </w:p>
        </w:tc>
      </w:tr>
      <w:tr w14:paraId="113A1A85">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0152720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2703" w:type="dxa"/>
            <w:gridSpan w:val="2"/>
            <w:tcBorders>
              <w:top w:val="single" w:color="auto" w:sz="4" w:space="0"/>
              <w:left w:val="single" w:color="auto" w:sz="4" w:space="0"/>
              <w:bottom w:val="single" w:color="auto" w:sz="4" w:space="0"/>
              <w:right w:val="single" w:color="auto" w:sz="4" w:space="0"/>
            </w:tcBorders>
            <w:noWrap w:val="0"/>
            <w:vAlign w:val="center"/>
          </w:tcPr>
          <w:p w14:paraId="2BE6274B">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汞</w:t>
            </w:r>
          </w:p>
        </w:tc>
        <w:tc>
          <w:tcPr>
            <w:tcW w:w="3447" w:type="dxa"/>
            <w:tcBorders>
              <w:top w:val="single" w:color="auto" w:sz="4" w:space="0"/>
              <w:left w:val="single" w:color="auto" w:sz="4" w:space="0"/>
              <w:bottom w:val="single" w:color="auto" w:sz="4" w:space="0"/>
              <w:right w:val="single" w:color="auto" w:sz="4" w:space="0"/>
            </w:tcBorders>
            <w:noWrap w:val="0"/>
            <w:vAlign w:val="center"/>
          </w:tcPr>
          <w:p w14:paraId="676AB58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 xml:space="preserve">土壤质量 总汞的测定 </w:t>
            </w:r>
          </w:p>
          <w:p w14:paraId="16C5169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冷原子吸收分光光度法</w:t>
            </w:r>
          </w:p>
        </w:tc>
        <w:tc>
          <w:tcPr>
            <w:tcW w:w="1597" w:type="dxa"/>
            <w:tcBorders>
              <w:top w:val="single" w:color="auto" w:sz="4" w:space="0"/>
              <w:left w:val="single" w:color="auto" w:sz="4" w:space="0"/>
              <w:bottom w:val="single" w:color="auto" w:sz="4" w:space="0"/>
              <w:right w:val="single" w:color="auto" w:sz="4" w:space="0"/>
            </w:tcBorders>
            <w:noWrap w:val="0"/>
            <w:vAlign w:val="center"/>
          </w:tcPr>
          <w:p w14:paraId="2EE97B56">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GB/T 17136-1997</w:t>
            </w:r>
          </w:p>
        </w:tc>
        <w:tc>
          <w:tcPr>
            <w:tcW w:w="1429" w:type="dxa"/>
            <w:tcBorders>
              <w:top w:val="single" w:color="auto" w:sz="4" w:space="0"/>
              <w:left w:val="single" w:color="auto" w:sz="4" w:space="0"/>
              <w:bottom w:val="single" w:color="auto" w:sz="4" w:space="0"/>
              <w:right w:val="nil"/>
            </w:tcBorders>
            <w:noWrap w:val="0"/>
            <w:vAlign w:val="center"/>
          </w:tcPr>
          <w:p w14:paraId="6560050B">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0.05</w:t>
            </w:r>
          </w:p>
        </w:tc>
      </w:tr>
      <w:tr w14:paraId="2470CE74">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4169441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2703" w:type="dxa"/>
            <w:gridSpan w:val="2"/>
            <w:tcBorders>
              <w:top w:val="single" w:color="auto" w:sz="4" w:space="0"/>
              <w:left w:val="single" w:color="auto" w:sz="4" w:space="0"/>
              <w:bottom w:val="single" w:color="auto" w:sz="4" w:space="0"/>
              <w:right w:val="single" w:color="auto" w:sz="4" w:space="0"/>
            </w:tcBorders>
            <w:noWrap w:val="0"/>
            <w:vAlign w:val="center"/>
          </w:tcPr>
          <w:p w14:paraId="623167A6">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砷</w:t>
            </w:r>
          </w:p>
        </w:tc>
        <w:tc>
          <w:tcPr>
            <w:tcW w:w="3447" w:type="dxa"/>
            <w:vMerge w:val="restart"/>
            <w:tcBorders>
              <w:top w:val="single" w:color="auto" w:sz="4" w:space="0"/>
              <w:left w:val="single" w:color="auto" w:sz="4" w:space="0"/>
              <w:right w:val="single" w:color="auto" w:sz="4" w:space="0"/>
            </w:tcBorders>
            <w:noWrap w:val="0"/>
            <w:vAlign w:val="center"/>
          </w:tcPr>
          <w:p w14:paraId="0E48A61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kern w:val="0"/>
                <w:sz w:val="21"/>
                <w:szCs w:val="21"/>
                <w:highlight w:val="none"/>
              </w:rPr>
              <w:t>土壤和沉积物 12种金属元素的测定 王水提取-电感耦合等离子体质谱法</w:t>
            </w:r>
          </w:p>
        </w:tc>
        <w:tc>
          <w:tcPr>
            <w:tcW w:w="1597" w:type="dxa"/>
            <w:vMerge w:val="restart"/>
            <w:tcBorders>
              <w:top w:val="single" w:color="auto" w:sz="4" w:space="0"/>
              <w:left w:val="single" w:color="auto" w:sz="4" w:space="0"/>
              <w:right w:val="single" w:color="auto" w:sz="4" w:space="0"/>
            </w:tcBorders>
            <w:noWrap w:val="0"/>
            <w:vAlign w:val="center"/>
          </w:tcPr>
          <w:p w14:paraId="531DA896">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HJ 803-2016</w:t>
            </w:r>
          </w:p>
        </w:tc>
        <w:tc>
          <w:tcPr>
            <w:tcW w:w="1429" w:type="dxa"/>
            <w:tcBorders>
              <w:top w:val="single" w:color="auto" w:sz="4" w:space="0"/>
              <w:left w:val="single" w:color="auto" w:sz="4" w:space="0"/>
              <w:bottom w:val="single" w:color="auto" w:sz="4" w:space="0"/>
              <w:right w:val="nil"/>
            </w:tcBorders>
            <w:noWrap w:val="0"/>
            <w:vAlign w:val="center"/>
          </w:tcPr>
          <w:p w14:paraId="1CA9ECF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0.6</w:t>
            </w:r>
          </w:p>
        </w:tc>
      </w:tr>
      <w:tr w14:paraId="2E01A057">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6756A15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2703" w:type="dxa"/>
            <w:gridSpan w:val="2"/>
            <w:tcBorders>
              <w:top w:val="single" w:color="auto" w:sz="4" w:space="0"/>
              <w:left w:val="single" w:color="auto" w:sz="4" w:space="0"/>
              <w:right w:val="single" w:color="auto" w:sz="4" w:space="0"/>
            </w:tcBorders>
            <w:noWrap w:val="0"/>
            <w:vAlign w:val="center"/>
          </w:tcPr>
          <w:p w14:paraId="06CA306B">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000000"/>
                <w:sz w:val="21"/>
                <w:szCs w:val="21"/>
                <w:highlight w:val="none"/>
                <w:lang w:eastAsia="zh-CN"/>
              </w:rPr>
            </w:pPr>
            <w:r>
              <w:rPr>
                <w:rFonts w:hint="default" w:ascii="Times New Roman" w:hAnsi="Times New Roman" w:cs="Times New Roman"/>
                <w:color w:val="000000"/>
                <w:sz w:val="21"/>
                <w:szCs w:val="21"/>
                <w:highlight w:val="none"/>
                <w:lang w:eastAsia="zh-CN"/>
              </w:rPr>
              <w:t>钴</w:t>
            </w:r>
          </w:p>
        </w:tc>
        <w:tc>
          <w:tcPr>
            <w:tcW w:w="3447" w:type="dxa"/>
            <w:vMerge w:val="continue"/>
            <w:tcBorders>
              <w:left w:val="single" w:color="auto" w:sz="4" w:space="0"/>
              <w:right w:val="single" w:color="auto" w:sz="4" w:space="0"/>
            </w:tcBorders>
            <w:noWrap w:val="0"/>
            <w:vAlign w:val="center"/>
          </w:tcPr>
          <w:p w14:paraId="0288BA3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kern w:val="0"/>
                <w:sz w:val="21"/>
                <w:szCs w:val="21"/>
                <w:highlight w:val="none"/>
              </w:rPr>
            </w:pPr>
          </w:p>
        </w:tc>
        <w:tc>
          <w:tcPr>
            <w:tcW w:w="1597" w:type="dxa"/>
            <w:vMerge w:val="continue"/>
            <w:tcBorders>
              <w:left w:val="single" w:color="auto" w:sz="4" w:space="0"/>
              <w:right w:val="single" w:color="auto" w:sz="4" w:space="0"/>
            </w:tcBorders>
            <w:noWrap w:val="0"/>
            <w:vAlign w:val="center"/>
          </w:tcPr>
          <w:p w14:paraId="44D286C8">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p>
        </w:tc>
        <w:tc>
          <w:tcPr>
            <w:tcW w:w="1429" w:type="dxa"/>
            <w:tcBorders>
              <w:top w:val="single" w:color="auto" w:sz="4" w:space="0"/>
              <w:left w:val="single" w:color="auto" w:sz="4" w:space="0"/>
              <w:bottom w:val="single" w:color="auto" w:sz="4" w:space="0"/>
              <w:right w:val="nil"/>
            </w:tcBorders>
            <w:noWrap w:val="0"/>
            <w:vAlign w:val="center"/>
          </w:tcPr>
          <w:p w14:paraId="25767AE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0.03</w:t>
            </w:r>
          </w:p>
        </w:tc>
      </w:tr>
      <w:tr w14:paraId="7D83A71F">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0718E65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2703" w:type="dxa"/>
            <w:gridSpan w:val="2"/>
            <w:tcBorders>
              <w:top w:val="single" w:color="auto" w:sz="4" w:space="0"/>
              <w:left w:val="single" w:color="auto" w:sz="4" w:space="0"/>
              <w:bottom w:val="single" w:color="auto" w:sz="4" w:space="0"/>
              <w:right w:val="single" w:color="auto" w:sz="4" w:space="0"/>
            </w:tcBorders>
            <w:noWrap w:val="0"/>
            <w:vAlign w:val="center"/>
          </w:tcPr>
          <w:p w14:paraId="36A9916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cs="Times New Roman"/>
                <w:color w:val="000000"/>
                <w:sz w:val="21"/>
                <w:szCs w:val="21"/>
                <w:highlight w:val="none"/>
                <w:lang w:eastAsia="zh-CN"/>
              </w:rPr>
              <w:t>石油烃（</w:t>
            </w:r>
            <w:r>
              <w:rPr>
                <w:rFonts w:hint="default" w:cs="Times New Roman"/>
                <w:color w:val="000000"/>
                <w:sz w:val="21"/>
                <w:szCs w:val="21"/>
                <w:highlight w:val="none"/>
                <w:lang w:eastAsia="zh-CN"/>
              </w:rPr>
              <w:t>C</w:t>
            </w:r>
            <w:r>
              <w:rPr>
                <w:rFonts w:hint="default" w:ascii="Times New Roman" w:hAnsi="Times New Roman" w:cs="Times New Roman"/>
                <w:color w:val="000000"/>
                <w:sz w:val="21"/>
                <w:szCs w:val="21"/>
                <w:highlight w:val="none"/>
                <w:vertAlign w:val="subscript"/>
                <w:lang w:eastAsia="zh-CN"/>
              </w:rPr>
              <w:t>10</w:t>
            </w:r>
            <w:r>
              <w:rPr>
                <w:rFonts w:hint="default" w:cs="Times New Roman"/>
                <w:color w:val="000000"/>
                <w:sz w:val="21"/>
                <w:szCs w:val="21"/>
                <w:highlight w:val="none"/>
                <w:lang w:eastAsia="zh-CN"/>
              </w:rPr>
              <w:t>-C</w:t>
            </w:r>
            <w:r>
              <w:rPr>
                <w:rFonts w:hint="default" w:ascii="Times New Roman" w:hAnsi="Times New Roman" w:cs="Times New Roman"/>
                <w:color w:val="000000"/>
                <w:sz w:val="21"/>
                <w:szCs w:val="21"/>
                <w:highlight w:val="none"/>
                <w:vertAlign w:val="subscript"/>
                <w:lang w:eastAsia="zh-CN"/>
              </w:rPr>
              <w:t>40</w:t>
            </w:r>
            <w:r>
              <w:rPr>
                <w:rFonts w:hint="default" w:ascii="Times New Roman" w:hAnsi="Times New Roman" w:cs="Times New Roman"/>
                <w:color w:val="000000"/>
                <w:sz w:val="21"/>
                <w:szCs w:val="21"/>
                <w:highlight w:val="none"/>
                <w:lang w:eastAsia="zh-CN"/>
              </w:rPr>
              <w:t>）</w:t>
            </w:r>
          </w:p>
        </w:tc>
        <w:tc>
          <w:tcPr>
            <w:tcW w:w="3447" w:type="dxa"/>
            <w:tcBorders>
              <w:top w:val="single" w:color="auto" w:sz="4" w:space="0"/>
              <w:left w:val="single" w:color="auto" w:sz="4" w:space="0"/>
              <w:bottom w:val="single" w:color="auto" w:sz="4" w:space="0"/>
              <w:right w:val="single" w:color="auto" w:sz="4" w:space="0"/>
            </w:tcBorders>
            <w:noWrap w:val="0"/>
            <w:vAlign w:val="center"/>
          </w:tcPr>
          <w:p w14:paraId="3D09748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土壤和沉积物 挥发性有机物的测定 </w:t>
            </w:r>
          </w:p>
          <w:p w14:paraId="04C2ECF7">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kern w:val="0"/>
                <w:sz w:val="21"/>
                <w:szCs w:val="21"/>
                <w:highlight w:val="none"/>
              </w:rPr>
            </w:pPr>
            <w:r>
              <w:rPr>
                <w:rFonts w:hint="default" w:ascii="Times New Roman" w:hAnsi="Times New Roman" w:eastAsia="宋体" w:cs="Times New Roman"/>
                <w:sz w:val="21"/>
                <w:szCs w:val="21"/>
                <w:highlight w:val="none"/>
              </w:rPr>
              <w:t>吹扫捕集/气相色谱-质谱法</w:t>
            </w:r>
          </w:p>
        </w:tc>
        <w:tc>
          <w:tcPr>
            <w:tcW w:w="1597" w:type="dxa"/>
            <w:tcBorders>
              <w:top w:val="single" w:color="auto" w:sz="4" w:space="0"/>
              <w:left w:val="single" w:color="auto" w:sz="4" w:space="0"/>
              <w:bottom w:val="single" w:color="auto" w:sz="4" w:space="0"/>
              <w:right w:val="single" w:color="auto" w:sz="4" w:space="0"/>
            </w:tcBorders>
            <w:noWrap w:val="0"/>
            <w:vAlign w:val="center"/>
          </w:tcPr>
          <w:p w14:paraId="25FDE5ED">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eastAsia="宋体" w:cs="Times New Roman"/>
                <w:sz w:val="21"/>
                <w:szCs w:val="21"/>
                <w:highlight w:val="none"/>
              </w:rPr>
              <w:t>HJ 605-2011</w:t>
            </w:r>
          </w:p>
        </w:tc>
        <w:tc>
          <w:tcPr>
            <w:tcW w:w="1429" w:type="dxa"/>
            <w:tcBorders>
              <w:top w:val="single" w:color="auto" w:sz="4" w:space="0"/>
              <w:left w:val="single" w:color="auto" w:sz="4" w:space="0"/>
              <w:bottom w:val="single" w:color="auto" w:sz="4" w:space="0"/>
              <w:right w:val="nil"/>
            </w:tcBorders>
            <w:noWrap w:val="0"/>
            <w:vAlign w:val="center"/>
          </w:tcPr>
          <w:p w14:paraId="5FFE03AD">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cs="Times New Roman"/>
                <w:color w:val="000000"/>
                <w:sz w:val="21"/>
                <w:szCs w:val="21"/>
                <w:highlight w:val="none"/>
                <w:lang w:val="en-US" w:eastAsia="zh-CN"/>
              </w:rPr>
              <w:t>6</w:t>
            </w:r>
          </w:p>
        </w:tc>
      </w:tr>
      <w:tr w14:paraId="0C667671">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1D2D559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restart"/>
            <w:tcBorders>
              <w:top w:val="single" w:color="auto" w:sz="4" w:space="0"/>
              <w:left w:val="single" w:color="auto" w:sz="4" w:space="0"/>
              <w:bottom w:val="single" w:color="auto" w:sz="4" w:space="0"/>
              <w:right w:val="single" w:color="auto" w:sz="4" w:space="0"/>
            </w:tcBorders>
            <w:noWrap w:val="0"/>
            <w:vAlign w:val="center"/>
          </w:tcPr>
          <w:p w14:paraId="4200877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挥发性有机物</w:t>
            </w:r>
          </w:p>
        </w:tc>
        <w:tc>
          <w:tcPr>
            <w:tcW w:w="1807" w:type="dxa"/>
            <w:tcBorders>
              <w:top w:val="single" w:color="auto" w:sz="4" w:space="0"/>
              <w:left w:val="single" w:color="auto" w:sz="4" w:space="0"/>
              <w:bottom w:val="single" w:color="auto" w:sz="4" w:space="0"/>
              <w:right w:val="single" w:color="auto" w:sz="4" w:space="0"/>
            </w:tcBorders>
            <w:noWrap w:val="0"/>
            <w:vAlign w:val="center"/>
          </w:tcPr>
          <w:p w14:paraId="1DBE319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苯</w:t>
            </w:r>
          </w:p>
        </w:tc>
        <w:tc>
          <w:tcPr>
            <w:tcW w:w="3447" w:type="dxa"/>
            <w:vMerge w:val="restart"/>
            <w:tcBorders>
              <w:top w:val="single" w:color="auto" w:sz="4" w:space="0"/>
              <w:left w:val="single" w:color="auto" w:sz="4" w:space="0"/>
              <w:bottom w:val="single" w:color="auto" w:sz="4" w:space="0"/>
              <w:right w:val="single" w:color="auto" w:sz="4" w:space="0"/>
            </w:tcBorders>
            <w:noWrap w:val="0"/>
            <w:vAlign w:val="center"/>
          </w:tcPr>
          <w:p w14:paraId="59844AD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kern w:val="0"/>
                <w:sz w:val="21"/>
                <w:szCs w:val="21"/>
                <w:highlight w:val="none"/>
              </w:rPr>
            </w:pPr>
            <w:r>
              <w:rPr>
                <w:rFonts w:hint="default" w:ascii="Times New Roman" w:hAnsi="Times New Roman" w:cs="Times New Roman"/>
                <w:color w:val="000000"/>
                <w:kern w:val="0"/>
                <w:sz w:val="21"/>
                <w:szCs w:val="21"/>
                <w:highlight w:val="none"/>
              </w:rPr>
              <w:t xml:space="preserve">土壤和沉积物 挥发性有机物的测定 </w:t>
            </w:r>
          </w:p>
          <w:p w14:paraId="216133F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kern w:val="0"/>
                <w:sz w:val="21"/>
                <w:szCs w:val="21"/>
                <w:highlight w:val="none"/>
              </w:rPr>
              <w:t>吹扫捕集/气相色谱-质谱法</w:t>
            </w:r>
          </w:p>
        </w:tc>
        <w:tc>
          <w:tcPr>
            <w:tcW w:w="1597" w:type="dxa"/>
            <w:vMerge w:val="restart"/>
            <w:tcBorders>
              <w:top w:val="single" w:color="auto" w:sz="4" w:space="0"/>
              <w:left w:val="single" w:color="auto" w:sz="4" w:space="0"/>
              <w:bottom w:val="single" w:color="auto" w:sz="4" w:space="0"/>
              <w:right w:val="single" w:color="auto" w:sz="4" w:space="0"/>
            </w:tcBorders>
            <w:noWrap w:val="0"/>
            <w:vAlign w:val="center"/>
          </w:tcPr>
          <w:p w14:paraId="728B4AE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kern w:val="0"/>
                <w:sz w:val="21"/>
                <w:szCs w:val="21"/>
                <w:highlight w:val="none"/>
              </w:rPr>
              <w:t>HJ 605-2011</w:t>
            </w:r>
          </w:p>
        </w:tc>
        <w:tc>
          <w:tcPr>
            <w:tcW w:w="1429" w:type="dxa"/>
            <w:tcBorders>
              <w:top w:val="single" w:color="auto" w:sz="4" w:space="0"/>
              <w:left w:val="single" w:color="auto" w:sz="4" w:space="0"/>
              <w:bottom w:val="single" w:color="auto" w:sz="4" w:space="0"/>
              <w:right w:val="nil"/>
            </w:tcBorders>
            <w:noWrap w:val="0"/>
            <w:vAlign w:val="center"/>
          </w:tcPr>
          <w:p w14:paraId="3C75030F">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0.05</w:t>
            </w:r>
          </w:p>
        </w:tc>
      </w:tr>
      <w:tr w14:paraId="29821E62">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24AFF92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top w:val="single" w:color="auto" w:sz="4" w:space="0"/>
              <w:left w:val="single" w:color="auto" w:sz="4" w:space="0"/>
              <w:bottom w:val="single" w:color="auto" w:sz="4" w:space="0"/>
              <w:right w:val="single" w:color="auto" w:sz="4" w:space="0"/>
            </w:tcBorders>
            <w:noWrap w:val="0"/>
            <w:vAlign w:val="center"/>
          </w:tcPr>
          <w:p w14:paraId="339254C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noWrap w:val="0"/>
            <w:vAlign w:val="center"/>
          </w:tcPr>
          <w:p w14:paraId="32C5F28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甲苯</w:t>
            </w:r>
          </w:p>
        </w:tc>
        <w:tc>
          <w:tcPr>
            <w:tcW w:w="3447" w:type="dxa"/>
            <w:vMerge w:val="continue"/>
            <w:tcBorders>
              <w:top w:val="single" w:color="auto" w:sz="4" w:space="0"/>
              <w:left w:val="single" w:color="auto" w:sz="4" w:space="0"/>
              <w:bottom w:val="single" w:color="auto" w:sz="4" w:space="0"/>
              <w:right w:val="single" w:color="auto" w:sz="4" w:space="0"/>
            </w:tcBorders>
            <w:noWrap w:val="0"/>
            <w:vAlign w:val="center"/>
          </w:tcPr>
          <w:p w14:paraId="08007AE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top w:val="single" w:color="auto" w:sz="4" w:space="0"/>
              <w:left w:val="single" w:color="auto" w:sz="4" w:space="0"/>
              <w:bottom w:val="single" w:color="auto" w:sz="4" w:space="0"/>
              <w:right w:val="single" w:color="auto" w:sz="4" w:space="0"/>
            </w:tcBorders>
            <w:noWrap w:val="0"/>
            <w:vAlign w:val="center"/>
          </w:tcPr>
          <w:p w14:paraId="4EC34BF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left w:val="single" w:color="auto" w:sz="4" w:space="0"/>
              <w:bottom w:val="single" w:color="auto" w:sz="4" w:space="0"/>
              <w:right w:val="nil"/>
            </w:tcBorders>
            <w:noWrap w:val="0"/>
            <w:vAlign w:val="center"/>
          </w:tcPr>
          <w:p w14:paraId="29F8CB4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0.05</w:t>
            </w:r>
          </w:p>
        </w:tc>
      </w:tr>
      <w:tr w14:paraId="5031E34F">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4CC526F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top w:val="single" w:color="auto" w:sz="4" w:space="0"/>
              <w:left w:val="single" w:color="auto" w:sz="4" w:space="0"/>
              <w:bottom w:val="single" w:color="auto" w:sz="4" w:space="0"/>
              <w:right w:val="single" w:color="auto" w:sz="4" w:space="0"/>
            </w:tcBorders>
            <w:noWrap w:val="0"/>
            <w:vAlign w:val="center"/>
          </w:tcPr>
          <w:p w14:paraId="67DFC79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noWrap w:val="0"/>
            <w:vAlign w:val="center"/>
          </w:tcPr>
          <w:p w14:paraId="42F2EE16">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乙苯</w:t>
            </w:r>
          </w:p>
        </w:tc>
        <w:tc>
          <w:tcPr>
            <w:tcW w:w="3447" w:type="dxa"/>
            <w:vMerge w:val="continue"/>
            <w:tcBorders>
              <w:top w:val="single" w:color="auto" w:sz="4" w:space="0"/>
              <w:left w:val="single" w:color="auto" w:sz="4" w:space="0"/>
              <w:bottom w:val="single" w:color="auto" w:sz="4" w:space="0"/>
              <w:right w:val="single" w:color="auto" w:sz="4" w:space="0"/>
            </w:tcBorders>
            <w:noWrap w:val="0"/>
            <w:vAlign w:val="center"/>
          </w:tcPr>
          <w:p w14:paraId="255E56D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top w:val="single" w:color="auto" w:sz="4" w:space="0"/>
              <w:left w:val="single" w:color="auto" w:sz="4" w:space="0"/>
              <w:bottom w:val="single" w:color="auto" w:sz="4" w:space="0"/>
              <w:right w:val="single" w:color="auto" w:sz="4" w:space="0"/>
            </w:tcBorders>
            <w:noWrap w:val="0"/>
            <w:vAlign w:val="center"/>
          </w:tcPr>
          <w:p w14:paraId="36FC85A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left w:val="single" w:color="auto" w:sz="4" w:space="0"/>
              <w:bottom w:val="single" w:color="auto" w:sz="4" w:space="0"/>
              <w:right w:val="nil"/>
            </w:tcBorders>
            <w:noWrap w:val="0"/>
            <w:vAlign w:val="center"/>
          </w:tcPr>
          <w:p w14:paraId="45BC6F1F">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0.05</w:t>
            </w:r>
          </w:p>
        </w:tc>
      </w:tr>
      <w:tr w14:paraId="5C0BF888">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02D4CF2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top w:val="single" w:color="auto" w:sz="4" w:space="0"/>
              <w:left w:val="single" w:color="auto" w:sz="4" w:space="0"/>
              <w:bottom w:val="single" w:color="auto" w:sz="4" w:space="0"/>
              <w:right w:val="single" w:color="auto" w:sz="4" w:space="0"/>
            </w:tcBorders>
            <w:noWrap w:val="0"/>
            <w:vAlign w:val="center"/>
          </w:tcPr>
          <w:p w14:paraId="39DDE08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noWrap w:val="0"/>
            <w:vAlign w:val="center"/>
          </w:tcPr>
          <w:p w14:paraId="4A55ACD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间-二甲苯和对-二甲苯</w:t>
            </w:r>
          </w:p>
        </w:tc>
        <w:tc>
          <w:tcPr>
            <w:tcW w:w="3447" w:type="dxa"/>
            <w:vMerge w:val="continue"/>
            <w:tcBorders>
              <w:top w:val="single" w:color="auto" w:sz="4" w:space="0"/>
              <w:left w:val="single" w:color="auto" w:sz="4" w:space="0"/>
              <w:bottom w:val="single" w:color="auto" w:sz="4" w:space="0"/>
              <w:right w:val="single" w:color="auto" w:sz="4" w:space="0"/>
            </w:tcBorders>
            <w:noWrap w:val="0"/>
            <w:vAlign w:val="center"/>
          </w:tcPr>
          <w:p w14:paraId="797C8F5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top w:val="single" w:color="auto" w:sz="4" w:space="0"/>
              <w:left w:val="single" w:color="auto" w:sz="4" w:space="0"/>
              <w:bottom w:val="single" w:color="auto" w:sz="4" w:space="0"/>
              <w:right w:val="single" w:color="auto" w:sz="4" w:space="0"/>
            </w:tcBorders>
            <w:noWrap w:val="0"/>
            <w:vAlign w:val="center"/>
          </w:tcPr>
          <w:p w14:paraId="79AFFDB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left w:val="single" w:color="auto" w:sz="4" w:space="0"/>
              <w:bottom w:val="single" w:color="auto" w:sz="4" w:space="0"/>
              <w:right w:val="nil"/>
            </w:tcBorders>
            <w:noWrap w:val="0"/>
            <w:vAlign w:val="center"/>
          </w:tcPr>
          <w:p w14:paraId="1B6DDEB2">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0.05</w:t>
            </w:r>
          </w:p>
        </w:tc>
      </w:tr>
      <w:tr w14:paraId="57BD084A">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0C5A979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top w:val="single" w:color="auto" w:sz="4" w:space="0"/>
              <w:left w:val="single" w:color="auto" w:sz="4" w:space="0"/>
              <w:bottom w:val="single" w:color="auto" w:sz="4" w:space="0"/>
              <w:right w:val="single" w:color="auto" w:sz="4" w:space="0"/>
            </w:tcBorders>
            <w:noWrap w:val="0"/>
            <w:vAlign w:val="center"/>
          </w:tcPr>
          <w:p w14:paraId="5CAFF77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noWrap w:val="0"/>
            <w:vAlign w:val="center"/>
          </w:tcPr>
          <w:p w14:paraId="68277122">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邻-二甲苯</w:t>
            </w:r>
          </w:p>
        </w:tc>
        <w:tc>
          <w:tcPr>
            <w:tcW w:w="3447" w:type="dxa"/>
            <w:vMerge w:val="continue"/>
            <w:tcBorders>
              <w:top w:val="single" w:color="auto" w:sz="4" w:space="0"/>
              <w:left w:val="single" w:color="auto" w:sz="4" w:space="0"/>
              <w:bottom w:val="single" w:color="auto" w:sz="4" w:space="0"/>
              <w:right w:val="single" w:color="auto" w:sz="4" w:space="0"/>
            </w:tcBorders>
            <w:noWrap w:val="0"/>
            <w:vAlign w:val="center"/>
          </w:tcPr>
          <w:p w14:paraId="371C837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top w:val="single" w:color="auto" w:sz="4" w:space="0"/>
              <w:left w:val="single" w:color="auto" w:sz="4" w:space="0"/>
              <w:bottom w:val="single" w:color="auto" w:sz="4" w:space="0"/>
              <w:right w:val="single" w:color="auto" w:sz="4" w:space="0"/>
            </w:tcBorders>
            <w:noWrap w:val="0"/>
            <w:vAlign w:val="center"/>
          </w:tcPr>
          <w:p w14:paraId="565BC73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left w:val="single" w:color="auto" w:sz="4" w:space="0"/>
              <w:bottom w:val="single" w:color="auto" w:sz="4" w:space="0"/>
              <w:right w:val="nil"/>
            </w:tcBorders>
            <w:noWrap w:val="0"/>
            <w:vAlign w:val="center"/>
          </w:tcPr>
          <w:p w14:paraId="1AA6DF9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0.05</w:t>
            </w:r>
          </w:p>
        </w:tc>
      </w:tr>
      <w:tr w14:paraId="1E79F01A">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5C92936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top w:val="single" w:color="auto" w:sz="4" w:space="0"/>
              <w:left w:val="single" w:color="auto" w:sz="4" w:space="0"/>
              <w:bottom w:val="single" w:color="auto" w:sz="4" w:space="0"/>
              <w:right w:val="single" w:color="auto" w:sz="4" w:space="0"/>
            </w:tcBorders>
            <w:noWrap w:val="0"/>
            <w:vAlign w:val="center"/>
          </w:tcPr>
          <w:p w14:paraId="538A21A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noWrap w:val="0"/>
            <w:vAlign w:val="center"/>
          </w:tcPr>
          <w:p w14:paraId="591E9EA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苯乙烯</w:t>
            </w:r>
          </w:p>
        </w:tc>
        <w:tc>
          <w:tcPr>
            <w:tcW w:w="3447" w:type="dxa"/>
            <w:vMerge w:val="continue"/>
            <w:tcBorders>
              <w:top w:val="single" w:color="auto" w:sz="4" w:space="0"/>
              <w:left w:val="single" w:color="auto" w:sz="4" w:space="0"/>
              <w:bottom w:val="single" w:color="auto" w:sz="4" w:space="0"/>
              <w:right w:val="single" w:color="auto" w:sz="4" w:space="0"/>
            </w:tcBorders>
            <w:noWrap w:val="0"/>
            <w:vAlign w:val="center"/>
          </w:tcPr>
          <w:p w14:paraId="0C1EAA4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top w:val="single" w:color="auto" w:sz="4" w:space="0"/>
              <w:left w:val="single" w:color="auto" w:sz="4" w:space="0"/>
              <w:bottom w:val="single" w:color="auto" w:sz="4" w:space="0"/>
              <w:right w:val="single" w:color="auto" w:sz="4" w:space="0"/>
            </w:tcBorders>
            <w:noWrap w:val="0"/>
            <w:vAlign w:val="center"/>
          </w:tcPr>
          <w:p w14:paraId="42242A6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left w:val="single" w:color="auto" w:sz="4" w:space="0"/>
              <w:bottom w:val="single" w:color="auto" w:sz="4" w:space="0"/>
              <w:right w:val="nil"/>
            </w:tcBorders>
            <w:noWrap w:val="0"/>
            <w:vAlign w:val="center"/>
          </w:tcPr>
          <w:p w14:paraId="522A2F77">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0.05</w:t>
            </w:r>
          </w:p>
        </w:tc>
      </w:tr>
      <w:tr w14:paraId="317A2151">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78402DA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top w:val="single" w:color="auto" w:sz="4" w:space="0"/>
              <w:left w:val="single" w:color="auto" w:sz="4" w:space="0"/>
              <w:bottom w:val="single" w:color="auto" w:sz="4" w:space="0"/>
              <w:right w:val="single" w:color="auto" w:sz="4" w:space="0"/>
            </w:tcBorders>
            <w:noWrap w:val="0"/>
            <w:vAlign w:val="center"/>
          </w:tcPr>
          <w:p w14:paraId="5923FDD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noWrap w:val="0"/>
            <w:vAlign w:val="center"/>
          </w:tcPr>
          <w:p w14:paraId="38F109F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氯甲烷</w:t>
            </w:r>
          </w:p>
        </w:tc>
        <w:tc>
          <w:tcPr>
            <w:tcW w:w="3447" w:type="dxa"/>
            <w:vMerge w:val="continue"/>
            <w:tcBorders>
              <w:top w:val="single" w:color="auto" w:sz="4" w:space="0"/>
              <w:left w:val="single" w:color="auto" w:sz="4" w:space="0"/>
              <w:bottom w:val="single" w:color="auto" w:sz="4" w:space="0"/>
              <w:right w:val="single" w:color="auto" w:sz="4" w:space="0"/>
            </w:tcBorders>
            <w:noWrap w:val="0"/>
            <w:vAlign w:val="center"/>
          </w:tcPr>
          <w:p w14:paraId="2549E69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top w:val="single" w:color="auto" w:sz="4" w:space="0"/>
              <w:left w:val="single" w:color="auto" w:sz="4" w:space="0"/>
              <w:bottom w:val="single" w:color="auto" w:sz="4" w:space="0"/>
              <w:right w:val="single" w:color="auto" w:sz="4" w:space="0"/>
            </w:tcBorders>
            <w:noWrap w:val="0"/>
            <w:vAlign w:val="center"/>
          </w:tcPr>
          <w:p w14:paraId="30A8170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left w:val="single" w:color="auto" w:sz="4" w:space="0"/>
              <w:bottom w:val="single" w:color="auto" w:sz="4" w:space="0"/>
              <w:right w:val="nil"/>
            </w:tcBorders>
            <w:noWrap w:val="0"/>
            <w:vAlign w:val="center"/>
          </w:tcPr>
          <w:p w14:paraId="0A8A7C4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0.1</w:t>
            </w:r>
          </w:p>
        </w:tc>
      </w:tr>
      <w:tr w14:paraId="28C311AC">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7608B5E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top w:val="single" w:color="auto" w:sz="4" w:space="0"/>
              <w:left w:val="single" w:color="auto" w:sz="4" w:space="0"/>
              <w:bottom w:val="single" w:color="auto" w:sz="4" w:space="0"/>
              <w:right w:val="single" w:color="auto" w:sz="4" w:space="0"/>
            </w:tcBorders>
            <w:noWrap w:val="0"/>
            <w:vAlign w:val="center"/>
          </w:tcPr>
          <w:p w14:paraId="187B5AE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noWrap w:val="0"/>
            <w:vAlign w:val="center"/>
          </w:tcPr>
          <w:p w14:paraId="2F914FE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氯乙烯</w:t>
            </w:r>
          </w:p>
        </w:tc>
        <w:tc>
          <w:tcPr>
            <w:tcW w:w="3447" w:type="dxa"/>
            <w:vMerge w:val="continue"/>
            <w:tcBorders>
              <w:top w:val="single" w:color="auto" w:sz="4" w:space="0"/>
              <w:left w:val="single" w:color="auto" w:sz="4" w:space="0"/>
              <w:bottom w:val="single" w:color="auto" w:sz="4" w:space="0"/>
              <w:right w:val="single" w:color="auto" w:sz="4" w:space="0"/>
            </w:tcBorders>
            <w:noWrap w:val="0"/>
            <w:vAlign w:val="center"/>
          </w:tcPr>
          <w:p w14:paraId="49EEDF7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top w:val="single" w:color="auto" w:sz="4" w:space="0"/>
              <w:left w:val="single" w:color="auto" w:sz="4" w:space="0"/>
              <w:bottom w:val="single" w:color="auto" w:sz="4" w:space="0"/>
              <w:right w:val="single" w:color="auto" w:sz="4" w:space="0"/>
            </w:tcBorders>
            <w:noWrap w:val="0"/>
            <w:vAlign w:val="center"/>
          </w:tcPr>
          <w:p w14:paraId="445618D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left w:val="single" w:color="auto" w:sz="4" w:space="0"/>
              <w:bottom w:val="single" w:color="auto" w:sz="4" w:space="0"/>
              <w:right w:val="nil"/>
            </w:tcBorders>
            <w:noWrap w:val="0"/>
            <w:vAlign w:val="center"/>
          </w:tcPr>
          <w:p w14:paraId="373649B6">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0.1</w:t>
            </w:r>
          </w:p>
        </w:tc>
      </w:tr>
      <w:tr w14:paraId="01EDC629">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51AF137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top w:val="single" w:color="auto" w:sz="4" w:space="0"/>
              <w:left w:val="single" w:color="auto" w:sz="4" w:space="0"/>
              <w:bottom w:val="single" w:color="auto" w:sz="4" w:space="0"/>
              <w:right w:val="single" w:color="auto" w:sz="4" w:space="0"/>
            </w:tcBorders>
            <w:noWrap w:val="0"/>
            <w:vAlign w:val="center"/>
          </w:tcPr>
          <w:p w14:paraId="2E8282B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noWrap w:val="0"/>
            <w:vAlign w:val="center"/>
          </w:tcPr>
          <w:p w14:paraId="3B6A9DB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1,1-二氯乙烯</w:t>
            </w:r>
          </w:p>
        </w:tc>
        <w:tc>
          <w:tcPr>
            <w:tcW w:w="3447" w:type="dxa"/>
            <w:vMerge w:val="continue"/>
            <w:tcBorders>
              <w:top w:val="single" w:color="auto" w:sz="4" w:space="0"/>
              <w:left w:val="single" w:color="auto" w:sz="4" w:space="0"/>
              <w:bottom w:val="single" w:color="auto" w:sz="4" w:space="0"/>
              <w:right w:val="single" w:color="auto" w:sz="4" w:space="0"/>
            </w:tcBorders>
            <w:noWrap w:val="0"/>
            <w:vAlign w:val="center"/>
          </w:tcPr>
          <w:p w14:paraId="463BC61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top w:val="single" w:color="auto" w:sz="4" w:space="0"/>
              <w:left w:val="single" w:color="auto" w:sz="4" w:space="0"/>
              <w:bottom w:val="single" w:color="auto" w:sz="4" w:space="0"/>
              <w:right w:val="single" w:color="auto" w:sz="4" w:space="0"/>
            </w:tcBorders>
            <w:noWrap w:val="0"/>
            <w:vAlign w:val="center"/>
          </w:tcPr>
          <w:p w14:paraId="309F8F9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left w:val="single" w:color="auto" w:sz="4" w:space="0"/>
              <w:bottom w:val="single" w:color="auto" w:sz="4" w:space="0"/>
              <w:right w:val="nil"/>
            </w:tcBorders>
            <w:noWrap w:val="0"/>
            <w:vAlign w:val="center"/>
          </w:tcPr>
          <w:p w14:paraId="3769AE8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b/>
                <w:bCs/>
                <w:color w:val="000000"/>
                <w:sz w:val="21"/>
                <w:szCs w:val="21"/>
                <w:highlight w:val="none"/>
              </w:rPr>
            </w:pPr>
            <w:r>
              <w:rPr>
                <w:rFonts w:hint="default" w:ascii="Times New Roman" w:hAnsi="Times New Roman" w:cs="Times New Roman"/>
                <w:sz w:val="21"/>
                <w:szCs w:val="21"/>
                <w:highlight w:val="none"/>
              </w:rPr>
              <w:t>0.05</w:t>
            </w:r>
          </w:p>
        </w:tc>
      </w:tr>
      <w:tr w14:paraId="0068A58E">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3B5BE96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top w:val="single" w:color="auto" w:sz="4" w:space="0"/>
              <w:left w:val="single" w:color="auto" w:sz="4" w:space="0"/>
              <w:bottom w:val="single" w:color="auto" w:sz="4" w:space="0"/>
              <w:right w:val="single" w:color="auto" w:sz="4" w:space="0"/>
            </w:tcBorders>
            <w:noWrap w:val="0"/>
            <w:vAlign w:val="center"/>
          </w:tcPr>
          <w:p w14:paraId="3C15803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noWrap w:val="0"/>
            <w:vAlign w:val="center"/>
          </w:tcPr>
          <w:p w14:paraId="4FAF36A7">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二氯甲烷</w:t>
            </w:r>
          </w:p>
        </w:tc>
        <w:tc>
          <w:tcPr>
            <w:tcW w:w="3447" w:type="dxa"/>
            <w:vMerge w:val="continue"/>
            <w:tcBorders>
              <w:top w:val="single" w:color="auto" w:sz="4" w:space="0"/>
              <w:left w:val="single" w:color="auto" w:sz="4" w:space="0"/>
              <w:bottom w:val="single" w:color="auto" w:sz="4" w:space="0"/>
              <w:right w:val="single" w:color="auto" w:sz="4" w:space="0"/>
            </w:tcBorders>
            <w:noWrap w:val="0"/>
            <w:vAlign w:val="center"/>
          </w:tcPr>
          <w:p w14:paraId="27DF5DB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top w:val="single" w:color="auto" w:sz="4" w:space="0"/>
              <w:left w:val="single" w:color="auto" w:sz="4" w:space="0"/>
              <w:bottom w:val="single" w:color="auto" w:sz="4" w:space="0"/>
              <w:right w:val="single" w:color="auto" w:sz="4" w:space="0"/>
            </w:tcBorders>
            <w:noWrap w:val="0"/>
            <w:vAlign w:val="center"/>
          </w:tcPr>
          <w:p w14:paraId="3FD9A53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left w:val="single" w:color="auto" w:sz="4" w:space="0"/>
              <w:bottom w:val="single" w:color="auto" w:sz="4" w:space="0"/>
              <w:right w:val="nil"/>
            </w:tcBorders>
            <w:noWrap w:val="0"/>
            <w:vAlign w:val="center"/>
          </w:tcPr>
          <w:p w14:paraId="000EED62">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b/>
                <w:bCs/>
                <w:color w:val="000000"/>
                <w:sz w:val="21"/>
                <w:szCs w:val="21"/>
                <w:highlight w:val="none"/>
              </w:rPr>
            </w:pPr>
            <w:r>
              <w:rPr>
                <w:rFonts w:hint="default" w:ascii="Times New Roman" w:hAnsi="Times New Roman" w:cs="Times New Roman"/>
                <w:sz w:val="21"/>
                <w:szCs w:val="21"/>
                <w:highlight w:val="none"/>
              </w:rPr>
              <w:t>0.05</w:t>
            </w:r>
          </w:p>
        </w:tc>
      </w:tr>
      <w:tr w14:paraId="2E009785">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196ABCD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top w:val="single" w:color="auto" w:sz="4" w:space="0"/>
              <w:left w:val="single" w:color="auto" w:sz="4" w:space="0"/>
              <w:bottom w:val="single" w:color="auto" w:sz="4" w:space="0"/>
              <w:right w:val="single" w:color="auto" w:sz="4" w:space="0"/>
            </w:tcBorders>
            <w:noWrap w:val="0"/>
            <w:vAlign w:val="center"/>
          </w:tcPr>
          <w:p w14:paraId="6A73515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noWrap w:val="0"/>
            <w:vAlign w:val="center"/>
          </w:tcPr>
          <w:p w14:paraId="42FC2152">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反式-1,2-二氯乙烯</w:t>
            </w:r>
          </w:p>
        </w:tc>
        <w:tc>
          <w:tcPr>
            <w:tcW w:w="3447" w:type="dxa"/>
            <w:vMerge w:val="continue"/>
            <w:tcBorders>
              <w:top w:val="single" w:color="auto" w:sz="4" w:space="0"/>
              <w:left w:val="single" w:color="auto" w:sz="4" w:space="0"/>
              <w:bottom w:val="single" w:color="auto" w:sz="4" w:space="0"/>
              <w:right w:val="single" w:color="auto" w:sz="4" w:space="0"/>
            </w:tcBorders>
            <w:noWrap w:val="0"/>
            <w:vAlign w:val="center"/>
          </w:tcPr>
          <w:p w14:paraId="7177B4E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top w:val="single" w:color="auto" w:sz="4" w:space="0"/>
              <w:left w:val="single" w:color="auto" w:sz="4" w:space="0"/>
              <w:bottom w:val="single" w:color="auto" w:sz="4" w:space="0"/>
              <w:right w:val="single" w:color="auto" w:sz="4" w:space="0"/>
            </w:tcBorders>
            <w:noWrap w:val="0"/>
            <w:vAlign w:val="center"/>
          </w:tcPr>
          <w:p w14:paraId="77B818B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left w:val="single" w:color="auto" w:sz="4" w:space="0"/>
              <w:bottom w:val="single" w:color="auto" w:sz="4" w:space="0"/>
              <w:right w:val="nil"/>
            </w:tcBorders>
            <w:noWrap w:val="0"/>
            <w:vAlign w:val="center"/>
          </w:tcPr>
          <w:p w14:paraId="353CD0D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b/>
                <w:bCs/>
                <w:color w:val="000000"/>
                <w:sz w:val="21"/>
                <w:szCs w:val="21"/>
                <w:highlight w:val="none"/>
              </w:rPr>
            </w:pPr>
            <w:r>
              <w:rPr>
                <w:rFonts w:hint="default" w:ascii="Times New Roman" w:hAnsi="Times New Roman" w:cs="Times New Roman"/>
                <w:sz w:val="21"/>
                <w:szCs w:val="21"/>
                <w:highlight w:val="none"/>
              </w:rPr>
              <w:t>0.05</w:t>
            </w:r>
          </w:p>
        </w:tc>
      </w:tr>
      <w:tr w14:paraId="2938AF90">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051A15C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top w:val="single" w:color="auto" w:sz="4" w:space="0"/>
              <w:left w:val="single" w:color="auto" w:sz="4" w:space="0"/>
              <w:bottom w:val="single" w:color="auto" w:sz="4" w:space="0"/>
              <w:right w:val="single" w:color="auto" w:sz="4" w:space="0"/>
            </w:tcBorders>
            <w:noWrap w:val="0"/>
            <w:vAlign w:val="center"/>
          </w:tcPr>
          <w:p w14:paraId="5F3267A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noWrap w:val="0"/>
            <w:vAlign w:val="center"/>
          </w:tcPr>
          <w:p w14:paraId="703655F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1,1-二氯乙烷</w:t>
            </w:r>
          </w:p>
        </w:tc>
        <w:tc>
          <w:tcPr>
            <w:tcW w:w="3447" w:type="dxa"/>
            <w:vMerge w:val="continue"/>
            <w:tcBorders>
              <w:top w:val="single" w:color="auto" w:sz="4" w:space="0"/>
              <w:left w:val="single" w:color="auto" w:sz="4" w:space="0"/>
              <w:bottom w:val="single" w:color="auto" w:sz="4" w:space="0"/>
              <w:right w:val="single" w:color="auto" w:sz="4" w:space="0"/>
            </w:tcBorders>
            <w:noWrap w:val="0"/>
            <w:vAlign w:val="center"/>
          </w:tcPr>
          <w:p w14:paraId="4B089E5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top w:val="single" w:color="auto" w:sz="4" w:space="0"/>
              <w:left w:val="single" w:color="auto" w:sz="4" w:space="0"/>
              <w:bottom w:val="single" w:color="auto" w:sz="4" w:space="0"/>
              <w:right w:val="single" w:color="auto" w:sz="4" w:space="0"/>
            </w:tcBorders>
            <w:noWrap w:val="0"/>
            <w:vAlign w:val="center"/>
          </w:tcPr>
          <w:p w14:paraId="3CF826D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left w:val="single" w:color="auto" w:sz="4" w:space="0"/>
              <w:bottom w:val="single" w:color="auto" w:sz="4" w:space="0"/>
              <w:right w:val="nil"/>
            </w:tcBorders>
            <w:noWrap w:val="0"/>
            <w:vAlign w:val="center"/>
          </w:tcPr>
          <w:p w14:paraId="22675CA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b/>
                <w:bCs/>
                <w:color w:val="000000"/>
                <w:sz w:val="21"/>
                <w:szCs w:val="21"/>
                <w:highlight w:val="none"/>
              </w:rPr>
            </w:pPr>
            <w:r>
              <w:rPr>
                <w:rFonts w:hint="default" w:ascii="Times New Roman" w:hAnsi="Times New Roman" w:cs="Times New Roman"/>
                <w:sz w:val="21"/>
                <w:szCs w:val="21"/>
                <w:highlight w:val="none"/>
              </w:rPr>
              <w:t>0.05</w:t>
            </w:r>
          </w:p>
        </w:tc>
      </w:tr>
      <w:tr w14:paraId="032BB6DB">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57DD4D3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top w:val="single" w:color="auto" w:sz="4" w:space="0"/>
              <w:left w:val="single" w:color="auto" w:sz="4" w:space="0"/>
              <w:bottom w:val="single" w:color="auto" w:sz="4" w:space="0"/>
              <w:right w:val="single" w:color="auto" w:sz="4" w:space="0"/>
            </w:tcBorders>
            <w:noWrap w:val="0"/>
            <w:vAlign w:val="center"/>
          </w:tcPr>
          <w:p w14:paraId="2DD9B67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noWrap w:val="0"/>
            <w:vAlign w:val="center"/>
          </w:tcPr>
          <w:p w14:paraId="49C28F6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顺式-1,2-二氯乙烯</w:t>
            </w:r>
          </w:p>
        </w:tc>
        <w:tc>
          <w:tcPr>
            <w:tcW w:w="3447" w:type="dxa"/>
            <w:vMerge w:val="continue"/>
            <w:tcBorders>
              <w:top w:val="single" w:color="auto" w:sz="4" w:space="0"/>
              <w:left w:val="single" w:color="auto" w:sz="4" w:space="0"/>
              <w:bottom w:val="single" w:color="auto" w:sz="4" w:space="0"/>
              <w:right w:val="single" w:color="auto" w:sz="4" w:space="0"/>
            </w:tcBorders>
            <w:noWrap w:val="0"/>
            <w:vAlign w:val="center"/>
          </w:tcPr>
          <w:p w14:paraId="5560783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top w:val="single" w:color="auto" w:sz="4" w:space="0"/>
              <w:left w:val="single" w:color="auto" w:sz="4" w:space="0"/>
              <w:bottom w:val="single" w:color="auto" w:sz="4" w:space="0"/>
              <w:right w:val="single" w:color="auto" w:sz="4" w:space="0"/>
            </w:tcBorders>
            <w:noWrap w:val="0"/>
            <w:vAlign w:val="center"/>
          </w:tcPr>
          <w:p w14:paraId="51D937B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left w:val="single" w:color="auto" w:sz="4" w:space="0"/>
              <w:bottom w:val="single" w:color="auto" w:sz="4" w:space="0"/>
              <w:right w:val="nil"/>
            </w:tcBorders>
            <w:noWrap w:val="0"/>
            <w:vAlign w:val="center"/>
          </w:tcPr>
          <w:p w14:paraId="28E108ED">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0.05</w:t>
            </w:r>
          </w:p>
        </w:tc>
      </w:tr>
      <w:tr w14:paraId="00D06E12">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0AE4532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top w:val="single" w:color="auto" w:sz="4" w:space="0"/>
              <w:left w:val="single" w:color="auto" w:sz="4" w:space="0"/>
              <w:bottom w:val="single" w:color="auto" w:sz="4" w:space="0"/>
              <w:right w:val="single" w:color="auto" w:sz="4" w:space="0"/>
            </w:tcBorders>
            <w:noWrap w:val="0"/>
            <w:vAlign w:val="center"/>
          </w:tcPr>
          <w:p w14:paraId="7594BE4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noWrap w:val="0"/>
            <w:vAlign w:val="center"/>
          </w:tcPr>
          <w:p w14:paraId="15CD950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1,1,1-三氯乙烷</w:t>
            </w:r>
          </w:p>
        </w:tc>
        <w:tc>
          <w:tcPr>
            <w:tcW w:w="3447" w:type="dxa"/>
            <w:vMerge w:val="continue"/>
            <w:tcBorders>
              <w:top w:val="single" w:color="auto" w:sz="4" w:space="0"/>
              <w:left w:val="single" w:color="auto" w:sz="4" w:space="0"/>
              <w:bottom w:val="single" w:color="auto" w:sz="4" w:space="0"/>
              <w:right w:val="single" w:color="auto" w:sz="4" w:space="0"/>
            </w:tcBorders>
            <w:noWrap w:val="0"/>
            <w:vAlign w:val="center"/>
          </w:tcPr>
          <w:p w14:paraId="48E1F75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top w:val="single" w:color="auto" w:sz="4" w:space="0"/>
              <w:left w:val="single" w:color="auto" w:sz="4" w:space="0"/>
              <w:bottom w:val="single" w:color="auto" w:sz="4" w:space="0"/>
              <w:right w:val="single" w:color="auto" w:sz="4" w:space="0"/>
            </w:tcBorders>
            <w:noWrap w:val="0"/>
            <w:vAlign w:val="center"/>
          </w:tcPr>
          <w:p w14:paraId="7639338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left w:val="single" w:color="auto" w:sz="4" w:space="0"/>
              <w:bottom w:val="single" w:color="auto" w:sz="4" w:space="0"/>
              <w:right w:val="nil"/>
            </w:tcBorders>
            <w:noWrap w:val="0"/>
            <w:vAlign w:val="center"/>
          </w:tcPr>
          <w:p w14:paraId="16CF9F4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0.05</w:t>
            </w:r>
          </w:p>
        </w:tc>
      </w:tr>
      <w:tr w14:paraId="21FE496A">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5EE0837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top w:val="single" w:color="auto" w:sz="4" w:space="0"/>
              <w:left w:val="single" w:color="auto" w:sz="4" w:space="0"/>
              <w:bottom w:val="single" w:color="auto" w:sz="4" w:space="0"/>
              <w:right w:val="single" w:color="auto" w:sz="4" w:space="0"/>
            </w:tcBorders>
            <w:noWrap w:val="0"/>
            <w:vAlign w:val="center"/>
          </w:tcPr>
          <w:p w14:paraId="63A5C90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noWrap w:val="0"/>
            <w:vAlign w:val="center"/>
          </w:tcPr>
          <w:p w14:paraId="40AF69C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四氯化碳</w:t>
            </w:r>
          </w:p>
        </w:tc>
        <w:tc>
          <w:tcPr>
            <w:tcW w:w="3447" w:type="dxa"/>
            <w:vMerge w:val="continue"/>
            <w:tcBorders>
              <w:top w:val="single" w:color="auto" w:sz="4" w:space="0"/>
              <w:left w:val="single" w:color="auto" w:sz="4" w:space="0"/>
              <w:bottom w:val="single" w:color="auto" w:sz="4" w:space="0"/>
              <w:right w:val="single" w:color="auto" w:sz="4" w:space="0"/>
            </w:tcBorders>
            <w:noWrap w:val="0"/>
            <w:vAlign w:val="center"/>
          </w:tcPr>
          <w:p w14:paraId="2B167B6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top w:val="single" w:color="auto" w:sz="4" w:space="0"/>
              <w:left w:val="single" w:color="auto" w:sz="4" w:space="0"/>
              <w:bottom w:val="single" w:color="auto" w:sz="4" w:space="0"/>
              <w:right w:val="single" w:color="auto" w:sz="4" w:space="0"/>
            </w:tcBorders>
            <w:noWrap w:val="0"/>
            <w:vAlign w:val="center"/>
          </w:tcPr>
          <w:p w14:paraId="40ED001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left w:val="single" w:color="auto" w:sz="4" w:space="0"/>
              <w:bottom w:val="single" w:color="auto" w:sz="4" w:space="0"/>
              <w:right w:val="nil"/>
            </w:tcBorders>
            <w:noWrap w:val="0"/>
            <w:vAlign w:val="center"/>
          </w:tcPr>
          <w:p w14:paraId="67A30F9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0.05</w:t>
            </w:r>
          </w:p>
        </w:tc>
      </w:tr>
      <w:tr w14:paraId="643E32F9">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1655417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top w:val="single" w:color="auto" w:sz="4" w:space="0"/>
              <w:left w:val="single" w:color="auto" w:sz="4" w:space="0"/>
              <w:bottom w:val="single" w:color="auto" w:sz="4" w:space="0"/>
              <w:right w:val="single" w:color="auto" w:sz="4" w:space="0"/>
            </w:tcBorders>
            <w:noWrap w:val="0"/>
            <w:vAlign w:val="center"/>
          </w:tcPr>
          <w:p w14:paraId="745043F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noWrap w:val="0"/>
            <w:vAlign w:val="center"/>
          </w:tcPr>
          <w:p w14:paraId="4ABD799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1,2-二氯乙烷</w:t>
            </w:r>
          </w:p>
        </w:tc>
        <w:tc>
          <w:tcPr>
            <w:tcW w:w="3447" w:type="dxa"/>
            <w:vMerge w:val="continue"/>
            <w:tcBorders>
              <w:top w:val="single" w:color="auto" w:sz="4" w:space="0"/>
              <w:left w:val="single" w:color="auto" w:sz="4" w:space="0"/>
              <w:bottom w:val="single" w:color="auto" w:sz="4" w:space="0"/>
              <w:right w:val="single" w:color="auto" w:sz="4" w:space="0"/>
            </w:tcBorders>
            <w:noWrap w:val="0"/>
            <w:vAlign w:val="center"/>
          </w:tcPr>
          <w:p w14:paraId="418816D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top w:val="single" w:color="auto" w:sz="4" w:space="0"/>
              <w:left w:val="single" w:color="auto" w:sz="4" w:space="0"/>
              <w:bottom w:val="single" w:color="auto" w:sz="4" w:space="0"/>
              <w:right w:val="single" w:color="auto" w:sz="4" w:space="0"/>
            </w:tcBorders>
            <w:noWrap w:val="0"/>
            <w:vAlign w:val="center"/>
          </w:tcPr>
          <w:p w14:paraId="452D0BF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left w:val="single" w:color="auto" w:sz="4" w:space="0"/>
              <w:bottom w:val="single" w:color="auto" w:sz="4" w:space="0"/>
              <w:right w:val="nil"/>
            </w:tcBorders>
            <w:noWrap w:val="0"/>
            <w:vAlign w:val="center"/>
          </w:tcPr>
          <w:p w14:paraId="4F0D866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0.05</w:t>
            </w:r>
          </w:p>
        </w:tc>
      </w:tr>
      <w:tr w14:paraId="7A954415">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73FDA67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top w:val="single" w:color="auto" w:sz="4" w:space="0"/>
              <w:left w:val="single" w:color="auto" w:sz="4" w:space="0"/>
              <w:bottom w:val="single" w:color="auto" w:sz="4" w:space="0"/>
              <w:right w:val="single" w:color="auto" w:sz="4" w:space="0"/>
            </w:tcBorders>
            <w:noWrap w:val="0"/>
            <w:vAlign w:val="center"/>
          </w:tcPr>
          <w:p w14:paraId="66A4493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noWrap w:val="0"/>
            <w:vAlign w:val="center"/>
          </w:tcPr>
          <w:p w14:paraId="7F98742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三氯乙烯</w:t>
            </w:r>
          </w:p>
        </w:tc>
        <w:tc>
          <w:tcPr>
            <w:tcW w:w="3447" w:type="dxa"/>
            <w:vMerge w:val="continue"/>
            <w:tcBorders>
              <w:top w:val="single" w:color="auto" w:sz="4" w:space="0"/>
              <w:left w:val="single" w:color="auto" w:sz="4" w:space="0"/>
              <w:bottom w:val="single" w:color="auto" w:sz="4" w:space="0"/>
              <w:right w:val="single" w:color="auto" w:sz="4" w:space="0"/>
            </w:tcBorders>
            <w:noWrap w:val="0"/>
            <w:vAlign w:val="center"/>
          </w:tcPr>
          <w:p w14:paraId="5293FCA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top w:val="single" w:color="auto" w:sz="4" w:space="0"/>
              <w:left w:val="single" w:color="auto" w:sz="4" w:space="0"/>
              <w:bottom w:val="single" w:color="auto" w:sz="4" w:space="0"/>
              <w:right w:val="single" w:color="auto" w:sz="4" w:space="0"/>
            </w:tcBorders>
            <w:noWrap w:val="0"/>
            <w:vAlign w:val="center"/>
          </w:tcPr>
          <w:p w14:paraId="55659B5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left w:val="single" w:color="auto" w:sz="4" w:space="0"/>
              <w:bottom w:val="single" w:color="auto" w:sz="4" w:space="0"/>
              <w:right w:val="nil"/>
            </w:tcBorders>
            <w:noWrap w:val="0"/>
            <w:vAlign w:val="center"/>
          </w:tcPr>
          <w:p w14:paraId="415F2C28">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0.05</w:t>
            </w:r>
          </w:p>
        </w:tc>
      </w:tr>
      <w:tr w14:paraId="21EFF61E">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5FFEF30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top w:val="single" w:color="auto" w:sz="4" w:space="0"/>
              <w:left w:val="single" w:color="auto" w:sz="4" w:space="0"/>
              <w:bottom w:val="single" w:color="auto" w:sz="4" w:space="0"/>
              <w:right w:val="single" w:color="auto" w:sz="4" w:space="0"/>
            </w:tcBorders>
            <w:noWrap w:val="0"/>
            <w:vAlign w:val="center"/>
          </w:tcPr>
          <w:p w14:paraId="2393DFD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noWrap w:val="0"/>
            <w:vAlign w:val="center"/>
          </w:tcPr>
          <w:p w14:paraId="01C4BCB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1,2-二氯丙烷</w:t>
            </w:r>
          </w:p>
        </w:tc>
        <w:tc>
          <w:tcPr>
            <w:tcW w:w="3447" w:type="dxa"/>
            <w:vMerge w:val="continue"/>
            <w:tcBorders>
              <w:top w:val="single" w:color="auto" w:sz="4" w:space="0"/>
              <w:left w:val="single" w:color="auto" w:sz="4" w:space="0"/>
              <w:bottom w:val="single" w:color="auto" w:sz="4" w:space="0"/>
              <w:right w:val="single" w:color="auto" w:sz="4" w:space="0"/>
            </w:tcBorders>
            <w:noWrap w:val="0"/>
            <w:vAlign w:val="center"/>
          </w:tcPr>
          <w:p w14:paraId="4E222E2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top w:val="single" w:color="auto" w:sz="4" w:space="0"/>
              <w:left w:val="single" w:color="auto" w:sz="4" w:space="0"/>
              <w:bottom w:val="single" w:color="auto" w:sz="4" w:space="0"/>
              <w:right w:val="single" w:color="auto" w:sz="4" w:space="0"/>
            </w:tcBorders>
            <w:noWrap w:val="0"/>
            <w:vAlign w:val="center"/>
          </w:tcPr>
          <w:p w14:paraId="1EDB1E9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left w:val="single" w:color="auto" w:sz="4" w:space="0"/>
              <w:bottom w:val="single" w:color="auto" w:sz="4" w:space="0"/>
              <w:right w:val="nil"/>
            </w:tcBorders>
            <w:noWrap w:val="0"/>
            <w:vAlign w:val="center"/>
          </w:tcPr>
          <w:p w14:paraId="1259A177">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0.05</w:t>
            </w:r>
          </w:p>
        </w:tc>
      </w:tr>
      <w:tr w14:paraId="7AC2F1A3">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1D03520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top w:val="single" w:color="auto" w:sz="4" w:space="0"/>
              <w:left w:val="single" w:color="auto" w:sz="4" w:space="0"/>
              <w:bottom w:val="single" w:color="auto" w:sz="4" w:space="0"/>
              <w:right w:val="single" w:color="auto" w:sz="4" w:space="0"/>
            </w:tcBorders>
            <w:noWrap w:val="0"/>
            <w:vAlign w:val="center"/>
          </w:tcPr>
          <w:p w14:paraId="3568066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noWrap w:val="0"/>
            <w:vAlign w:val="center"/>
          </w:tcPr>
          <w:p w14:paraId="5E716E1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1,1,2-三氯乙烷</w:t>
            </w:r>
          </w:p>
        </w:tc>
        <w:tc>
          <w:tcPr>
            <w:tcW w:w="3447" w:type="dxa"/>
            <w:vMerge w:val="continue"/>
            <w:tcBorders>
              <w:top w:val="single" w:color="auto" w:sz="4" w:space="0"/>
              <w:left w:val="single" w:color="auto" w:sz="4" w:space="0"/>
              <w:bottom w:val="single" w:color="auto" w:sz="4" w:space="0"/>
              <w:right w:val="single" w:color="auto" w:sz="4" w:space="0"/>
            </w:tcBorders>
            <w:noWrap w:val="0"/>
            <w:vAlign w:val="center"/>
          </w:tcPr>
          <w:p w14:paraId="2C7FFD0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top w:val="single" w:color="auto" w:sz="4" w:space="0"/>
              <w:left w:val="single" w:color="auto" w:sz="4" w:space="0"/>
              <w:bottom w:val="single" w:color="auto" w:sz="4" w:space="0"/>
              <w:right w:val="single" w:color="auto" w:sz="4" w:space="0"/>
            </w:tcBorders>
            <w:noWrap w:val="0"/>
            <w:vAlign w:val="center"/>
          </w:tcPr>
          <w:p w14:paraId="31F28F0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left w:val="single" w:color="auto" w:sz="4" w:space="0"/>
              <w:bottom w:val="single" w:color="auto" w:sz="4" w:space="0"/>
              <w:right w:val="nil"/>
            </w:tcBorders>
            <w:noWrap w:val="0"/>
            <w:vAlign w:val="center"/>
          </w:tcPr>
          <w:p w14:paraId="384F806B">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0.05</w:t>
            </w:r>
          </w:p>
        </w:tc>
      </w:tr>
      <w:tr w14:paraId="579216FB">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0743D30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top w:val="single" w:color="auto" w:sz="4" w:space="0"/>
              <w:left w:val="single" w:color="auto" w:sz="4" w:space="0"/>
              <w:bottom w:val="single" w:color="auto" w:sz="4" w:space="0"/>
              <w:right w:val="single" w:color="auto" w:sz="4" w:space="0"/>
            </w:tcBorders>
            <w:noWrap w:val="0"/>
            <w:vAlign w:val="center"/>
          </w:tcPr>
          <w:p w14:paraId="08ACCDE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noWrap w:val="0"/>
            <w:vAlign w:val="center"/>
          </w:tcPr>
          <w:p w14:paraId="6349CFFF">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四氯乙烯</w:t>
            </w:r>
          </w:p>
        </w:tc>
        <w:tc>
          <w:tcPr>
            <w:tcW w:w="3447" w:type="dxa"/>
            <w:vMerge w:val="continue"/>
            <w:tcBorders>
              <w:top w:val="single" w:color="auto" w:sz="4" w:space="0"/>
              <w:left w:val="single" w:color="auto" w:sz="4" w:space="0"/>
              <w:bottom w:val="single" w:color="auto" w:sz="4" w:space="0"/>
              <w:right w:val="single" w:color="auto" w:sz="4" w:space="0"/>
            </w:tcBorders>
            <w:noWrap w:val="0"/>
            <w:vAlign w:val="center"/>
          </w:tcPr>
          <w:p w14:paraId="47C2A2C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top w:val="single" w:color="auto" w:sz="4" w:space="0"/>
              <w:left w:val="single" w:color="auto" w:sz="4" w:space="0"/>
              <w:bottom w:val="single" w:color="auto" w:sz="4" w:space="0"/>
              <w:right w:val="single" w:color="auto" w:sz="4" w:space="0"/>
            </w:tcBorders>
            <w:noWrap w:val="0"/>
            <w:vAlign w:val="center"/>
          </w:tcPr>
          <w:p w14:paraId="2CACA73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left w:val="single" w:color="auto" w:sz="4" w:space="0"/>
              <w:bottom w:val="single" w:color="auto" w:sz="4" w:space="0"/>
              <w:right w:val="nil"/>
            </w:tcBorders>
            <w:noWrap w:val="0"/>
            <w:vAlign w:val="center"/>
          </w:tcPr>
          <w:p w14:paraId="05AEDA8F">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0.05</w:t>
            </w:r>
          </w:p>
        </w:tc>
      </w:tr>
      <w:tr w14:paraId="2ED3C1C5">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6092522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top w:val="single" w:color="auto" w:sz="4" w:space="0"/>
              <w:left w:val="single" w:color="auto" w:sz="4" w:space="0"/>
              <w:bottom w:val="single" w:color="auto" w:sz="4" w:space="0"/>
              <w:right w:val="single" w:color="auto" w:sz="4" w:space="0"/>
            </w:tcBorders>
            <w:noWrap w:val="0"/>
            <w:vAlign w:val="center"/>
          </w:tcPr>
          <w:p w14:paraId="5D1B351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noWrap w:val="0"/>
            <w:vAlign w:val="center"/>
          </w:tcPr>
          <w:p w14:paraId="179D6B7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1,1,1,2-四氯乙烷</w:t>
            </w:r>
          </w:p>
        </w:tc>
        <w:tc>
          <w:tcPr>
            <w:tcW w:w="3447" w:type="dxa"/>
            <w:vMerge w:val="continue"/>
            <w:tcBorders>
              <w:top w:val="single" w:color="auto" w:sz="4" w:space="0"/>
              <w:left w:val="single" w:color="auto" w:sz="4" w:space="0"/>
              <w:bottom w:val="single" w:color="auto" w:sz="4" w:space="0"/>
              <w:right w:val="single" w:color="auto" w:sz="4" w:space="0"/>
            </w:tcBorders>
            <w:noWrap w:val="0"/>
            <w:vAlign w:val="center"/>
          </w:tcPr>
          <w:p w14:paraId="0C4ED8D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top w:val="single" w:color="auto" w:sz="4" w:space="0"/>
              <w:left w:val="single" w:color="auto" w:sz="4" w:space="0"/>
              <w:bottom w:val="single" w:color="auto" w:sz="4" w:space="0"/>
              <w:right w:val="single" w:color="auto" w:sz="4" w:space="0"/>
            </w:tcBorders>
            <w:noWrap w:val="0"/>
            <w:vAlign w:val="center"/>
          </w:tcPr>
          <w:p w14:paraId="639CC14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left w:val="single" w:color="auto" w:sz="4" w:space="0"/>
              <w:bottom w:val="single" w:color="auto" w:sz="4" w:space="0"/>
              <w:right w:val="nil"/>
            </w:tcBorders>
            <w:noWrap w:val="0"/>
            <w:vAlign w:val="center"/>
          </w:tcPr>
          <w:p w14:paraId="63AE026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0.05</w:t>
            </w:r>
          </w:p>
        </w:tc>
      </w:tr>
      <w:tr w14:paraId="32416A52">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47F50C0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top w:val="single" w:color="auto" w:sz="4" w:space="0"/>
              <w:left w:val="single" w:color="auto" w:sz="4" w:space="0"/>
              <w:bottom w:val="single" w:color="auto" w:sz="4" w:space="0"/>
              <w:right w:val="single" w:color="auto" w:sz="4" w:space="0"/>
            </w:tcBorders>
            <w:noWrap w:val="0"/>
            <w:vAlign w:val="center"/>
          </w:tcPr>
          <w:p w14:paraId="084DE00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bottom w:val="single" w:color="auto" w:sz="4" w:space="0"/>
            </w:tcBorders>
            <w:noWrap w:val="0"/>
            <w:vAlign w:val="center"/>
          </w:tcPr>
          <w:p w14:paraId="6CFE902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1,1,2,2-四氯乙烷</w:t>
            </w:r>
          </w:p>
        </w:tc>
        <w:tc>
          <w:tcPr>
            <w:tcW w:w="3447" w:type="dxa"/>
            <w:vMerge w:val="continue"/>
            <w:tcBorders>
              <w:top w:val="single" w:color="auto" w:sz="4" w:space="0"/>
              <w:left w:val="single" w:color="auto" w:sz="4" w:space="0"/>
              <w:bottom w:val="single" w:color="auto" w:sz="4" w:space="0"/>
              <w:right w:val="single" w:color="auto" w:sz="4" w:space="0"/>
            </w:tcBorders>
            <w:noWrap w:val="0"/>
            <w:vAlign w:val="center"/>
          </w:tcPr>
          <w:p w14:paraId="16280A5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top w:val="single" w:color="auto" w:sz="4" w:space="0"/>
              <w:left w:val="single" w:color="auto" w:sz="4" w:space="0"/>
              <w:bottom w:val="single" w:color="auto" w:sz="4" w:space="0"/>
              <w:right w:val="single" w:color="auto" w:sz="4" w:space="0"/>
            </w:tcBorders>
            <w:noWrap w:val="0"/>
            <w:vAlign w:val="center"/>
          </w:tcPr>
          <w:p w14:paraId="5C4B2D7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bottom w:val="single" w:color="auto" w:sz="4" w:space="0"/>
              <w:right w:val="nil"/>
            </w:tcBorders>
            <w:noWrap w:val="0"/>
            <w:vAlign w:val="center"/>
          </w:tcPr>
          <w:p w14:paraId="1549066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0.05</w:t>
            </w:r>
          </w:p>
        </w:tc>
      </w:tr>
      <w:tr w14:paraId="041289AF">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top w:val="single" w:color="auto" w:sz="4" w:space="0"/>
              <w:left w:val="nil"/>
              <w:bottom w:val="single" w:color="auto" w:sz="4" w:space="0"/>
              <w:right w:val="single" w:color="auto" w:sz="4" w:space="0"/>
            </w:tcBorders>
            <w:noWrap w:val="0"/>
            <w:vAlign w:val="center"/>
          </w:tcPr>
          <w:p w14:paraId="5471E0E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top w:val="single" w:color="auto" w:sz="4" w:space="0"/>
              <w:left w:val="single" w:color="auto" w:sz="4" w:space="0"/>
              <w:bottom w:val="single" w:color="auto" w:sz="4" w:space="0"/>
              <w:right w:val="single" w:color="auto" w:sz="4" w:space="0"/>
            </w:tcBorders>
            <w:noWrap w:val="0"/>
            <w:vAlign w:val="center"/>
          </w:tcPr>
          <w:p w14:paraId="0C5E3ED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bottom w:val="single" w:color="auto" w:sz="4" w:space="0"/>
            </w:tcBorders>
            <w:noWrap w:val="0"/>
            <w:vAlign w:val="center"/>
          </w:tcPr>
          <w:p w14:paraId="0032911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1,2,3-三氯丙烷</w:t>
            </w:r>
          </w:p>
        </w:tc>
        <w:tc>
          <w:tcPr>
            <w:tcW w:w="3447" w:type="dxa"/>
            <w:vMerge w:val="continue"/>
            <w:tcBorders>
              <w:top w:val="single" w:color="auto" w:sz="4" w:space="0"/>
              <w:left w:val="single" w:color="auto" w:sz="4" w:space="0"/>
              <w:bottom w:val="single" w:color="auto" w:sz="4" w:space="0"/>
              <w:right w:val="single" w:color="auto" w:sz="4" w:space="0"/>
            </w:tcBorders>
            <w:noWrap w:val="0"/>
            <w:vAlign w:val="center"/>
          </w:tcPr>
          <w:p w14:paraId="634540B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top w:val="single" w:color="auto" w:sz="4" w:space="0"/>
              <w:left w:val="single" w:color="auto" w:sz="4" w:space="0"/>
              <w:bottom w:val="single" w:color="auto" w:sz="4" w:space="0"/>
              <w:right w:val="single" w:color="auto" w:sz="4" w:space="0"/>
            </w:tcBorders>
            <w:noWrap w:val="0"/>
            <w:vAlign w:val="center"/>
          </w:tcPr>
          <w:p w14:paraId="684D26E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bottom w:val="single" w:color="auto" w:sz="4" w:space="0"/>
              <w:right w:val="nil"/>
            </w:tcBorders>
            <w:noWrap w:val="0"/>
            <w:vAlign w:val="center"/>
          </w:tcPr>
          <w:p w14:paraId="4E8ED70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0.05</w:t>
            </w:r>
          </w:p>
        </w:tc>
      </w:tr>
      <w:tr w14:paraId="0E2116B6">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top w:val="single" w:color="auto" w:sz="4" w:space="0"/>
              <w:left w:val="nil"/>
              <w:bottom w:val="single" w:color="auto" w:sz="12" w:space="0"/>
              <w:right w:val="single" w:color="auto" w:sz="4" w:space="0"/>
            </w:tcBorders>
            <w:noWrap w:val="0"/>
            <w:vAlign w:val="center"/>
          </w:tcPr>
          <w:p w14:paraId="20A4842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top w:val="single" w:color="auto" w:sz="4" w:space="0"/>
              <w:left w:val="single" w:color="auto" w:sz="4" w:space="0"/>
              <w:bottom w:val="single" w:color="auto" w:sz="12" w:space="0"/>
              <w:right w:val="single" w:color="auto" w:sz="4" w:space="0"/>
            </w:tcBorders>
            <w:noWrap w:val="0"/>
            <w:vAlign w:val="center"/>
          </w:tcPr>
          <w:p w14:paraId="5DF9D14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bottom w:val="single" w:color="auto" w:sz="4" w:space="0"/>
            </w:tcBorders>
            <w:noWrap w:val="0"/>
            <w:vAlign w:val="center"/>
          </w:tcPr>
          <w:p w14:paraId="10D58BDB">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氯苯</w:t>
            </w:r>
          </w:p>
        </w:tc>
        <w:tc>
          <w:tcPr>
            <w:tcW w:w="3447" w:type="dxa"/>
            <w:vMerge w:val="continue"/>
            <w:tcBorders>
              <w:top w:val="single" w:color="auto" w:sz="4" w:space="0"/>
              <w:left w:val="single" w:color="auto" w:sz="4" w:space="0"/>
              <w:bottom w:val="single" w:color="auto" w:sz="12" w:space="0"/>
              <w:right w:val="single" w:color="auto" w:sz="4" w:space="0"/>
            </w:tcBorders>
            <w:noWrap w:val="0"/>
            <w:vAlign w:val="center"/>
          </w:tcPr>
          <w:p w14:paraId="0848F2E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top w:val="single" w:color="auto" w:sz="4" w:space="0"/>
              <w:left w:val="single" w:color="auto" w:sz="4" w:space="0"/>
              <w:bottom w:val="single" w:color="auto" w:sz="12" w:space="0"/>
              <w:right w:val="single" w:color="auto" w:sz="4" w:space="0"/>
            </w:tcBorders>
            <w:noWrap w:val="0"/>
            <w:vAlign w:val="center"/>
          </w:tcPr>
          <w:p w14:paraId="570E284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bottom w:val="single" w:color="auto" w:sz="4" w:space="0"/>
              <w:right w:val="nil"/>
            </w:tcBorders>
            <w:noWrap w:val="0"/>
            <w:vAlign w:val="center"/>
          </w:tcPr>
          <w:p w14:paraId="02DCDB52">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0.05</w:t>
            </w:r>
          </w:p>
        </w:tc>
      </w:tr>
      <w:tr w14:paraId="081323EB">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top w:val="single" w:color="auto" w:sz="12" w:space="0"/>
              <w:left w:val="nil"/>
              <w:right w:val="single" w:color="auto" w:sz="4" w:space="0"/>
            </w:tcBorders>
            <w:noWrap w:val="0"/>
            <w:vAlign w:val="center"/>
          </w:tcPr>
          <w:p w14:paraId="7FCD70D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top w:val="single" w:color="auto" w:sz="12" w:space="0"/>
              <w:left w:val="single" w:color="auto" w:sz="4" w:space="0"/>
              <w:right w:val="single" w:color="auto" w:sz="4" w:space="0"/>
            </w:tcBorders>
            <w:noWrap w:val="0"/>
            <w:vAlign w:val="center"/>
          </w:tcPr>
          <w:p w14:paraId="42F3258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bottom w:val="single" w:color="auto" w:sz="4" w:space="0"/>
            </w:tcBorders>
            <w:noWrap w:val="0"/>
            <w:vAlign w:val="center"/>
          </w:tcPr>
          <w:p w14:paraId="68A82B5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1,4-二氯苯</w:t>
            </w:r>
          </w:p>
        </w:tc>
        <w:tc>
          <w:tcPr>
            <w:tcW w:w="3447" w:type="dxa"/>
            <w:vMerge w:val="continue"/>
            <w:tcBorders>
              <w:top w:val="single" w:color="auto" w:sz="12" w:space="0"/>
              <w:left w:val="single" w:color="auto" w:sz="4" w:space="0"/>
              <w:right w:val="single" w:color="auto" w:sz="4" w:space="0"/>
            </w:tcBorders>
            <w:noWrap w:val="0"/>
            <w:vAlign w:val="center"/>
          </w:tcPr>
          <w:p w14:paraId="0563AF0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top w:val="single" w:color="auto" w:sz="12" w:space="0"/>
              <w:left w:val="single" w:color="auto" w:sz="4" w:space="0"/>
              <w:right w:val="single" w:color="auto" w:sz="4" w:space="0"/>
            </w:tcBorders>
            <w:noWrap w:val="0"/>
            <w:vAlign w:val="center"/>
          </w:tcPr>
          <w:p w14:paraId="50F2B0E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bottom w:val="single" w:color="auto" w:sz="4" w:space="0"/>
              <w:right w:val="nil"/>
            </w:tcBorders>
            <w:noWrap w:val="0"/>
            <w:vAlign w:val="center"/>
          </w:tcPr>
          <w:p w14:paraId="4C8737F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0.05</w:t>
            </w:r>
          </w:p>
        </w:tc>
      </w:tr>
      <w:tr w14:paraId="51BF5F74">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left w:val="nil"/>
              <w:right w:val="single" w:color="auto" w:sz="4" w:space="0"/>
            </w:tcBorders>
            <w:noWrap w:val="0"/>
            <w:vAlign w:val="center"/>
          </w:tcPr>
          <w:p w14:paraId="3832E80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left w:val="single" w:color="auto" w:sz="4" w:space="0"/>
              <w:right w:val="single" w:color="auto" w:sz="4" w:space="0"/>
            </w:tcBorders>
            <w:noWrap w:val="0"/>
            <w:vAlign w:val="center"/>
          </w:tcPr>
          <w:p w14:paraId="00AF283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bottom w:val="single" w:color="auto" w:sz="4" w:space="0"/>
            </w:tcBorders>
            <w:noWrap w:val="0"/>
            <w:vAlign w:val="center"/>
          </w:tcPr>
          <w:p w14:paraId="64EE107B">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1,2-二氯苯</w:t>
            </w:r>
          </w:p>
        </w:tc>
        <w:tc>
          <w:tcPr>
            <w:tcW w:w="3447" w:type="dxa"/>
            <w:vMerge w:val="continue"/>
            <w:tcBorders>
              <w:left w:val="single" w:color="auto" w:sz="4" w:space="0"/>
              <w:right w:val="single" w:color="auto" w:sz="4" w:space="0"/>
            </w:tcBorders>
            <w:noWrap w:val="0"/>
            <w:vAlign w:val="center"/>
          </w:tcPr>
          <w:p w14:paraId="1EB4D6C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left w:val="single" w:color="auto" w:sz="4" w:space="0"/>
              <w:right w:val="single" w:color="auto" w:sz="4" w:space="0"/>
            </w:tcBorders>
            <w:noWrap w:val="0"/>
            <w:vAlign w:val="center"/>
          </w:tcPr>
          <w:p w14:paraId="58D9B28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bottom w:val="single" w:color="auto" w:sz="4" w:space="0"/>
              <w:right w:val="nil"/>
            </w:tcBorders>
            <w:noWrap w:val="0"/>
            <w:vAlign w:val="center"/>
          </w:tcPr>
          <w:p w14:paraId="18A635A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0.05</w:t>
            </w:r>
          </w:p>
        </w:tc>
      </w:tr>
      <w:tr w14:paraId="204F1AE2">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left w:val="nil"/>
              <w:right w:val="single" w:color="auto" w:sz="4" w:space="0"/>
            </w:tcBorders>
            <w:noWrap w:val="0"/>
            <w:vAlign w:val="center"/>
          </w:tcPr>
          <w:p w14:paraId="6D24707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left w:val="single" w:color="auto" w:sz="4" w:space="0"/>
              <w:bottom w:val="single" w:color="auto" w:sz="4" w:space="0"/>
              <w:right w:val="single" w:color="auto" w:sz="4" w:space="0"/>
            </w:tcBorders>
            <w:noWrap w:val="0"/>
            <w:vAlign w:val="center"/>
          </w:tcPr>
          <w:p w14:paraId="13ADB18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bottom w:val="single" w:color="auto" w:sz="4" w:space="0"/>
            </w:tcBorders>
            <w:noWrap w:val="0"/>
            <w:vAlign w:val="center"/>
          </w:tcPr>
          <w:p w14:paraId="5C2DD07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eastAsia" w:cs="Times New Roman"/>
                <w:color w:val="000000"/>
                <w:sz w:val="21"/>
                <w:szCs w:val="21"/>
                <w:highlight w:val="none"/>
                <w:lang w:eastAsia="zh-CN"/>
              </w:rPr>
              <w:t>氯仿</w:t>
            </w:r>
            <w:r>
              <w:rPr>
                <w:rFonts w:hint="default" w:ascii="Times New Roman" w:hAnsi="Times New Roman" w:cs="Times New Roman"/>
                <w:color w:val="000000"/>
                <w:sz w:val="21"/>
                <w:szCs w:val="21"/>
                <w:highlight w:val="none"/>
              </w:rPr>
              <w:t>(氯仿)</w:t>
            </w:r>
          </w:p>
        </w:tc>
        <w:tc>
          <w:tcPr>
            <w:tcW w:w="3447" w:type="dxa"/>
            <w:vMerge w:val="continue"/>
            <w:tcBorders>
              <w:left w:val="single" w:color="auto" w:sz="4" w:space="0"/>
              <w:bottom w:val="single" w:color="auto" w:sz="4" w:space="0"/>
              <w:right w:val="single" w:color="auto" w:sz="4" w:space="0"/>
            </w:tcBorders>
            <w:noWrap w:val="0"/>
            <w:vAlign w:val="center"/>
          </w:tcPr>
          <w:p w14:paraId="690B19D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left w:val="single" w:color="auto" w:sz="4" w:space="0"/>
              <w:bottom w:val="single" w:color="auto" w:sz="4" w:space="0"/>
              <w:right w:val="single" w:color="auto" w:sz="4" w:space="0"/>
            </w:tcBorders>
            <w:noWrap w:val="0"/>
            <w:vAlign w:val="center"/>
          </w:tcPr>
          <w:p w14:paraId="17593C5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bottom w:val="single" w:color="auto" w:sz="4" w:space="0"/>
              <w:right w:val="nil"/>
            </w:tcBorders>
            <w:noWrap w:val="0"/>
            <w:vAlign w:val="center"/>
          </w:tcPr>
          <w:p w14:paraId="4BD0E51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0.05</w:t>
            </w:r>
          </w:p>
        </w:tc>
      </w:tr>
      <w:tr w14:paraId="647C5EED">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left w:val="nil"/>
              <w:right w:val="single" w:color="auto" w:sz="4" w:space="0"/>
            </w:tcBorders>
            <w:noWrap w:val="0"/>
            <w:vAlign w:val="center"/>
          </w:tcPr>
          <w:p w14:paraId="37C720C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restart"/>
            <w:tcBorders>
              <w:top w:val="single" w:color="auto" w:sz="4" w:space="0"/>
            </w:tcBorders>
            <w:noWrap w:val="0"/>
            <w:vAlign w:val="center"/>
          </w:tcPr>
          <w:p w14:paraId="512B22E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半挥发性有机物</w:t>
            </w:r>
          </w:p>
        </w:tc>
        <w:tc>
          <w:tcPr>
            <w:tcW w:w="1807" w:type="dxa"/>
            <w:tcBorders>
              <w:top w:val="single" w:color="auto" w:sz="4" w:space="0"/>
              <w:bottom w:val="single" w:color="auto" w:sz="4" w:space="0"/>
            </w:tcBorders>
            <w:noWrap w:val="0"/>
            <w:vAlign w:val="center"/>
          </w:tcPr>
          <w:p w14:paraId="6791B8C8">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2-氯酚</w:t>
            </w:r>
          </w:p>
        </w:tc>
        <w:tc>
          <w:tcPr>
            <w:tcW w:w="3447" w:type="dxa"/>
            <w:vMerge w:val="restart"/>
            <w:tcBorders>
              <w:top w:val="single" w:color="auto" w:sz="4" w:space="0"/>
            </w:tcBorders>
            <w:noWrap w:val="0"/>
            <w:vAlign w:val="center"/>
          </w:tcPr>
          <w:p w14:paraId="288D571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kern w:val="0"/>
                <w:sz w:val="21"/>
                <w:szCs w:val="21"/>
                <w:highlight w:val="none"/>
              </w:rPr>
              <w:t>土壤和沉积物 半挥发性有机物的测定 气相色谱-质谱法</w:t>
            </w:r>
          </w:p>
        </w:tc>
        <w:tc>
          <w:tcPr>
            <w:tcW w:w="1597" w:type="dxa"/>
            <w:vMerge w:val="restart"/>
            <w:tcBorders>
              <w:top w:val="single" w:color="auto" w:sz="4" w:space="0"/>
            </w:tcBorders>
            <w:noWrap w:val="0"/>
            <w:vAlign w:val="center"/>
          </w:tcPr>
          <w:p w14:paraId="5D6C0BD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kern w:val="0"/>
                <w:sz w:val="21"/>
                <w:szCs w:val="21"/>
                <w:highlight w:val="none"/>
              </w:rPr>
              <w:t>HJ 834-2017</w:t>
            </w:r>
          </w:p>
        </w:tc>
        <w:tc>
          <w:tcPr>
            <w:tcW w:w="1429" w:type="dxa"/>
            <w:tcBorders>
              <w:top w:val="single" w:color="auto" w:sz="4" w:space="0"/>
              <w:bottom w:val="single" w:color="auto" w:sz="4" w:space="0"/>
              <w:right w:val="nil"/>
            </w:tcBorders>
            <w:noWrap w:val="0"/>
            <w:vAlign w:val="center"/>
          </w:tcPr>
          <w:p w14:paraId="02B6987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0.06</w:t>
            </w:r>
          </w:p>
        </w:tc>
      </w:tr>
      <w:tr w14:paraId="1CD11A7F">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left w:val="nil"/>
              <w:right w:val="single" w:color="auto" w:sz="4" w:space="0"/>
            </w:tcBorders>
            <w:noWrap w:val="0"/>
            <w:vAlign w:val="center"/>
          </w:tcPr>
          <w:p w14:paraId="6508BAA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noWrap w:val="0"/>
            <w:vAlign w:val="center"/>
          </w:tcPr>
          <w:p w14:paraId="3224486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bottom w:val="single" w:color="auto" w:sz="4" w:space="0"/>
            </w:tcBorders>
            <w:noWrap w:val="0"/>
            <w:vAlign w:val="center"/>
          </w:tcPr>
          <w:p w14:paraId="61633567">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sz w:val="21"/>
                <w:szCs w:val="21"/>
                <w:highlight w:val="none"/>
              </w:rPr>
            </w:pPr>
            <w:r>
              <w:rPr>
                <w:rFonts w:hint="default" w:ascii="Times New Roman" w:hAnsi="Times New Roman" w:cs="Times New Roman"/>
                <w:color w:val="000000"/>
                <w:sz w:val="21"/>
                <w:szCs w:val="21"/>
                <w:highlight w:val="none"/>
                <w:lang w:eastAsia="zh-CN"/>
              </w:rPr>
              <w:t>苯酚</w:t>
            </w:r>
          </w:p>
        </w:tc>
        <w:tc>
          <w:tcPr>
            <w:tcW w:w="3447" w:type="dxa"/>
            <w:vMerge w:val="continue"/>
            <w:noWrap w:val="0"/>
            <w:vAlign w:val="center"/>
          </w:tcPr>
          <w:p w14:paraId="01842E4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noWrap w:val="0"/>
            <w:vAlign w:val="center"/>
          </w:tcPr>
          <w:p w14:paraId="17B273E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bottom w:val="single" w:color="auto" w:sz="4" w:space="0"/>
              <w:right w:val="nil"/>
            </w:tcBorders>
            <w:noWrap w:val="0"/>
            <w:vAlign w:val="center"/>
          </w:tcPr>
          <w:p w14:paraId="74C28A07">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0.1</w:t>
            </w:r>
          </w:p>
        </w:tc>
      </w:tr>
      <w:tr w14:paraId="29509598">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left w:val="nil"/>
              <w:right w:val="single" w:color="auto" w:sz="4" w:space="0"/>
            </w:tcBorders>
            <w:noWrap w:val="0"/>
            <w:vAlign w:val="center"/>
          </w:tcPr>
          <w:p w14:paraId="0704AF2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noWrap w:val="0"/>
            <w:vAlign w:val="center"/>
          </w:tcPr>
          <w:p w14:paraId="43AD6CC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bottom w:val="single" w:color="auto" w:sz="4" w:space="0"/>
            </w:tcBorders>
            <w:noWrap w:val="0"/>
            <w:vAlign w:val="center"/>
          </w:tcPr>
          <w:p w14:paraId="615C1ECC">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2-甲基苯酚</w:t>
            </w:r>
          </w:p>
        </w:tc>
        <w:tc>
          <w:tcPr>
            <w:tcW w:w="3447" w:type="dxa"/>
            <w:vMerge w:val="continue"/>
            <w:noWrap w:val="0"/>
            <w:vAlign w:val="center"/>
          </w:tcPr>
          <w:p w14:paraId="3221957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noWrap w:val="0"/>
            <w:vAlign w:val="center"/>
          </w:tcPr>
          <w:p w14:paraId="3981CB6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bottom w:val="single" w:color="auto" w:sz="4" w:space="0"/>
              <w:right w:val="nil"/>
            </w:tcBorders>
            <w:noWrap w:val="0"/>
            <w:vAlign w:val="center"/>
          </w:tcPr>
          <w:p w14:paraId="4EAFE382">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0.1</w:t>
            </w:r>
          </w:p>
        </w:tc>
      </w:tr>
      <w:tr w14:paraId="0A1DFF7F">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left w:val="nil"/>
              <w:right w:val="single" w:color="auto" w:sz="4" w:space="0"/>
            </w:tcBorders>
            <w:noWrap w:val="0"/>
            <w:vAlign w:val="center"/>
          </w:tcPr>
          <w:p w14:paraId="01C60C6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noWrap w:val="0"/>
            <w:vAlign w:val="center"/>
          </w:tcPr>
          <w:p w14:paraId="25517D4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bottom w:val="single" w:color="auto" w:sz="4" w:space="0"/>
            </w:tcBorders>
            <w:noWrap w:val="0"/>
            <w:vAlign w:val="center"/>
          </w:tcPr>
          <w:p w14:paraId="243539D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sz w:val="21"/>
                <w:szCs w:val="21"/>
                <w:highlight w:val="none"/>
              </w:rPr>
            </w:pPr>
            <w:r>
              <w:rPr>
                <w:rFonts w:hint="default" w:ascii="Times New Roman" w:hAnsi="Times New Roman" w:cs="Times New Roman"/>
                <w:color w:val="000000"/>
                <w:sz w:val="21"/>
                <w:szCs w:val="21"/>
                <w:highlight w:val="none"/>
                <w:lang w:val="en-US" w:eastAsia="zh-CN"/>
              </w:rPr>
              <w:t>4-甲基苯酚</w:t>
            </w:r>
          </w:p>
        </w:tc>
        <w:tc>
          <w:tcPr>
            <w:tcW w:w="3447" w:type="dxa"/>
            <w:vMerge w:val="continue"/>
            <w:noWrap w:val="0"/>
            <w:vAlign w:val="center"/>
          </w:tcPr>
          <w:p w14:paraId="16A705D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noWrap w:val="0"/>
            <w:vAlign w:val="center"/>
          </w:tcPr>
          <w:p w14:paraId="30BD444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bottom w:val="single" w:color="auto" w:sz="4" w:space="0"/>
              <w:right w:val="nil"/>
            </w:tcBorders>
            <w:noWrap w:val="0"/>
            <w:vAlign w:val="center"/>
          </w:tcPr>
          <w:p w14:paraId="53916D2D">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0.1</w:t>
            </w:r>
          </w:p>
        </w:tc>
      </w:tr>
      <w:tr w14:paraId="0C371CF8">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left w:val="nil"/>
              <w:right w:val="single" w:color="auto" w:sz="4" w:space="0"/>
            </w:tcBorders>
            <w:noWrap w:val="0"/>
            <w:vAlign w:val="center"/>
          </w:tcPr>
          <w:p w14:paraId="31268F6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noWrap w:val="0"/>
            <w:vAlign w:val="center"/>
          </w:tcPr>
          <w:p w14:paraId="39A63ED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bottom w:val="single" w:color="auto" w:sz="4" w:space="0"/>
            </w:tcBorders>
            <w:noWrap w:val="0"/>
            <w:vAlign w:val="center"/>
          </w:tcPr>
          <w:p w14:paraId="6C7CA21B">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萘</w:t>
            </w:r>
          </w:p>
        </w:tc>
        <w:tc>
          <w:tcPr>
            <w:tcW w:w="3447" w:type="dxa"/>
            <w:vMerge w:val="continue"/>
            <w:noWrap w:val="0"/>
            <w:vAlign w:val="center"/>
          </w:tcPr>
          <w:p w14:paraId="7FCDC77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noWrap w:val="0"/>
            <w:vAlign w:val="center"/>
          </w:tcPr>
          <w:p w14:paraId="73CC1F3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bottom w:val="single" w:color="auto" w:sz="4" w:space="0"/>
              <w:right w:val="nil"/>
            </w:tcBorders>
            <w:noWrap w:val="0"/>
            <w:vAlign w:val="center"/>
          </w:tcPr>
          <w:p w14:paraId="0842A921">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0.09</w:t>
            </w:r>
          </w:p>
        </w:tc>
      </w:tr>
      <w:tr w14:paraId="19A0E968">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left w:val="nil"/>
              <w:right w:val="single" w:color="auto" w:sz="4" w:space="0"/>
            </w:tcBorders>
            <w:noWrap w:val="0"/>
            <w:vAlign w:val="center"/>
          </w:tcPr>
          <w:p w14:paraId="24A6303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noWrap w:val="0"/>
            <w:vAlign w:val="center"/>
          </w:tcPr>
          <w:p w14:paraId="5B2EC88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bottom w:val="single" w:color="auto" w:sz="4" w:space="0"/>
            </w:tcBorders>
            <w:noWrap w:val="0"/>
            <w:vAlign w:val="center"/>
          </w:tcPr>
          <w:p w14:paraId="100C98A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苯并(a)蒽</w:t>
            </w:r>
          </w:p>
        </w:tc>
        <w:tc>
          <w:tcPr>
            <w:tcW w:w="3447" w:type="dxa"/>
            <w:vMerge w:val="continue"/>
            <w:noWrap w:val="0"/>
            <w:vAlign w:val="center"/>
          </w:tcPr>
          <w:p w14:paraId="19010E6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noWrap w:val="0"/>
            <w:vAlign w:val="center"/>
          </w:tcPr>
          <w:p w14:paraId="032F404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bottom w:val="single" w:color="auto" w:sz="4" w:space="0"/>
              <w:right w:val="nil"/>
            </w:tcBorders>
            <w:noWrap w:val="0"/>
            <w:vAlign w:val="center"/>
          </w:tcPr>
          <w:p w14:paraId="7CE18B7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0.1</w:t>
            </w:r>
          </w:p>
        </w:tc>
      </w:tr>
      <w:tr w14:paraId="73DC23A4">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left w:val="nil"/>
              <w:right w:val="single" w:color="auto" w:sz="4" w:space="0"/>
            </w:tcBorders>
            <w:noWrap w:val="0"/>
            <w:vAlign w:val="center"/>
          </w:tcPr>
          <w:p w14:paraId="11D7659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noWrap w:val="0"/>
            <w:vAlign w:val="center"/>
          </w:tcPr>
          <w:p w14:paraId="586ECDE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bottom w:val="single" w:color="auto" w:sz="4" w:space="0"/>
            </w:tcBorders>
            <w:noWrap w:val="0"/>
            <w:vAlign w:val="center"/>
          </w:tcPr>
          <w:p w14:paraId="6EAE00D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䓛</w:t>
            </w:r>
          </w:p>
        </w:tc>
        <w:tc>
          <w:tcPr>
            <w:tcW w:w="3447" w:type="dxa"/>
            <w:vMerge w:val="continue"/>
            <w:noWrap w:val="0"/>
            <w:vAlign w:val="center"/>
          </w:tcPr>
          <w:p w14:paraId="1D6D3D4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noWrap w:val="0"/>
            <w:vAlign w:val="center"/>
          </w:tcPr>
          <w:p w14:paraId="5858614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bottom w:val="single" w:color="auto" w:sz="4" w:space="0"/>
              <w:right w:val="nil"/>
            </w:tcBorders>
            <w:noWrap w:val="0"/>
            <w:vAlign w:val="center"/>
          </w:tcPr>
          <w:p w14:paraId="1BC849B4">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0.1</w:t>
            </w:r>
          </w:p>
        </w:tc>
      </w:tr>
      <w:tr w14:paraId="766C79C5">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left w:val="nil"/>
              <w:right w:val="single" w:color="auto" w:sz="4" w:space="0"/>
            </w:tcBorders>
            <w:noWrap w:val="0"/>
            <w:vAlign w:val="center"/>
          </w:tcPr>
          <w:p w14:paraId="2D4F3E2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noWrap w:val="0"/>
            <w:vAlign w:val="center"/>
          </w:tcPr>
          <w:p w14:paraId="6C8AA60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bottom w:val="single" w:color="auto" w:sz="4" w:space="0"/>
            </w:tcBorders>
            <w:noWrap w:val="0"/>
            <w:vAlign w:val="center"/>
          </w:tcPr>
          <w:p w14:paraId="2E92300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苯并(b)荧蒽</w:t>
            </w:r>
          </w:p>
        </w:tc>
        <w:tc>
          <w:tcPr>
            <w:tcW w:w="3447" w:type="dxa"/>
            <w:vMerge w:val="continue"/>
            <w:noWrap w:val="0"/>
            <w:vAlign w:val="center"/>
          </w:tcPr>
          <w:p w14:paraId="73E7ACA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noWrap w:val="0"/>
            <w:vAlign w:val="center"/>
          </w:tcPr>
          <w:p w14:paraId="61EA8A4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bottom w:val="single" w:color="auto" w:sz="4" w:space="0"/>
              <w:right w:val="nil"/>
            </w:tcBorders>
            <w:noWrap w:val="0"/>
            <w:vAlign w:val="center"/>
          </w:tcPr>
          <w:p w14:paraId="1D352E2F">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0.2</w:t>
            </w:r>
          </w:p>
        </w:tc>
      </w:tr>
      <w:tr w14:paraId="44DDD0E2">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left w:val="nil"/>
              <w:right w:val="single" w:color="auto" w:sz="4" w:space="0"/>
            </w:tcBorders>
            <w:noWrap w:val="0"/>
            <w:vAlign w:val="center"/>
          </w:tcPr>
          <w:p w14:paraId="48A5246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noWrap w:val="0"/>
            <w:vAlign w:val="center"/>
          </w:tcPr>
          <w:p w14:paraId="21C9F2D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bottom w:val="single" w:color="auto" w:sz="4" w:space="0"/>
            </w:tcBorders>
            <w:noWrap w:val="0"/>
            <w:vAlign w:val="center"/>
          </w:tcPr>
          <w:p w14:paraId="1DE2D58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苯并(k)荧蒽</w:t>
            </w:r>
          </w:p>
        </w:tc>
        <w:tc>
          <w:tcPr>
            <w:tcW w:w="3447" w:type="dxa"/>
            <w:vMerge w:val="continue"/>
            <w:noWrap w:val="0"/>
            <w:vAlign w:val="center"/>
          </w:tcPr>
          <w:p w14:paraId="01F3756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noWrap w:val="0"/>
            <w:vAlign w:val="center"/>
          </w:tcPr>
          <w:p w14:paraId="5B94B7A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bottom w:val="single" w:color="auto" w:sz="4" w:space="0"/>
              <w:right w:val="nil"/>
            </w:tcBorders>
            <w:noWrap w:val="0"/>
            <w:vAlign w:val="center"/>
          </w:tcPr>
          <w:p w14:paraId="79B233D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0.1</w:t>
            </w:r>
          </w:p>
        </w:tc>
      </w:tr>
      <w:tr w14:paraId="1D0E3420">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left w:val="nil"/>
              <w:right w:val="single" w:color="auto" w:sz="4" w:space="0"/>
            </w:tcBorders>
            <w:noWrap w:val="0"/>
            <w:vAlign w:val="center"/>
          </w:tcPr>
          <w:p w14:paraId="7A1C7BB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noWrap w:val="0"/>
            <w:vAlign w:val="center"/>
          </w:tcPr>
          <w:p w14:paraId="5C21950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bottom w:val="single" w:color="auto" w:sz="4" w:space="0"/>
            </w:tcBorders>
            <w:noWrap w:val="0"/>
            <w:vAlign w:val="center"/>
          </w:tcPr>
          <w:p w14:paraId="58DF26E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苯并(a)芘</w:t>
            </w:r>
          </w:p>
        </w:tc>
        <w:tc>
          <w:tcPr>
            <w:tcW w:w="3447" w:type="dxa"/>
            <w:vMerge w:val="continue"/>
            <w:noWrap w:val="0"/>
            <w:vAlign w:val="center"/>
          </w:tcPr>
          <w:p w14:paraId="5984AAE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noWrap w:val="0"/>
            <w:vAlign w:val="center"/>
          </w:tcPr>
          <w:p w14:paraId="54E3B2B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bottom w:val="single" w:color="auto" w:sz="4" w:space="0"/>
              <w:right w:val="nil"/>
            </w:tcBorders>
            <w:noWrap w:val="0"/>
            <w:vAlign w:val="center"/>
          </w:tcPr>
          <w:p w14:paraId="4165EDCD">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0.1</w:t>
            </w:r>
          </w:p>
        </w:tc>
      </w:tr>
      <w:tr w14:paraId="18AF0802">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left w:val="nil"/>
              <w:right w:val="single" w:color="auto" w:sz="4" w:space="0"/>
            </w:tcBorders>
            <w:noWrap w:val="0"/>
            <w:vAlign w:val="center"/>
          </w:tcPr>
          <w:p w14:paraId="68A033D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noWrap w:val="0"/>
            <w:vAlign w:val="center"/>
          </w:tcPr>
          <w:p w14:paraId="1C378F9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bottom w:val="single" w:color="auto" w:sz="4" w:space="0"/>
            </w:tcBorders>
            <w:noWrap w:val="0"/>
            <w:vAlign w:val="center"/>
          </w:tcPr>
          <w:p w14:paraId="41E59278">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茚并(1,2,3-cd)芘</w:t>
            </w:r>
          </w:p>
        </w:tc>
        <w:tc>
          <w:tcPr>
            <w:tcW w:w="3447" w:type="dxa"/>
            <w:vMerge w:val="continue"/>
            <w:noWrap w:val="0"/>
            <w:vAlign w:val="center"/>
          </w:tcPr>
          <w:p w14:paraId="75D9AEB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noWrap w:val="0"/>
            <w:vAlign w:val="center"/>
          </w:tcPr>
          <w:p w14:paraId="5EF55AE2">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bottom w:val="single" w:color="auto" w:sz="4" w:space="0"/>
              <w:right w:val="nil"/>
            </w:tcBorders>
            <w:noWrap w:val="0"/>
            <w:vAlign w:val="center"/>
          </w:tcPr>
          <w:p w14:paraId="0794D42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0.1</w:t>
            </w:r>
          </w:p>
        </w:tc>
      </w:tr>
      <w:tr w14:paraId="3ED82310">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left w:val="nil"/>
              <w:right w:val="single" w:color="auto" w:sz="4" w:space="0"/>
            </w:tcBorders>
            <w:noWrap w:val="0"/>
            <w:vAlign w:val="center"/>
          </w:tcPr>
          <w:p w14:paraId="73A09FC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noWrap w:val="0"/>
            <w:vAlign w:val="center"/>
          </w:tcPr>
          <w:p w14:paraId="206343F4">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bottom w:val="single" w:color="auto" w:sz="4" w:space="0"/>
            </w:tcBorders>
            <w:noWrap w:val="0"/>
            <w:vAlign w:val="center"/>
          </w:tcPr>
          <w:p w14:paraId="797266C6">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二苯并(a,h)蒽</w:t>
            </w:r>
          </w:p>
        </w:tc>
        <w:tc>
          <w:tcPr>
            <w:tcW w:w="3447" w:type="dxa"/>
            <w:vMerge w:val="continue"/>
            <w:noWrap w:val="0"/>
            <w:vAlign w:val="center"/>
          </w:tcPr>
          <w:p w14:paraId="75EEFA7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noWrap w:val="0"/>
            <w:vAlign w:val="center"/>
          </w:tcPr>
          <w:p w14:paraId="29F687F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bottom w:val="single" w:color="auto" w:sz="4" w:space="0"/>
              <w:right w:val="nil"/>
            </w:tcBorders>
            <w:noWrap w:val="0"/>
            <w:vAlign w:val="center"/>
          </w:tcPr>
          <w:p w14:paraId="432124B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sz w:val="21"/>
                <w:szCs w:val="21"/>
                <w:highlight w:val="none"/>
              </w:rPr>
              <w:t>0.1</w:t>
            </w:r>
          </w:p>
        </w:tc>
      </w:tr>
      <w:tr w14:paraId="706310EF">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left w:val="nil"/>
              <w:right w:val="single" w:color="auto" w:sz="4" w:space="0"/>
            </w:tcBorders>
            <w:noWrap w:val="0"/>
            <w:vAlign w:val="center"/>
          </w:tcPr>
          <w:p w14:paraId="6E17E5C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tcBorders>
              <w:bottom w:val="single" w:color="auto" w:sz="12" w:space="0"/>
            </w:tcBorders>
            <w:noWrap w:val="0"/>
            <w:vAlign w:val="center"/>
          </w:tcPr>
          <w:p w14:paraId="09CF20E3">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bottom w:val="single" w:color="auto" w:sz="4" w:space="0"/>
            </w:tcBorders>
            <w:noWrap w:val="0"/>
            <w:vAlign w:val="center"/>
          </w:tcPr>
          <w:p w14:paraId="747FC1D2">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硝基苯</w:t>
            </w:r>
          </w:p>
        </w:tc>
        <w:tc>
          <w:tcPr>
            <w:tcW w:w="3447" w:type="dxa"/>
            <w:vMerge w:val="continue"/>
            <w:tcBorders>
              <w:bottom w:val="single" w:color="auto" w:sz="4" w:space="0"/>
            </w:tcBorders>
            <w:noWrap w:val="0"/>
            <w:vAlign w:val="center"/>
          </w:tcPr>
          <w:p w14:paraId="09A3CE0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597" w:type="dxa"/>
            <w:vMerge w:val="continue"/>
            <w:tcBorders>
              <w:bottom w:val="single" w:color="auto" w:sz="4" w:space="0"/>
            </w:tcBorders>
            <w:noWrap w:val="0"/>
            <w:vAlign w:val="center"/>
          </w:tcPr>
          <w:p w14:paraId="7E7E1C4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429" w:type="dxa"/>
            <w:tcBorders>
              <w:top w:val="single" w:color="auto" w:sz="4" w:space="0"/>
              <w:bottom w:val="single" w:color="auto" w:sz="4" w:space="0"/>
              <w:right w:val="nil"/>
            </w:tcBorders>
            <w:noWrap w:val="0"/>
            <w:vAlign w:val="center"/>
          </w:tcPr>
          <w:p w14:paraId="4867ABCA">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0.09</w:t>
            </w:r>
          </w:p>
        </w:tc>
      </w:tr>
      <w:tr w14:paraId="72DC04EE">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left w:val="nil"/>
              <w:right w:val="single" w:color="auto" w:sz="4" w:space="0"/>
            </w:tcBorders>
            <w:noWrap w:val="0"/>
            <w:vAlign w:val="center"/>
          </w:tcPr>
          <w:p w14:paraId="71A02AB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noWrap w:val="0"/>
            <w:vAlign w:val="center"/>
          </w:tcPr>
          <w:p w14:paraId="46A0C01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bottom w:val="single" w:color="auto" w:sz="4" w:space="0"/>
            </w:tcBorders>
            <w:noWrap w:val="0"/>
            <w:vAlign w:val="center"/>
          </w:tcPr>
          <w:p w14:paraId="4E1D1763">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苯胺</w:t>
            </w:r>
          </w:p>
        </w:tc>
        <w:tc>
          <w:tcPr>
            <w:tcW w:w="3447" w:type="dxa"/>
            <w:tcBorders>
              <w:top w:val="single" w:color="auto" w:sz="4" w:space="0"/>
              <w:bottom w:val="single" w:color="auto" w:sz="4" w:space="0"/>
            </w:tcBorders>
            <w:noWrap w:val="0"/>
            <w:vAlign w:val="center"/>
          </w:tcPr>
          <w:p w14:paraId="02433C2B">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半挥发性有机化合物的测定 气</w:t>
            </w:r>
            <w:r>
              <w:rPr>
                <w:rFonts w:hint="default" w:ascii="Times New Roman" w:hAnsi="Times New Roman" w:cs="Times New Roman"/>
                <w:color w:val="000000"/>
                <w:sz w:val="21"/>
                <w:szCs w:val="21"/>
                <w:highlight w:val="none"/>
                <w:lang w:eastAsia="zh-CN"/>
              </w:rPr>
              <w:t>相</w:t>
            </w:r>
            <w:r>
              <w:rPr>
                <w:rFonts w:hint="default" w:ascii="Times New Roman" w:hAnsi="Times New Roman" w:cs="Times New Roman"/>
                <w:color w:val="000000"/>
                <w:sz w:val="21"/>
                <w:szCs w:val="21"/>
                <w:highlight w:val="none"/>
              </w:rPr>
              <w:t>色谱-质谱法</w:t>
            </w:r>
          </w:p>
        </w:tc>
        <w:tc>
          <w:tcPr>
            <w:tcW w:w="1597" w:type="dxa"/>
            <w:tcBorders>
              <w:top w:val="single" w:color="auto" w:sz="4" w:space="0"/>
              <w:bottom w:val="single" w:color="auto" w:sz="4" w:space="0"/>
            </w:tcBorders>
            <w:noWrap w:val="0"/>
            <w:vAlign w:val="center"/>
          </w:tcPr>
          <w:p w14:paraId="4E426FD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USEPA 8270E Rev.6 (2017.2)</w:t>
            </w:r>
          </w:p>
        </w:tc>
        <w:tc>
          <w:tcPr>
            <w:tcW w:w="1429" w:type="dxa"/>
            <w:tcBorders>
              <w:top w:val="single" w:color="auto" w:sz="4" w:space="0"/>
              <w:bottom w:val="single" w:color="auto" w:sz="4" w:space="0"/>
              <w:right w:val="nil"/>
            </w:tcBorders>
            <w:noWrap w:val="0"/>
            <w:vAlign w:val="center"/>
          </w:tcPr>
          <w:p w14:paraId="1D50076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0.1</w:t>
            </w:r>
          </w:p>
        </w:tc>
      </w:tr>
      <w:tr w14:paraId="6BBCD403">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restart"/>
            <w:tcBorders>
              <w:left w:val="nil"/>
              <w:right w:val="single" w:color="auto" w:sz="4" w:space="0"/>
            </w:tcBorders>
            <w:noWrap w:val="0"/>
            <w:vAlign w:val="center"/>
          </w:tcPr>
          <w:p w14:paraId="2768EA6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restart"/>
            <w:noWrap w:val="0"/>
            <w:vAlign w:val="center"/>
          </w:tcPr>
          <w:p w14:paraId="27813C6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cs="Times New Roman"/>
                <w:color w:val="000000"/>
                <w:sz w:val="21"/>
                <w:szCs w:val="21"/>
                <w:highlight w:val="none"/>
                <w:lang w:eastAsia="zh-CN"/>
              </w:rPr>
              <w:t>其他项目</w:t>
            </w:r>
          </w:p>
        </w:tc>
        <w:tc>
          <w:tcPr>
            <w:tcW w:w="1807" w:type="dxa"/>
            <w:tcBorders>
              <w:top w:val="single" w:color="auto" w:sz="4" w:space="0"/>
              <w:bottom w:val="single" w:color="auto" w:sz="4" w:space="0"/>
            </w:tcBorders>
            <w:noWrap w:val="0"/>
            <w:vAlign w:val="center"/>
          </w:tcPr>
          <w:p w14:paraId="3395C2E0">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000000"/>
                <w:sz w:val="21"/>
                <w:szCs w:val="21"/>
                <w:highlight w:val="none"/>
                <w:lang w:eastAsia="zh-CN"/>
              </w:rPr>
            </w:pPr>
            <w:r>
              <w:rPr>
                <w:rFonts w:hint="default" w:ascii="Times New Roman" w:hAnsi="Times New Roman" w:cs="Times New Roman"/>
                <w:color w:val="000000"/>
                <w:sz w:val="21"/>
                <w:szCs w:val="21"/>
                <w:highlight w:val="none"/>
                <w:lang w:eastAsia="zh-CN"/>
              </w:rPr>
              <w:t>二噁英</w:t>
            </w:r>
          </w:p>
        </w:tc>
        <w:tc>
          <w:tcPr>
            <w:tcW w:w="3447" w:type="dxa"/>
            <w:tcBorders>
              <w:top w:val="single" w:color="auto" w:sz="4" w:space="0"/>
              <w:bottom w:val="single" w:color="auto" w:sz="4" w:space="0"/>
            </w:tcBorders>
            <w:noWrap w:val="0"/>
            <w:vAlign w:val="center"/>
          </w:tcPr>
          <w:p w14:paraId="5F2AC0D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r>
              <w:rPr>
                <w:rFonts w:hint="default" w:ascii="Times New Roman" w:hAnsi="Times New Roman" w:eastAsia="宋体" w:cs="Times New Roman"/>
                <w:sz w:val="21"/>
                <w:szCs w:val="21"/>
                <w:highlight w:val="none"/>
              </w:rPr>
              <w:t>土壤和沉积物 二噁英类的测定 同位素稀释高分辨气相 色谱-高分辨率质谱法</w:t>
            </w:r>
          </w:p>
        </w:tc>
        <w:tc>
          <w:tcPr>
            <w:tcW w:w="1597" w:type="dxa"/>
            <w:tcBorders>
              <w:top w:val="single" w:color="auto" w:sz="4" w:space="0"/>
              <w:bottom w:val="single" w:color="auto" w:sz="4" w:space="0"/>
            </w:tcBorders>
            <w:noWrap w:val="0"/>
            <w:vAlign w:val="center"/>
          </w:tcPr>
          <w:p w14:paraId="59915666">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r>
              <w:rPr>
                <w:rFonts w:hint="default" w:ascii="Times New Roman" w:hAnsi="Times New Roman" w:eastAsia="宋体" w:cs="Times New Roman"/>
                <w:sz w:val="21"/>
                <w:szCs w:val="21"/>
                <w:highlight w:val="none"/>
              </w:rPr>
              <w:t>HJ 77.4-2008</w:t>
            </w:r>
          </w:p>
        </w:tc>
        <w:tc>
          <w:tcPr>
            <w:tcW w:w="1429" w:type="dxa"/>
            <w:tcBorders>
              <w:top w:val="single" w:color="auto" w:sz="4" w:space="0"/>
              <w:bottom w:val="single" w:color="auto" w:sz="4" w:space="0"/>
              <w:right w:val="nil"/>
            </w:tcBorders>
            <w:noWrap w:val="0"/>
            <w:vAlign w:val="center"/>
          </w:tcPr>
          <w:p w14:paraId="03DD8A35">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cs="Times New Roman"/>
                <w:color w:val="000000"/>
                <w:sz w:val="21"/>
                <w:szCs w:val="21"/>
                <w:highlight w:val="none"/>
                <w:lang w:val="en-US" w:eastAsia="zh-CN"/>
              </w:rPr>
              <w:t>/②</w:t>
            </w:r>
          </w:p>
        </w:tc>
      </w:tr>
      <w:tr w14:paraId="481D2156">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left w:val="nil"/>
              <w:right w:val="single" w:color="auto" w:sz="4" w:space="0"/>
            </w:tcBorders>
            <w:noWrap w:val="0"/>
            <w:vAlign w:val="center"/>
          </w:tcPr>
          <w:p w14:paraId="25875ED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noWrap w:val="0"/>
            <w:vAlign w:val="center"/>
          </w:tcPr>
          <w:p w14:paraId="7CC81AB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bottom w:val="single" w:color="auto" w:sz="4" w:space="0"/>
            </w:tcBorders>
            <w:noWrap w:val="0"/>
            <w:vAlign w:val="center"/>
          </w:tcPr>
          <w:p w14:paraId="6FA2504E">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lang w:eastAsia="zh-CN"/>
              </w:rPr>
            </w:pPr>
            <w:r>
              <w:rPr>
                <w:rFonts w:hint="default" w:ascii="Times New Roman" w:hAnsi="Times New Roman" w:cs="Times New Roman"/>
                <w:color w:val="000000"/>
                <w:sz w:val="21"/>
                <w:szCs w:val="21"/>
                <w:highlight w:val="none"/>
                <w:lang w:eastAsia="zh-CN"/>
              </w:rPr>
              <w:t>氰化物</w:t>
            </w:r>
          </w:p>
        </w:tc>
        <w:tc>
          <w:tcPr>
            <w:tcW w:w="3447" w:type="dxa"/>
            <w:tcBorders>
              <w:top w:val="single" w:color="auto" w:sz="4" w:space="0"/>
              <w:bottom w:val="single" w:color="auto" w:sz="4" w:space="0"/>
            </w:tcBorders>
            <w:noWrap w:val="0"/>
            <w:vAlign w:val="center"/>
          </w:tcPr>
          <w:p w14:paraId="137AB7A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土壤 氰化物和总氰化物的测定</w:t>
            </w:r>
          </w:p>
          <w:p w14:paraId="379069E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分光光度法</w:t>
            </w:r>
          </w:p>
        </w:tc>
        <w:tc>
          <w:tcPr>
            <w:tcW w:w="1597" w:type="dxa"/>
            <w:tcBorders>
              <w:top w:val="single" w:color="auto" w:sz="4" w:space="0"/>
              <w:bottom w:val="single" w:color="auto" w:sz="4" w:space="0"/>
            </w:tcBorders>
            <w:noWrap w:val="0"/>
            <w:vAlign w:val="center"/>
          </w:tcPr>
          <w:p w14:paraId="23F714A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HJ 745-2015</w:t>
            </w:r>
          </w:p>
        </w:tc>
        <w:tc>
          <w:tcPr>
            <w:tcW w:w="1429" w:type="dxa"/>
            <w:tcBorders>
              <w:top w:val="single" w:color="auto" w:sz="4" w:space="0"/>
              <w:bottom w:val="single" w:color="auto" w:sz="4" w:space="0"/>
              <w:right w:val="nil"/>
            </w:tcBorders>
            <w:noWrap w:val="0"/>
            <w:vAlign w:val="center"/>
          </w:tcPr>
          <w:p w14:paraId="745FB296">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lang w:val="en-US" w:eastAsia="zh-CN"/>
              </w:rPr>
            </w:pPr>
            <w:r>
              <w:rPr>
                <w:rFonts w:hint="default" w:ascii="Times New Roman" w:hAnsi="Times New Roman" w:cs="Times New Roman"/>
                <w:color w:val="000000"/>
                <w:sz w:val="21"/>
                <w:szCs w:val="21"/>
                <w:highlight w:val="none"/>
                <w:lang w:val="en-US" w:eastAsia="zh-CN"/>
              </w:rPr>
              <w:t>0.01</w:t>
            </w:r>
          </w:p>
        </w:tc>
      </w:tr>
      <w:tr w14:paraId="048F376E">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22" w:type="dxa"/>
            <w:vMerge w:val="continue"/>
            <w:tcBorders>
              <w:left w:val="nil"/>
              <w:right w:val="single" w:color="auto" w:sz="4" w:space="0"/>
            </w:tcBorders>
            <w:noWrap w:val="0"/>
            <w:vAlign w:val="center"/>
          </w:tcPr>
          <w:p w14:paraId="28A582E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896" w:type="dxa"/>
            <w:vMerge w:val="continue"/>
            <w:noWrap w:val="0"/>
            <w:vAlign w:val="center"/>
          </w:tcPr>
          <w:p w14:paraId="5E580A9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highlight w:val="none"/>
              </w:rPr>
            </w:pPr>
          </w:p>
        </w:tc>
        <w:tc>
          <w:tcPr>
            <w:tcW w:w="1807" w:type="dxa"/>
            <w:tcBorders>
              <w:top w:val="single" w:color="auto" w:sz="4" w:space="0"/>
              <w:bottom w:val="single" w:color="auto" w:sz="12" w:space="0"/>
            </w:tcBorders>
            <w:noWrap w:val="0"/>
            <w:vAlign w:val="center"/>
          </w:tcPr>
          <w:p w14:paraId="2A08DEE9">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lang w:eastAsia="zh-CN"/>
              </w:rPr>
            </w:pPr>
            <w:r>
              <w:rPr>
                <w:rFonts w:hint="default" w:ascii="Times New Roman" w:hAnsi="Times New Roman" w:cs="Times New Roman"/>
                <w:color w:val="000000"/>
                <w:sz w:val="21"/>
                <w:szCs w:val="21"/>
                <w:highlight w:val="none"/>
                <w:lang w:eastAsia="zh-CN"/>
              </w:rPr>
              <w:t>多氯联苯类</w:t>
            </w:r>
          </w:p>
        </w:tc>
        <w:tc>
          <w:tcPr>
            <w:tcW w:w="3447" w:type="dxa"/>
            <w:tcBorders>
              <w:top w:val="single" w:color="auto" w:sz="4" w:space="0"/>
              <w:bottom w:val="single" w:color="auto" w:sz="12" w:space="0"/>
            </w:tcBorders>
            <w:noWrap w:val="0"/>
            <w:vAlign w:val="center"/>
          </w:tcPr>
          <w:p w14:paraId="2C689D2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eastAsia="zh-CN"/>
              </w:rPr>
              <w:t>土壤和沉积物</w:t>
            </w:r>
            <w:r>
              <w:rPr>
                <w:rFonts w:hint="default" w:ascii="Times New Roman" w:hAnsi="Times New Roman" w:cs="Times New Roman"/>
                <w:sz w:val="21"/>
                <w:szCs w:val="21"/>
                <w:highlight w:val="none"/>
                <w:lang w:val="en-US" w:eastAsia="zh-CN"/>
              </w:rPr>
              <w:t xml:space="preserve"> 多氯联苯的测定 气相色谱-质谱法</w:t>
            </w:r>
          </w:p>
        </w:tc>
        <w:tc>
          <w:tcPr>
            <w:tcW w:w="1597" w:type="dxa"/>
            <w:tcBorders>
              <w:top w:val="single" w:color="auto" w:sz="4" w:space="0"/>
              <w:bottom w:val="single" w:color="auto" w:sz="12" w:space="0"/>
            </w:tcBorders>
            <w:noWrap w:val="0"/>
            <w:vAlign w:val="center"/>
          </w:tcPr>
          <w:p w14:paraId="4E16E6F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HJ 743-2015</w:t>
            </w:r>
          </w:p>
        </w:tc>
        <w:tc>
          <w:tcPr>
            <w:tcW w:w="1429" w:type="dxa"/>
            <w:tcBorders>
              <w:top w:val="single" w:color="auto" w:sz="4" w:space="0"/>
              <w:bottom w:val="single" w:color="auto" w:sz="12" w:space="0"/>
              <w:right w:val="nil"/>
            </w:tcBorders>
            <w:noWrap w:val="0"/>
            <w:vAlign w:val="center"/>
          </w:tcPr>
          <w:p w14:paraId="7EABA568">
            <w:pPr>
              <w:keepNext w:val="0"/>
              <w:keepLines w:val="0"/>
              <w:suppressLineNumbers w:val="0"/>
              <w:overflowPunct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000000"/>
                <w:sz w:val="21"/>
                <w:szCs w:val="21"/>
                <w:highlight w:val="none"/>
                <w:lang w:val="en-US" w:eastAsia="zh-CN"/>
              </w:rPr>
            </w:pPr>
            <w:r>
              <w:rPr>
                <w:rFonts w:hint="default" w:ascii="Times New Roman" w:hAnsi="Times New Roman" w:cs="Times New Roman"/>
                <w:color w:val="000000"/>
                <w:sz w:val="21"/>
                <w:szCs w:val="21"/>
                <w:highlight w:val="none"/>
                <w:lang w:val="en-US" w:eastAsia="zh-CN"/>
              </w:rPr>
              <w:t>20</w:t>
            </w:r>
          </w:p>
        </w:tc>
      </w:tr>
    </w:tbl>
    <w:p w14:paraId="461FF51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18"/>
          <w:szCs w:val="18"/>
          <w:highlight w:val="none"/>
          <w:lang w:eastAsia="zh-CN"/>
        </w:rPr>
      </w:pPr>
      <w:r>
        <w:rPr>
          <w:rFonts w:hint="default" w:ascii="Times New Roman" w:hAnsi="Times New Roman" w:cs="Times New Roman"/>
          <w:b/>
          <w:bCs/>
          <w:sz w:val="18"/>
          <w:szCs w:val="18"/>
          <w:highlight w:val="none"/>
          <w:lang w:eastAsia="zh-CN"/>
        </w:rPr>
        <w:t>注：①检出限均为检测单位给出的报告限，下同。</w:t>
      </w:r>
    </w:p>
    <w:p w14:paraId="0C966557">
      <w:pPr>
        <w:pStyle w:val="2"/>
        <w:keepNext w:val="0"/>
        <w:keepLines w:val="0"/>
        <w:pageBreakBefore w:val="0"/>
        <w:widowControl w:val="0"/>
        <w:kinsoku/>
        <w:wordWrap/>
        <w:overflowPunct/>
        <w:topLinePunct w:val="0"/>
        <w:autoSpaceDE/>
        <w:autoSpaceDN/>
        <w:bidi w:val="0"/>
        <w:adjustRightInd/>
        <w:snapToGrid/>
        <w:spacing w:after="0" w:line="240" w:lineRule="auto"/>
        <w:ind w:firstLine="420" w:firstLineChars="0"/>
        <w:textAlignment w:val="auto"/>
        <w:rPr>
          <w:rFonts w:hint="default" w:ascii="Times New Roman" w:hAnsi="Times New Roman" w:cs="Times New Roman"/>
          <w:highlight w:val="none"/>
          <w:lang w:eastAsia="zh-CN"/>
        </w:rPr>
      </w:pPr>
      <w:r>
        <w:rPr>
          <w:rFonts w:hint="default" w:ascii="Times New Roman" w:hAnsi="Times New Roman" w:cs="Times New Roman"/>
          <w:b/>
          <w:bCs/>
          <w:sz w:val="18"/>
          <w:szCs w:val="18"/>
          <w:highlight w:val="none"/>
          <w:lang w:eastAsia="zh-CN"/>
        </w:rPr>
        <w:t>②“</w:t>
      </w:r>
      <w:r>
        <w:rPr>
          <w:rFonts w:hint="default" w:ascii="Times New Roman" w:hAnsi="Times New Roman" w:cs="Times New Roman"/>
          <w:b/>
          <w:bCs/>
          <w:sz w:val="18"/>
          <w:szCs w:val="18"/>
          <w:highlight w:val="none"/>
          <w:lang w:val="en-US" w:eastAsia="zh-CN"/>
        </w:rPr>
        <w:t>/</w:t>
      </w:r>
      <w:r>
        <w:rPr>
          <w:rFonts w:hint="default" w:ascii="Times New Roman" w:hAnsi="Times New Roman" w:cs="Times New Roman"/>
          <w:b/>
          <w:bCs/>
          <w:sz w:val="18"/>
          <w:szCs w:val="18"/>
          <w:highlight w:val="none"/>
          <w:lang w:eastAsia="zh-CN"/>
        </w:rPr>
        <w:t>”代表方法未给出检出限。根据“</w:t>
      </w:r>
      <w:r>
        <w:rPr>
          <w:rFonts w:hint="default" w:ascii="Times New Roman" w:hAnsi="Times New Roman" w:cs="Times New Roman"/>
          <w:b/>
          <w:bCs/>
          <w:sz w:val="18"/>
          <w:szCs w:val="18"/>
          <w:highlight w:val="none"/>
          <w:lang w:val="en-US" w:eastAsia="zh-CN"/>
        </w:rPr>
        <w:t>HJ77.4-2008</w:t>
      </w:r>
      <w:r>
        <w:rPr>
          <w:rFonts w:hint="default" w:ascii="Times New Roman" w:hAnsi="Times New Roman" w:cs="Times New Roman"/>
          <w:b/>
          <w:bCs/>
          <w:sz w:val="18"/>
          <w:szCs w:val="18"/>
          <w:highlight w:val="none"/>
          <w:lang w:eastAsia="zh-CN"/>
        </w:rPr>
        <w:t>”二噁英为一类物质的总称，单项指标有多种同分异构体，故其进行评价时应计算参考总毒性当量，故不给出检出限。</w:t>
      </w:r>
    </w:p>
    <w:p w14:paraId="0BC3D1D5">
      <w:pPr>
        <w:bidi w:val="0"/>
        <w:jc w:val="center"/>
        <w:rPr>
          <w:rFonts w:hint="default" w:ascii="Times New Roman" w:hAnsi="Times New Roman" w:cs="Times New Roman"/>
          <w:b/>
          <w:bCs/>
          <w:sz w:val="24"/>
          <w:szCs w:val="24"/>
          <w:highlight w:val="none"/>
        </w:rPr>
      </w:pPr>
      <w:r>
        <w:rPr>
          <w:rFonts w:hint="default" w:ascii="Times New Roman" w:hAnsi="Times New Roman" w:cs="Times New Roman"/>
          <w:b/>
          <w:bCs/>
          <w:sz w:val="24"/>
          <w:szCs w:val="24"/>
          <w:highlight w:val="none"/>
        </w:rPr>
        <w:t>表4-</w:t>
      </w:r>
      <w:r>
        <w:rPr>
          <w:rFonts w:hint="default" w:ascii="Times New Roman" w:hAnsi="Times New Roman" w:cs="Times New Roman"/>
          <w:b/>
          <w:bCs/>
          <w:sz w:val="24"/>
          <w:szCs w:val="24"/>
          <w:highlight w:val="none"/>
          <w:lang w:val="en-US" w:eastAsia="zh-CN"/>
        </w:rPr>
        <w:t>4</w:t>
      </w:r>
      <w:r>
        <w:rPr>
          <w:rFonts w:hint="default" w:ascii="Times New Roman" w:hAnsi="Times New Roman" w:cs="Times New Roman"/>
          <w:b/>
          <w:bCs/>
          <w:sz w:val="24"/>
          <w:szCs w:val="24"/>
          <w:highlight w:val="none"/>
        </w:rPr>
        <w:t>-</w:t>
      </w:r>
      <w:r>
        <w:rPr>
          <w:rFonts w:hint="default" w:ascii="Times New Roman" w:hAnsi="Times New Roman" w:cs="Times New Roman"/>
          <w:b/>
          <w:bCs/>
          <w:sz w:val="24"/>
          <w:szCs w:val="24"/>
          <w:highlight w:val="none"/>
          <w:lang w:val="en-US" w:eastAsia="zh-CN"/>
        </w:rPr>
        <w:t>2</w:t>
      </w:r>
      <w:r>
        <w:rPr>
          <w:rFonts w:hint="default" w:ascii="Times New Roman" w:hAnsi="Times New Roman" w:cs="Times New Roman"/>
          <w:b/>
          <w:bCs/>
          <w:sz w:val="24"/>
          <w:szCs w:val="24"/>
          <w:highlight w:val="none"/>
        </w:rPr>
        <w:t xml:space="preserve">  </w:t>
      </w:r>
      <w:r>
        <w:rPr>
          <w:rFonts w:hint="default" w:ascii="Times New Roman" w:hAnsi="Times New Roman" w:cs="Times New Roman"/>
          <w:b/>
          <w:bCs/>
          <w:sz w:val="24"/>
          <w:szCs w:val="24"/>
          <w:highlight w:val="none"/>
          <w:lang w:eastAsia="zh-CN"/>
        </w:rPr>
        <w:t>地下水</w:t>
      </w:r>
      <w:r>
        <w:rPr>
          <w:rFonts w:hint="default" w:ascii="Times New Roman" w:hAnsi="Times New Roman" w:cs="Times New Roman"/>
          <w:b/>
          <w:bCs/>
          <w:sz w:val="24"/>
          <w:szCs w:val="24"/>
          <w:highlight w:val="none"/>
        </w:rPr>
        <w:t>监测分析方法及检出限汇总</w:t>
      </w:r>
    </w:p>
    <w:tbl>
      <w:tblPr>
        <w:tblStyle w:val="21"/>
        <w:tblW w:w="961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38"/>
        <w:gridCol w:w="1407"/>
        <w:gridCol w:w="3470"/>
        <w:gridCol w:w="2475"/>
        <w:gridCol w:w="1222"/>
      </w:tblGrid>
      <w:tr w14:paraId="674520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blHeader/>
          <w:jc w:val="center"/>
        </w:trPr>
        <w:tc>
          <w:tcPr>
            <w:tcW w:w="1038" w:type="dxa"/>
            <w:tcBorders>
              <w:bottom w:val="single" w:color="auto" w:sz="12" w:space="0"/>
            </w:tcBorders>
            <w:shd w:val="clear" w:color="auto" w:fill="auto"/>
            <w:tcMar>
              <w:top w:w="15" w:type="dxa"/>
              <w:left w:w="15" w:type="dxa"/>
              <w:right w:w="15" w:type="dxa"/>
            </w:tcMar>
            <w:vAlign w:val="center"/>
          </w:tcPr>
          <w:p w14:paraId="330F3B6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样品类型</w:t>
            </w:r>
          </w:p>
        </w:tc>
        <w:tc>
          <w:tcPr>
            <w:tcW w:w="1407" w:type="dxa"/>
            <w:tcBorders>
              <w:bottom w:val="single" w:color="auto" w:sz="12" w:space="0"/>
            </w:tcBorders>
            <w:shd w:val="clear" w:color="auto" w:fill="auto"/>
            <w:tcMar>
              <w:top w:w="15" w:type="dxa"/>
              <w:left w:w="15" w:type="dxa"/>
              <w:right w:w="15" w:type="dxa"/>
            </w:tcMar>
            <w:vAlign w:val="center"/>
          </w:tcPr>
          <w:p w14:paraId="4C298D4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检测项目</w:t>
            </w:r>
          </w:p>
        </w:tc>
        <w:tc>
          <w:tcPr>
            <w:tcW w:w="3470" w:type="dxa"/>
            <w:tcBorders>
              <w:bottom w:val="single" w:color="auto" w:sz="12" w:space="0"/>
            </w:tcBorders>
            <w:shd w:val="clear" w:color="auto" w:fill="auto"/>
            <w:tcMar>
              <w:top w:w="15" w:type="dxa"/>
              <w:left w:w="15" w:type="dxa"/>
              <w:right w:w="15" w:type="dxa"/>
            </w:tcMar>
            <w:vAlign w:val="center"/>
          </w:tcPr>
          <w:p w14:paraId="3C9233A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分析方法及依据</w:t>
            </w:r>
          </w:p>
        </w:tc>
        <w:tc>
          <w:tcPr>
            <w:tcW w:w="2475" w:type="dxa"/>
            <w:tcBorders>
              <w:bottom w:val="single" w:color="auto" w:sz="12" w:space="0"/>
            </w:tcBorders>
            <w:shd w:val="clear" w:color="auto" w:fill="auto"/>
            <w:noWrap/>
            <w:tcMar>
              <w:top w:w="15" w:type="dxa"/>
              <w:left w:w="15" w:type="dxa"/>
              <w:right w:w="15" w:type="dxa"/>
            </w:tcMar>
            <w:vAlign w:val="center"/>
          </w:tcPr>
          <w:p w14:paraId="28850E9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标准编号</w:t>
            </w:r>
          </w:p>
        </w:tc>
        <w:tc>
          <w:tcPr>
            <w:tcW w:w="1222" w:type="dxa"/>
            <w:tcBorders>
              <w:bottom w:val="single" w:color="auto" w:sz="12" w:space="0"/>
            </w:tcBorders>
            <w:shd w:val="clear" w:color="auto" w:fill="auto"/>
            <w:tcMar>
              <w:top w:w="15" w:type="dxa"/>
              <w:left w:w="15" w:type="dxa"/>
              <w:right w:w="15" w:type="dxa"/>
            </w:tcMar>
            <w:vAlign w:val="center"/>
          </w:tcPr>
          <w:p w14:paraId="136EC8C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检出限</w:t>
            </w:r>
          </w:p>
        </w:tc>
      </w:tr>
      <w:tr w14:paraId="7F4259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restart"/>
            <w:tcBorders>
              <w:top w:val="single" w:color="auto" w:sz="12" w:space="0"/>
              <w:tl2br w:val="nil"/>
              <w:tr2bl w:val="nil"/>
            </w:tcBorders>
            <w:shd w:val="clear" w:color="auto" w:fill="auto"/>
            <w:tcMar>
              <w:top w:w="15" w:type="dxa"/>
              <w:left w:w="15" w:type="dxa"/>
              <w:right w:w="15" w:type="dxa"/>
            </w:tcMar>
            <w:vAlign w:val="center"/>
          </w:tcPr>
          <w:p w14:paraId="674A272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地下水</w:t>
            </w:r>
          </w:p>
        </w:tc>
        <w:tc>
          <w:tcPr>
            <w:tcW w:w="1407" w:type="dxa"/>
            <w:tcBorders>
              <w:top w:val="single" w:color="auto" w:sz="12" w:space="0"/>
              <w:tl2br w:val="nil"/>
              <w:tr2bl w:val="nil"/>
            </w:tcBorders>
            <w:shd w:val="clear" w:color="auto" w:fill="auto"/>
            <w:tcMar>
              <w:top w:w="15" w:type="dxa"/>
              <w:left w:w="15" w:type="dxa"/>
              <w:right w:w="15" w:type="dxa"/>
            </w:tcMar>
            <w:vAlign w:val="center"/>
          </w:tcPr>
          <w:p w14:paraId="192CA8C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pH值</w:t>
            </w:r>
          </w:p>
        </w:tc>
        <w:tc>
          <w:tcPr>
            <w:tcW w:w="3470" w:type="dxa"/>
            <w:tcBorders>
              <w:top w:val="single" w:color="auto" w:sz="12" w:space="0"/>
              <w:tl2br w:val="nil"/>
              <w:tr2bl w:val="nil"/>
            </w:tcBorders>
            <w:shd w:val="clear" w:color="auto" w:fill="auto"/>
            <w:tcMar>
              <w:top w:w="15" w:type="dxa"/>
              <w:left w:w="15" w:type="dxa"/>
              <w:right w:w="15" w:type="dxa"/>
            </w:tcMar>
            <w:vAlign w:val="center"/>
          </w:tcPr>
          <w:p w14:paraId="01B41AA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水质 pH 值的测定 玻璃电极法</w:t>
            </w:r>
          </w:p>
        </w:tc>
        <w:tc>
          <w:tcPr>
            <w:tcW w:w="2475" w:type="dxa"/>
            <w:tcBorders>
              <w:top w:val="single" w:color="auto" w:sz="12" w:space="0"/>
              <w:tl2br w:val="nil"/>
              <w:tr2bl w:val="nil"/>
            </w:tcBorders>
            <w:shd w:val="clear" w:color="auto" w:fill="auto"/>
            <w:noWrap/>
            <w:tcMar>
              <w:top w:w="15" w:type="dxa"/>
              <w:left w:w="15" w:type="dxa"/>
              <w:right w:w="15" w:type="dxa"/>
            </w:tcMar>
            <w:vAlign w:val="center"/>
          </w:tcPr>
          <w:p w14:paraId="76B6158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GB 6920-1986</w:t>
            </w:r>
          </w:p>
        </w:tc>
        <w:tc>
          <w:tcPr>
            <w:tcW w:w="1222" w:type="dxa"/>
            <w:tcBorders>
              <w:top w:val="single" w:color="auto" w:sz="12" w:space="0"/>
              <w:tl2br w:val="nil"/>
              <w:tr2bl w:val="nil"/>
            </w:tcBorders>
            <w:shd w:val="clear" w:color="auto" w:fill="auto"/>
            <w:tcMar>
              <w:top w:w="15" w:type="dxa"/>
              <w:left w:w="15" w:type="dxa"/>
              <w:right w:w="15" w:type="dxa"/>
            </w:tcMar>
            <w:vAlign w:val="center"/>
          </w:tcPr>
          <w:p w14:paraId="0B75B53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eastAsia" w:cs="Times New Roman"/>
                <w:i w:val="0"/>
                <w:color w:val="000000"/>
                <w:kern w:val="0"/>
                <w:sz w:val="21"/>
                <w:szCs w:val="21"/>
                <w:highlight w:val="none"/>
                <w:u w:val="none"/>
                <w:vertAlign w:val="superscript"/>
                <w:lang w:val="en-US" w:eastAsia="zh-CN" w:bidi="ar"/>
              </w:rPr>
              <w:t>①</w:t>
            </w:r>
          </w:p>
        </w:tc>
      </w:tr>
      <w:tr w14:paraId="24D3DA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478D612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79D26D5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总硬度</w:t>
            </w:r>
          </w:p>
        </w:tc>
        <w:tc>
          <w:tcPr>
            <w:tcW w:w="3470" w:type="dxa"/>
            <w:tcBorders>
              <w:tl2br w:val="nil"/>
              <w:tr2bl w:val="nil"/>
            </w:tcBorders>
            <w:shd w:val="clear" w:color="auto" w:fill="auto"/>
            <w:tcMar>
              <w:top w:w="15" w:type="dxa"/>
              <w:left w:w="15" w:type="dxa"/>
              <w:right w:w="15" w:type="dxa"/>
            </w:tcMar>
            <w:vAlign w:val="center"/>
          </w:tcPr>
          <w:p w14:paraId="563FB2D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生活饮用水标准检验方法 感官性状</w:t>
            </w:r>
            <w:r>
              <w:rPr>
                <w:rFonts w:hint="default" w:ascii="Times New Roman" w:hAnsi="Times New Roman" w:eastAsia="宋体" w:cs="Times New Roman"/>
                <w:i w:val="0"/>
                <w:color w:val="000000"/>
                <w:kern w:val="0"/>
                <w:sz w:val="21"/>
                <w:szCs w:val="21"/>
                <w:highlight w:val="none"/>
                <w:u w:val="none"/>
                <w:lang w:val="en-US" w:eastAsia="zh-CN" w:bidi="ar"/>
              </w:rPr>
              <w:br w:type="textWrapping"/>
            </w:r>
            <w:r>
              <w:rPr>
                <w:rFonts w:hint="default" w:ascii="Times New Roman" w:hAnsi="Times New Roman" w:eastAsia="宋体" w:cs="Times New Roman"/>
                <w:i w:val="0"/>
                <w:color w:val="000000"/>
                <w:kern w:val="0"/>
                <w:sz w:val="21"/>
                <w:szCs w:val="21"/>
                <w:highlight w:val="none"/>
                <w:u w:val="none"/>
                <w:lang w:val="en-US" w:eastAsia="zh-CN" w:bidi="ar"/>
              </w:rPr>
              <w:t>和物理指标 乙二胺四乙酸二钠滴定法</w:t>
            </w:r>
          </w:p>
        </w:tc>
        <w:tc>
          <w:tcPr>
            <w:tcW w:w="2475" w:type="dxa"/>
            <w:tcBorders>
              <w:tl2br w:val="nil"/>
              <w:tr2bl w:val="nil"/>
            </w:tcBorders>
            <w:shd w:val="clear" w:color="auto" w:fill="auto"/>
            <w:noWrap/>
            <w:tcMar>
              <w:top w:w="15" w:type="dxa"/>
              <w:left w:w="15" w:type="dxa"/>
              <w:right w:w="15" w:type="dxa"/>
            </w:tcMar>
            <w:vAlign w:val="center"/>
          </w:tcPr>
          <w:p w14:paraId="237D4E1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GB/T 5750.4-2006</w:t>
            </w:r>
          </w:p>
        </w:tc>
        <w:tc>
          <w:tcPr>
            <w:tcW w:w="1222" w:type="dxa"/>
            <w:tcBorders>
              <w:tl2br w:val="nil"/>
              <w:tr2bl w:val="nil"/>
            </w:tcBorders>
            <w:shd w:val="clear" w:color="auto" w:fill="auto"/>
            <w:tcMar>
              <w:top w:w="15" w:type="dxa"/>
              <w:left w:w="15" w:type="dxa"/>
              <w:right w:w="15" w:type="dxa"/>
            </w:tcMar>
            <w:vAlign w:val="center"/>
          </w:tcPr>
          <w:p w14:paraId="6C9ACC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1.0mg/L</w:t>
            </w:r>
          </w:p>
        </w:tc>
      </w:tr>
      <w:tr w14:paraId="437392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33740F9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7DD215D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溶解性总固体</w:t>
            </w:r>
          </w:p>
        </w:tc>
        <w:tc>
          <w:tcPr>
            <w:tcW w:w="3470" w:type="dxa"/>
            <w:tcBorders>
              <w:tl2br w:val="nil"/>
              <w:tr2bl w:val="nil"/>
            </w:tcBorders>
            <w:shd w:val="clear" w:color="auto" w:fill="auto"/>
            <w:tcMar>
              <w:top w:w="15" w:type="dxa"/>
              <w:left w:w="15" w:type="dxa"/>
              <w:right w:w="15" w:type="dxa"/>
            </w:tcMar>
            <w:vAlign w:val="center"/>
          </w:tcPr>
          <w:p w14:paraId="38E2840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生活饮用水标准检验方法 感观性状</w:t>
            </w:r>
            <w:r>
              <w:rPr>
                <w:rFonts w:hint="default" w:ascii="Times New Roman" w:hAnsi="Times New Roman" w:eastAsia="宋体" w:cs="Times New Roman"/>
                <w:i w:val="0"/>
                <w:color w:val="000000"/>
                <w:kern w:val="0"/>
                <w:sz w:val="21"/>
                <w:szCs w:val="21"/>
                <w:highlight w:val="none"/>
                <w:u w:val="none"/>
                <w:lang w:val="en-US" w:eastAsia="zh-CN" w:bidi="ar"/>
              </w:rPr>
              <w:br w:type="textWrapping"/>
            </w:r>
            <w:r>
              <w:rPr>
                <w:rFonts w:hint="default" w:ascii="Times New Roman" w:hAnsi="Times New Roman" w:eastAsia="宋体" w:cs="Times New Roman"/>
                <w:i w:val="0"/>
                <w:color w:val="000000"/>
                <w:kern w:val="0"/>
                <w:sz w:val="21"/>
                <w:szCs w:val="21"/>
                <w:highlight w:val="none"/>
                <w:u w:val="none"/>
                <w:lang w:val="en-US" w:eastAsia="zh-CN" w:bidi="ar"/>
              </w:rPr>
              <w:t>和物理指标 称量法 称量法</w:t>
            </w:r>
          </w:p>
        </w:tc>
        <w:tc>
          <w:tcPr>
            <w:tcW w:w="2475" w:type="dxa"/>
            <w:tcBorders>
              <w:tl2br w:val="nil"/>
              <w:tr2bl w:val="nil"/>
            </w:tcBorders>
            <w:shd w:val="clear" w:color="auto" w:fill="auto"/>
            <w:noWrap/>
            <w:tcMar>
              <w:top w:w="15" w:type="dxa"/>
              <w:left w:w="15" w:type="dxa"/>
              <w:right w:w="15" w:type="dxa"/>
            </w:tcMar>
            <w:vAlign w:val="center"/>
          </w:tcPr>
          <w:p w14:paraId="72F63CE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GB/T 5750.4-2006</w:t>
            </w:r>
          </w:p>
        </w:tc>
        <w:tc>
          <w:tcPr>
            <w:tcW w:w="1222" w:type="dxa"/>
            <w:tcBorders>
              <w:tl2br w:val="nil"/>
              <w:tr2bl w:val="nil"/>
            </w:tcBorders>
            <w:shd w:val="clear" w:color="auto" w:fill="auto"/>
            <w:tcMar>
              <w:top w:w="15" w:type="dxa"/>
              <w:left w:w="15" w:type="dxa"/>
              <w:right w:w="15" w:type="dxa"/>
            </w:tcMar>
            <w:vAlign w:val="center"/>
          </w:tcPr>
          <w:p w14:paraId="3A4DC9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r>
      <w:tr w14:paraId="01DDBE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475B8DC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10B2730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耗氧量</w:t>
            </w:r>
          </w:p>
        </w:tc>
        <w:tc>
          <w:tcPr>
            <w:tcW w:w="3470" w:type="dxa"/>
            <w:tcBorders>
              <w:tl2br w:val="nil"/>
              <w:tr2bl w:val="nil"/>
            </w:tcBorders>
            <w:shd w:val="clear" w:color="auto" w:fill="auto"/>
            <w:tcMar>
              <w:top w:w="15" w:type="dxa"/>
              <w:left w:w="15" w:type="dxa"/>
              <w:right w:w="15" w:type="dxa"/>
            </w:tcMar>
            <w:vAlign w:val="center"/>
          </w:tcPr>
          <w:p w14:paraId="1A627B8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 xml:space="preserve">水质 </w:t>
            </w:r>
            <w:r>
              <w:rPr>
                <w:rFonts w:hint="default" w:ascii="Times New Roman" w:hAnsi="Times New Roman" w:cs="Times New Roman"/>
                <w:i w:val="0"/>
                <w:color w:val="000000"/>
                <w:kern w:val="0"/>
                <w:sz w:val="21"/>
                <w:szCs w:val="21"/>
                <w:highlight w:val="none"/>
                <w:u w:val="none"/>
                <w:lang w:val="en-US" w:eastAsia="zh-CN" w:bidi="ar"/>
              </w:rPr>
              <w:t>耗氧量</w:t>
            </w:r>
            <w:r>
              <w:rPr>
                <w:rFonts w:hint="default" w:ascii="Times New Roman" w:hAnsi="Times New Roman" w:eastAsia="宋体" w:cs="Times New Roman"/>
                <w:i w:val="0"/>
                <w:color w:val="000000"/>
                <w:kern w:val="0"/>
                <w:sz w:val="21"/>
                <w:szCs w:val="21"/>
                <w:highlight w:val="none"/>
                <w:u w:val="none"/>
                <w:lang w:val="en-US" w:eastAsia="zh-CN" w:bidi="ar"/>
              </w:rPr>
              <w:t>的测定</w:t>
            </w:r>
          </w:p>
        </w:tc>
        <w:tc>
          <w:tcPr>
            <w:tcW w:w="2475" w:type="dxa"/>
            <w:tcBorders>
              <w:tl2br w:val="nil"/>
              <w:tr2bl w:val="nil"/>
            </w:tcBorders>
            <w:shd w:val="clear" w:color="auto" w:fill="auto"/>
            <w:noWrap/>
            <w:tcMar>
              <w:top w:w="15" w:type="dxa"/>
              <w:left w:w="15" w:type="dxa"/>
              <w:right w:w="15" w:type="dxa"/>
            </w:tcMar>
            <w:vAlign w:val="center"/>
          </w:tcPr>
          <w:p w14:paraId="48B2C73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GB 11892-1989</w:t>
            </w:r>
          </w:p>
        </w:tc>
        <w:tc>
          <w:tcPr>
            <w:tcW w:w="1222" w:type="dxa"/>
            <w:tcBorders>
              <w:tl2br w:val="nil"/>
              <w:tr2bl w:val="nil"/>
            </w:tcBorders>
            <w:shd w:val="clear" w:color="auto" w:fill="auto"/>
            <w:tcMar>
              <w:top w:w="15" w:type="dxa"/>
              <w:left w:w="15" w:type="dxa"/>
              <w:right w:w="15" w:type="dxa"/>
            </w:tcMar>
            <w:vAlign w:val="center"/>
          </w:tcPr>
          <w:p w14:paraId="6385694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0.125mg/L</w:t>
            </w:r>
          </w:p>
        </w:tc>
      </w:tr>
      <w:tr w14:paraId="1467E6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3A212FB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34C55CF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硫酸盐</w:t>
            </w:r>
          </w:p>
        </w:tc>
        <w:tc>
          <w:tcPr>
            <w:tcW w:w="3470" w:type="dxa"/>
            <w:vMerge w:val="restart"/>
            <w:tcBorders>
              <w:tl2br w:val="nil"/>
              <w:tr2bl w:val="nil"/>
            </w:tcBorders>
            <w:shd w:val="clear" w:color="auto" w:fill="auto"/>
            <w:tcMar>
              <w:top w:w="15" w:type="dxa"/>
              <w:left w:w="15" w:type="dxa"/>
              <w:right w:w="15" w:type="dxa"/>
            </w:tcMar>
            <w:vAlign w:val="center"/>
          </w:tcPr>
          <w:p w14:paraId="3B9F5A08">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 xml:space="preserve">水质 </w:t>
            </w:r>
            <w:r>
              <w:rPr>
                <w:rStyle w:val="61"/>
                <w:rFonts w:hint="default" w:ascii="Times New Roman" w:hAnsi="Times New Roman" w:cs="Times New Roman"/>
                <w:sz w:val="21"/>
                <w:szCs w:val="21"/>
                <w:highlight w:val="none"/>
                <w:lang w:val="en-US" w:eastAsia="zh-CN" w:bidi="ar"/>
              </w:rPr>
              <w:t>无机阴离子</w:t>
            </w:r>
            <w:r>
              <w:rPr>
                <w:rStyle w:val="61"/>
                <w:rFonts w:hint="default" w:ascii="Times New Roman" w:hAnsi="Times New Roman" w:cs="Times New Roman"/>
                <w:sz w:val="21"/>
                <w:szCs w:val="21"/>
                <w:highlight w:val="none"/>
                <w:lang w:bidi="ar"/>
              </w:rPr>
              <w:t>（</w:t>
            </w:r>
            <w:r>
              <w:rPr>
                <w:rFonts w:hint="default"/>
                <w:color w:val="000000"/>
                <w:kern w:val="0"/>
                <w:sz w:val="21"/>
                <w:szCs w:val="21"/>
                <w:highlight w:val="none"/>
                <w:lang w:bidi="ar"/>
              </w:rPr>
              <w:t>F</w:t>
            </w:r>
            <w:r>
              <w:rPr>
                <w:rFonts w:hint="default"/>
                <w:color w:val="000000"/>
                <w:kern w:val="0"/>
                <w:sz w:val="21"/>
                <w:szCs w:val="21"/>
                <w:highlight w:val="none"/>
                <w:vertAlign w:val="superscript"/>
                <w:lang w:bidi="ar"/>
              </w:rPr>
              <w:t>-</w:t>
            </w:r>
            <w:r>
              <w:rPr>
                <w:rStyle w:val="61"/>
                <w:rFonts w:hint="default" w:ascii="Times New Roman" w:hAnsi="Times New Roman" w:cs="Times New Roman"/>
                <w:sz w:val="21"/>
                <w:szCs w:val="21"/>
                <w:highlight w:val="none"/>
                <w:lang w:bidi="ar"/>
              </w:rPr>
              <w:t>、</w:t>
            </w:r>
            <w:r>
              <w:rPr>
                <w:rFonts w:hint="default"/>
                <w:color w:val="000000"/>
                <w:kern w:val="0"/>
                <w:sz w:val="21"/>
                <w:szCs w:val="21"/>
                <w:highlight w:val="none"/>
                <w:lang w:bidi="ar"/>
              </w:rPr>
              <w:t>Cl</w:t>
            </w:r>
            <w:r>
              <w:rPr>
                <w:rFonts w:hint="default"/>
                <w:color w:val="000000"/>
                <w:kern w:val="0"/>
                <w:sz w:val="21"/>
                <w:szCs w:val="21"/>
                <w:highlight w:val="none"/>
                <w:vertAlign w:val="superscript"/>
                <w:lang w:bidi="ar"/>
              </w:rPr>
              <w:t>-</w:t>
            </w:r>
            <w:r>
              <w:rPr>
                <w:rStyle w:val="61"/>
                <w:rFonts w:hint="default" w:ascii="Times New Roman" w:hAnsi="Times New Roman" w:cs="Times New Roman"/>
                <w:sz w:val="21"/>
                <w:szCs w:val="21"/>
                <w:highlight w:val="none"/>
                <w:lang w:bidi="ar"/>
              </w:rPr>
              <w:t>、</w:t>
            </w:r>
            <w:r>
              <w:rPr>
                <w:rFonts w:hint="default"/>
                <w:color w:val="000000"/>
                <w:kern w:val="0"/>
                <w:sz w:val="21"/>
                <w:szCs w:val="21"/>
                <w:highlight w:val="none"/>
                <w:lang w:bidi="ar"/>
              </w:rPr>
              <w:t>Br</w:t>
            </w:r>
            <w:r>
              <w:rPr>
                <w:rFonts w:hint="default"/>
                <w:color w:val="000000"/>
                <w:kern w:val="0"/>
                <w:sz w:val="21"/>
                <w:szCs w:val="21"/>
                <w:highlight w:val="none"/>
                <w:vertAlign w:val="superscript"/>
                <w:lang w:bidi="ar"/>
              </w:rPr>
              <w:t>-</w:t>
            </w:r>
            <w:r>
              <w:rPr>
                <w:rStyle w:val="61"/>
                <w:rFonts w:hint="default" w:ascii="Times New Roman" w:hAnsi="Times New Roman" w:cs="Times New Roman"/>
                <w:sz w:val="21"/>
                <w:szCs w:val="21"/>
                <w:highlight w:val="none"/>
                <w:lang w:bidi="ar"/>
              </w:rPr>
              <w:t>、</w:t>
            </w:r>
            <w:r>
              <w:rPr>
                <w:rFonts w:hint="default"/>
                <w:color w:val="000000"/>
                <w:kern w:val="0"/>
                <w:sz w:val="21"/>
                <w:szCs w:val="21"/>
                <w:highlight w:val="none"/>
                <w:lang w:bidi="ar"/>
              </w:rPr>
              <w:t>NO</w:t>
            </w:r>
            <w:r>
              <w:rPr>
                <w:rFonts w:hint="default"/>
                <w:color w:val="000000"/>
                <w:kern w:val="0"/>
                <w:sz w:val="21"/>
                <w:szCs w:val="21"/>
                <w:highlight w:val="none"/>
                <w:vertAlign w:val="subscript"/>
                <w:lang w:bidi="ar"/>
              </w:rPr>
              <w:t>2</w:t>
            </w:r>
            <w:r>
              <w:rPr>
                <w:rFonts w:hint="default"/>
                <w:color w:val="000000"/>
                <w:kern w:val="0"/>
                <w:sz w:val="21"/>
                <w:szCs w:val="21"/>
                <w:highlight w:val="none"/>
                <w:vertAlign w:val="superscript"/>
                <w:lang w:bidi="ar"/>
              </w:rPr>
              <w:t>-</w:t>
            </w:r>
            <w:r>
              <w:rPr>
                <w:rStyle w:val="61"/>
                <w:rFonts w:hint="default" w:ascii="Times New Roman" w:hAnsi="Times New Roman" w:cs="Times New Roman"/>
                <w:sz w:val="21"/>
                <w:szCs w:val="21"/>
                <w:highlight w:val="none"/>
                <w:lang w:bidi="ar"/>
              </w:rPr>
              <w:t>、</w:t>
            </w:r>
            <w:r>
              <w:rPr>
                <w:rFonts w:hint="default"/>
                <w:color w:val="000000"/>
                <w:kern w:val="0"/>
                <w:sz w:val="21"/>
                <w:szCs w:val="21"/>
                <w:highlight w:val="none"/>
                <w:lang w:bidi="ar"/>
              </w:rPr>
              <w:t>NO</w:t>
            </w:r>
            <w:r>
              <w:rPr>
                <w:rFonts w:hint="default"/>
                <w:color w:val="000000"/>
                <w:kern w:val="0"/>
                <w:sz w:val="21"/>
                <w:szCs w:val="21"/>
                <w:highlight w:val="none"/>
                <w:vertAlign w:val="subscript"/>
                <w:lang w:bidi="ar"/>
              </w:rPr>
              <w:t>3</w:t>
            </w:r>
            <w:r>
              <w:rPr>
                <w:rFonts w:hint="default"/>
                <w:color w:val="000000"/>
                <w:kern w:val="0"/>
                <w:sz w:val="21"/>
                <w:szCs w:val="21"/>
                <w:highlight w:val="none"/>
                <w:vertAlign w:val="superscript"/>
                <w:lang w:bidi="ar"/>
              </w:rPr>
              <w:t>-</w:t>
            </w:r>
            <w:r>
              <w:rPr>
                <w:rStyle w:val="61"/>
                <w:rFonts w:hint="default" w:ascii="Times New Roman" w:hAnsi="Times New Roman" w:cs="Times New Roman"/>
                <w:sz w:val="21"/>
                <w:szCs w:val="21"/>
                <w:highlight w:val="none"/>
                <w:lang w:bidi="ar"/>
              </w:rPr>
              <w:t>、</w:t>
            </w:r>
            <w:r>
              <w:rPr>
                <w:rFonts w:hint="default"/>
                <w:color w:val="000000"/>
                <w:kern w:val="0"/>
                <w:sz w:val="21"/>
                <w:szCs w:val="21"/>
                <w:highlight w:val="none"/>
                <w:lang w:bidi="ar"/>
              </w:rPr>
              <w:t>PO</w:t>
            </w:r>
            <w:r>
              <w:rPr>
                <w:rFonts w:hint="default"/>
                <w:color w:val="000000"/>
                <w:kern w:val="0"/>
                <w:sz w:val="21"/>
                <w:szCs w:val="21"/>
                <w:highlight w:val="none"/>
                <w:vertAlign w:val="subscript"/>
                <w:lang w:bidi="ar"/>
              </w:rPr>
              <w:t>4</w:t>
            </w:r>
            <w:r>
              <w:rPr>
                <w:rFonts w:hint="default"/>
                <w:color w:val="000000"/>
                <w:kern w:val="0"/>
                <w:sz w:val="21"/>
                <w:szCs w:val="21"/>
                <w:highlight w:val="none"/>
                <w:vertAlign w:val="superscript"/>
                <w:lang w:bidi="ar"/>
              </w:rPr>
              <w:t>3-</w:t>
            </w:r>
            <w:r>
              <w:rPr>
                <w:rStyle w:val="61"/>
                <w:rFonts w:hint="default" w:ascii="Times New Roman" w:hAnsi="Times New Roman" w:cs="Times New Roman"/>
                <w:sz w:val="21"/>
                <w:szCs w:val="21"/>
                <w:highlight w:val="none"/>
                <w:lang w:bidi="ar"/>
              </w:rPr>
              <w:t>、</w:t>
            </w:r>
            <w:r>
              <w:rPr>
                <w:rFonts w:hint="default"/>
                <w:color w:val="000000"/>
                <w:kern w:val="0"/>
                <w:sz w:val="21"/>
                <w:szCs w:val="21"/>
                <w:highlight w:val="none"/>
                <w:lang w:bidi="ar"/>
              </w:rPr>
              <w:t>SO</w:t>
            </w:r>
            <w:r>
              <w:rPr>
                <w:rFonts w:hint="default"/>
                <w:color w:val="000000"/>
                <w:kern w:val="0"/>
                <w:sz w:val="21"/>
                <w:szCs w:val="21"/>
                <w:highlight w:val="none"/>
                <w:vertAlign w:val="subscript"/>
                <w:lang w:bidi="ar"/>
              </w:rPr>
              <w:t>3</w:t>
            </w:r>
            <w:r>
              <w:rPr>
                <w:rFonts w:hint="default"/>
                <w:color w:val="000000"/>
                <w:kern w:val="0"/>
                <w:sz w:val="21"/>
                <w:szCs w:val="21"/>
                <w:highlight w:val="none"/>
                <w:vertAlign w:val="superscript"/>
                <w:lang w:bidi="ar"/>
              </w:rPr>
              <w:t>2-</w:t>
            </w:r>
            <w:r>
              <w:rPr>
                <w:rStyle w:val="61"/>
                <w:rFonts w:hint="default" w:ascii="Times New Roman" w:hAnsi="Times New Roman" w:cs="Times New Roman"/>
                <w:sz w:val="21"/>
                <w:szCs w:val="21"/>
                <w:highlight w:val="none"/>
                <w:lang w:bidi="ar"/>
              </w:rPr>
              <w:t>、</w:t>
            </w:r>
            <w:r>
              <w:rPr>
                <w:rFonts w:hint="default"/>
                <w:color w:val="000000"/>
                <w:kern w:val="0"/>
                <w:sz w:val="21"/>
                <w:szCs w:val="21"/>
                <w:highlight w:val="none"/>
                <w:lang w:bidi="ar"/>
              </w:rPr>
              <w:t>SO</w:t>
            </w:r>
            <w:r>
              <w:rPr>
                <w:rFonts w:hint="default"/>
                <w:color w:val="000000"/>
                <w:kern w:val="0"/>
                <w:sz w:val="21"/>
                <w:szCs w:val="21"/>
                <w:highlight w:val="none"/>
                <w:vertAlign w:val="subscript"/>
                <w:lang w:bidi="ar"/>
              </w:rPr>
              <w:t>4</w:t>
            </w:r>
            <w:r>
              <w:rPr>
                <w:rFonts w:hint="default"/>
                <w:color w:val="000000"/>
                <w:kern w:val="0"/>
                <w:sz w:val="21"/>
                <w:szCs w:val="21"/>
                <w:highlight w:val="none"/>
                <w:vertAlign w:val="superscript"/>
                <w:lang w:bidi="ar"/>
              </w:rPr>
              <w:t>2-</w:t>
            </w:r>
            <w:r>
              <w:rPr>
                <w:rStyle w:val="61"/>
                <w:rFonts w:hint="default" w:ascii="Times New Roman" w:hAnsi="Times New Roman" w:cs="Times New Roman"/>
                <w:sz w:val="21"/>
                <w:szCs w:val="21"/>
                <w:highlight w:val="none"/>
                <w:lang w:bidi="ar"/>
              </w:rPr>
              <w:t>）</w:t>
            </w:r>
            <w:r>
              <w:rPr>
                <w:rStyle w:val="61"/>
                <w:rFonts w:hint="default" w:ascii="Times New Roman" w:hAnsi="Times New Roman" w:cs="Times New Roman"/>
                <w:sz w:val="21"/>
                <w:szCs w:val="21"/>
                <w:highlight w:val="none"/>
                <w:lang w:val="en-US" w:eastAsia="zh-CN" w:bidi="ar"/>
              </w:rPr>
              <w:t>的测定离子色谱法</w:t>
            </w:r>
          </w:p>
        </w:tc>
        <w:tc>
          <w:tcPr>
            <w:tcW w:w="2475" w:type="dxa"/>
            <w:vMerge w:val="restart"/>
            <w:tcBorders>
              <w:tl2br w:val="nil"/>
              <w:tr2bl w:val="nil"/>
            </w:tcBorders>
            <w:shd w:val="clear" w:color="auto" w:fill="auto"/>
            <w:noWrap/>
            <w:tcMar>
              <w:top w:w="15" w:type="dxa"/>
              <w:left w:w="15" w:type="dxa"/>
              <w:right w:w="15" w:type="dxa"/>
            </w:tcMar>
            <w:vAlign w:val="center"/>
          </w:tcPr>
          <w:p w14:paraId="6B2EBF9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HJ 84-2016</w:t>
            </w:r>
          </w:p>
        </w:tc>
        <w:tc>
          <w:tcPr>
            <w:tcW w:w="1222" w:type="dxa"/>
            <w:tcBorders>
              <w:tl2br w:val="nil"/>
              <w:tr2bl w:val="nil"/>
            </w:tcBorders>
            <w:shd w:val="clear" w:color="auto" w:fill="auto"/>
            <w:tcMar>
              <w:top w:w="15" w:type="dxa"/>
              <w:left w:w="15" w:type="dxa"/>
              <w:right w:w="15" w:type="dxa"/>
            </w:tcMar>
            <w:vAlign w:val="center"/>
          </w:tcPr>
          <w:p w14:paraId="0DB86AA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0.018mg/L</w:t>
            </w:r>
          </w:p>
        </w:tc>
      </w:tr>
      <w:tr w14:paraId="312F93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6B24DBD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6DDF5D9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硝酸盐</w:t>
            </w:r>
            <w:r>
              <w:rPr>
                <w:rFonts w:hint="default" w:ascii="Times New Roman" w:hAnsi="Times New Roman" w:eastAsia="宋体" w:cs="Times New Roman"/>
                <w:i w:val="0"/>
                <w:color w:val="000000"/>
                <w:kern w:val="0"/>
                <w:sz w:val="21"/>
                <w:szCs w:val="21"/>
                <w:highlight w:val="none"/>
                <w:u w:val="none"/>
                <w:lang w:val="en-US" w:eastAsia="zh-CN" w:bidi="ar"/>
              </w:rPr>
              <w:br w:type="textWrapping"/>
            </w:r>
            <w:r>
              <w:rPr>
                <w:rFonts w:hint="default" w:ascii="Times New Roman" w:hAnsi="Times New Roman" w:eastAsia="宋体" w:cs="Times New Roman"/>
                <w:i w:val="0"/>
                <w:color w:val="000000"/>
                <w:kern w:val="0"/>
                <w:sz w:val="21"/>
                <w:szCs w:val="21"/>
                <w:highlight w:val="none"/>
                <w:u w:val="none"/>
                <w:lang w:val="en-US" w:eastAsia="zh-CN" w:bidi="ar"/>
              </w:rPr>
              <w:t>(以氮计)</w:t>
            </w:r>
          </w:p>
        </w:tc>
        <w:tc>
          <w:tcPr>
            <w:tcW w:w="3470" w:type="dxa"/>
            <w:vMerge w:val="continue"/>
            <w:tcBorders>
              <w:tl2br w:val="nil"/>
              <w:tr2bl w:val="nil"/>
            </w:tcBorders>
            <w:shd w:val="clear" w:color="auto" w:fill="auto"/>
            <w:tcMar>
              <w:top w:w="15" w:type="dxa"/>
              <w:left w:w="15" w:type="dxa"/>
              <w:right w:w="15" w:type="dxa"/>
            </w:tcMar>
            <w:vAlign w:val="center"/>
          </w:tcPr>
          <w:p w14:paraId="38657A2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475" w:type="dxa"/>
            <w:vMerge w:val="continue"/>
            <w:tcBorders>
              <w:tl2br w:val="nil"/>
              <w:tr2bl w:val="nil"/>
            </w:tcBorders>
            <w:shd w:val="clear" w:color="auto" w:fill="auto"/>
            <w:noWrap/>
            <w:tcMar>
              <w:top w:w="15" w:type="dxa"/>
              <w:left w:w="15" w:type="dxa"/>
              <w:right w:w="15" w:type="dxa"/>
            </w:tcMar>
            <w:vAlign w:val="center"/>
          </w:tcPr>
          <w:p w14:paraId="3CBD05A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000000"/>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0242A39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0.004mg/L</w:t>
            </w:r>
          </w:p>
        </w:tc>
      </w:tr>
      <w:tr w14:paraId="4968E2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12FC27C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11655DD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氯化物</w:t>
            </w:r>
          </w:p>
        </w:tc>
        <w:tc>
          <w:tcPr>
            <w:tcW w:w="3470" w:type="dxa"/>
            <w:vMerge w:val="continue"/>
            <w:tcBorders>
              <w:tl2br w:val="nil"/>
              <w:tr2bl w:val="nil"/>
            </w:tcBorders>
            <w:shd w:val="clear" w:color="auto" w:fill="auto"/>
            <w:tcMar>
              <w:top w:w="15" w:type="dxa"/>
              <w:left w:w="15" w:type="dxa"/>
              <w:right w:w="15" w:type="dxa"/>
            </w:tcMar>
            <w:vAlign w:val="center"/>
          </w:tcPr>
          <w:p w14:paraId="434F813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475" w:type="dxa"/>
            <w:vMerge w:val="continue"/>
            <w:tcBorders>
              <w:tl2br w:val="nil"/>
              <w:tr2bl w:val="nil"/>
            </w:tcBorders>
            <w:shd w:val="clear" w:color="auto" w:fill="auto"/>
            <w:noWrap/>
            <w:tcMar>
              <w:top w:w="15" w:type="dxa"/>
              <w:left w:w="15" w:type="dxa"/>
              <w:right w:w="15" w:type="dxa"/>
            </w:tcMar>
            <w:vAlign w:val="center"/>
          </w:tcPr>
          <w:p w14:paraId="020BE04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000000"/>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4AF17E6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0.007mg/L</w:t>
            </w:r>
          </w:p>
        </w:tc>
      </w:tr>
      <w:tr w14:paraId="212E9C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71C1526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0A81CC1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eastAsia"/>
                <w:color w:val="000000"/>
                <w:kern w:val="0"/>
                <w:sz w:val="21"/>
                <w:szCs w:val="21"/>
                <w:highlight w:val="none"/>
                <w:lang w:bidi="ar"/>
              </w:rPr>
              <w:t>氟化物</w:t>
            </w:r>
          </w:p>
        </w:tc>
        <w:tc>
          <w:tcPr>
            <w:tcW w:w="3470" w:type="dxa"/>
            <w:vMerge w:val="continue"/>
            <w:tcBorders>
              <w:tl2br w:val="nil"/>
              <w:tr2bl w:val="nil"/>
            </w:tcBorders>
            <w:shd w:val="clear" w:color="auto" w:fill="auto"/>
            <w:tcMar>
              <w:top w:w="15" w:type="dxa"/>
              <w:left w:w="15" w:type="dxa"/>
              <w:right w:w="15" w:type="dxa"/>
            </w:tcMar>
            <w:vAlign w:val="center"/>
          </w:tcPr>
          <w:p w14:paraId="0AACAFA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475" w:type="dxa"/>
            <w:vMerge w:val="continue"/>
            <w:tcBorders>
              <w:tl2br w:val="nil"/>
              <w:tr2bl w:val="nil"/>
            </w:tcBorders>
            <w:shd w:val="clear" w:color="auto" w:fill="auto"/>
            <w:noWrap/>
            <w:tcMar>
              <w:top w:w="15" w:type="dxa"/>
              <w:left w:w="15" w:type="dxa"/>
              <w:right w:w="15" w:type="dxa"/>
            </w:tcMar>
            <w:vAlign w:val="center"/>
          </w:tcPr>
          <w:p w14:paraId="57E5F49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000000"/>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2B6E64F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0.006mg/L</w:t>
            </w:r>
          </w:p>
        </w:tc>
      </w:tr>
      <w:tr w14:paraId="73B864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2AE8C41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188AD31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挥发酚</w:t>
            </w:r>
          </w:p>
        </w:tc>
        <w:tc>
          <w:tcPr>
            <w:tcW w:w="3470" w:type="dxa"/>
            <w:tcBorders>
              <w:tl2br w:val="nil"/>
              <w:tr2bl w:val="nil"/>
            </w:tcBorders>
            <w:shd w:val="clear" w:color="auto" w:fill="auto"/>
            <w:tcMar>
              <w:top w:w="15" w:type="dxa"/>
              <w:left w:w="15" w:type="dxa"/>
              <w:right w:w="15" w:type="dxa"/>
            </w:tcMar>
            <w:vAlign w:val="center"/>
          </w:tcPr>
          <w:p w14:paraId="6E5F5D6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水质 挥发酚的测定 4-氨基安替比林分光光度法</w:t>
            </w:r>
          </w:p>
        </w:tc>
        <w:tc>
          <w:tcPr>
            <w:tcW w:w="2475" w:type="dxa"/>
            <w:tcBorders>
              <w:tl2br w:val="nil"/>
              <w:tr2bl w:val="nil"/>
            </w:tcBorders>
            <w:shd w:val="clear" w:color="auto" w:fill="auto"/>
            <w:noWrap/>
            <w:tcMar>
              <w:top w:w="15" w:type="dxa"/>
              <w:left w:w="15" w:type="dxa"/>
              <w:right w:w="15" w:type="dxa"/>
            </w:tcMar>
            <w:vAlign w:val="center"/>
          </w:tcPr>
          <w:p w14:paraId="0C4E1EE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HJ 503-2009</w:t>
            </w:r>
          </w:p>
        </w:tc>
        <w:tc>
          <w:tcPr>
            <w:tcW w:w="1222" w:type="dxa"/>
            <w:tcBorders>
              <w:tl2br w:val="nil"/>
              <w:tr2bl w:val="nil"/>
            </w:tcBorders>
            <w:shd w:val="clear" w:color="auto" w:fill="auto"/>
            <w:tcMar>
              <w:top w:w="15" w:type="dxa"/>
              <w:left w:w="15" w:type="dxa"/>
              <w:right w:w="15" w:type="dxa"/>
            </w:tcMar>
            <w:vAlign w:val="center"/>
          </w:tcPr>
          <w:p w14:paraId="53F8B44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0.0003mg/L</w:t>
            </w:r>
          </w:p>
        </w:tc>
      </w:tr>
      <w:tr w14:paraId="2B2F93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33A1C6B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43FCE0F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阴离子表</w:t>
            </w:r>
            <w:r>
              <w:rPr>
                <w:rFonts w:hint="default" w:ascii="Times New Roman" w:hAnsi="Times New Roman" w:eastAsia="宋体" w:cs="Times New Roman"/>
                <w:i w:val="0"/>
                <w:color w:val="000000"/>
                <w:kern w:val="0"/>
                <w:sz w:val="21"/>
                <w:szCs w:val="21"/>
                <w:highlight w:val="none"/>
                <w:u w:val="none"/>
                <w:lang w:val="en-US" w:eastAsia="zh-CN" w:bidi="ar"/>
              </w:rPr>
              <w:br w:type="textWrapping"/>
            </w:r>
            <w:r>
              <w:rPr>
                <w:rFonts w:hint="default" w:ascii="Times New Roman" w:hAnsi="Times New Roman" w:eastAsia="宋体" w:cs="Times New Roman"/>
                <w:i w:val="0"/>
                <w:color w:val="000000"/>
                <w:kern w:val="0"/>
                <w:sz w:val="21"/>
                <w:szCs w:val="21"/>
                <w:highlight w:val="none"/>
                <w:u w:val="none"/>
                <w:lang w:val="en-US" w:eastAsia="zh-CN" w:bidi="ar"/>
              </w:rPr>
              <w:t>面活性剂</w:t>
            </w:r>
          </w:p>
        </w:tc>
        <w:tc>
          <w:tcPr>
            <w:tcW w:w="3470" w:type="dxa"/>
            <w:tcBorders>
              <w:tl2br w:val="nil"/>
              <w:tr2bl w:val="nil"/>
            </w:tcBorders>
            <w:shd w:val="clear" w:color="auto" w:fill="auto"/>
            <w:tcMar>
              <w:top w:w="15" w:type="dxa"/>
              <w:left w:w="15" w:type="dxa"/>
              <w:right w:w="15" w:type="dxa"/>
            </w:tcMar>
            <w:vAlign w:val="center"/>
          </w:tcPr>
          <w:p w14:paraId="21BB93C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水质 阴离子表面活性剂的测定</w:t>
            </w:r>
            <w:r>
              <w:rPr>
                <w:rFonts w:hint="default" w:ascii="Times New Roman" w:hAnsi="Times New Roman" w:eastAsia="宋体" w:cs="Times New Roman"/>
                <w:i w:val="0"/>
                <w:color w:val="000000"/>
                <w:kern w:val="0"/>
                <w:sz w:val="21"/>
                <w:szCs w:val="21"/>
                <w:highlight w:val="none"/>
                <w:u w:val="none"/>
                <w:lang w:val="en-US" w:eastAsia="zh-CN" w:bidi="ar"/>
              </w:rPr>
              <w:br w:type="textWrapping"/>
            </w:r>
            <w:r>
              <w:rPr>
                <w:rFonts w:hint="default" w:ascii="Times New Roman" w:hAnsi="Times New Roman" w:eastAsia="宋体" w:cs="Times New Roman"/>
                <w:i w:val="0"/>
                <w:color w:val="000000"/>
                <w:kern w:val="0"/>
                <w:sz w:val="21"/>
                <w:szCs w:val="21"/>
                <w:highlight w:val="none"/>
                <w:u w:val="none"/>
                <w:lang w:val="en-US" w:eastAsia="zh-CN" w:bidi="ar"/>
              </w:rPr>
              <w:t>亚甲蓝分光光度法</w:t>
            </w:r>
          </w:p>
        </w:tc>
        <w:tc>
          <w:tcPr>
            <w:tcW w:w="2475" w:type="dxa"/>
            <w:tcBorders>
              <w:tl2br w:val="nil"/>
              <w:tr2bl w:val="nil"/>
            </w:tcBorders>
            <w:shd w:val="clear" w:color="auto" w:fill="auto"/>
            <w:noWrap/>
            <w:tcMar>
              <w:top w:w="15" w:type="dxa"/>
              <w:left w:w="15" w:type="dxa"/>
              <w:right w:w="15" w:type="dxa"/>
            </w:tcMar>
            <w:vAlign w:val="center"/>
          </w:tcPr>
          <w:p w14:paraId="05AF276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GB 7494-1987</w:t>
            </w:r>
          </w:p>
        </w:tc>
        <w:tc>
          <w:tcPr>
            <w:tcW w:w="1222" w:type="dxa"/>
            <w:tcBorders>
              <w:tl2br w:val="nil"/>
              <w:tr2bl w:val="nil"/>
            </w:tcBorders>
            <w:shd w:val="clear" w:color="auto" w:fill="auto"/>
            <w:tcMar>
              <w:top w:w="15" w:type="dxa"/>
              <w:left w:w="15" w:type="dxa"/>
              <w:right w:w="15" w:type="dxa"/>
            </w:tcMar>
            <w:vAlign w:val="center"/>
          </w:tcPr>
          <w:p w14:paraId="598C356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0.05mg/L</w:t>
            </w:r>
          </w:p>
        </w:tc>
      </w:tr>
      <w:tr w14:paraId="3505BF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508CC39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3F5D993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氨氮</w:t>
            </w:r>
          </w:p>
        </w:tc>
        <w:tc>
          <w:tcPr>
            <w:tcW w:w="3470" w:type="dxa"/>
            <w:tcBorders>
              <w:tl2br w:val="nil"/>
              <w:tr2bl w:val="nil"/>
            </w:tcBorders>
            <w:shd w:val="clear" w:color="auto" w:fill="auto"/>
            <w:tcMar>
              <w:top w:w="15" w:type="dxa"/>
              <w:left w:w="15" w:type="dxa"/>
              <w:right w:w="15" w:type="dxa"/>
            </w:tcMar>
            <w:vAlign w:val="center"/>
          </w:tcPr>
          <w:p w14:paraId="283B38D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生活饮用水标准检验方法 无机非金</w:t>
            </w:r>
            <w:r>
              <w:rPr>
                <w:rFonts w:hint="default" w:ascii="Times New Roman" w:hAnsi="Times New Roman" w:eastAsia="宋体" w:cs="Times New Roman"/>
                <w:i w:val="0"/>
                <w:color w:val="000000"/>
                <w:kern w:val="0"/>
                <w:sz w:val="21"/>
                <w:szCs w:val="21"/>
                <w:highlight w:val="none"/>
                <w:u w:val="none"/>
                <w:lang w:val="en-US" w:eastAsia="zh-CN" w:bidi="ar"/>
              </w:rPr>
              <w:br w:type="textWrapping"/>
            </w:r>
            <w:r>
              <w:rPr>
                <w:rFonts w:hint="default" w:ascii="Times New Roman" w:hAnsi="Times New Roman" w:eastAsia="宋体" w:cs="Times New Roman"/>
                <w:i w:val="0"/>
                <w:color w:val="000000"/>
                <w:kern w:val="0"/>
                <w:sz w:val="21"/>
                <w:szCs w:val="21"/>
                <w:highlight w:val="none"/>
                <w:u w:val="none"/>
                <w:lang w:val="en-US" w:eastAsia="zh-CN" w:bidi="ar"/>
              </w:rPr>
              <w:t>属指标 纳氏试剂分光光度法</w:t>
            </w:r>
          </w:p>
        </w:tc>
        <w:tc>
          <w:tcPr>
            <w:tcW w:w="2475" w:type="dxa"/>
            <w:tcBorders>
              <w:tl2br w:val="nil"/>
              <w:tr2bl w:val="nil"/>
            </w:tcBorders>
            <w:shd w:val="clear" w:color="auto" w:fill="auto"/>
            <w:noWrap/>
            <w:tcMar>
              <w:top w:w="15" w:type="dxa"/>
              <w:left w:w="15" w:type="dxa"/>
              <w:right w:w="15" w:type="dxa"/>
            </w:tcMar>
            <w:vAlign w:val="center"/>
          </w:tcPr>
          <w:p w14:paraId="6A4F0CD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GB/T 5750.5-2006</w:t>
            </w:r>
          </w:p>
        </w:tc>
        <w:tc>
          <w:tcPr>
            <w:tcW w:w="1222" w:type="dxa"/>
            <w:tcBorders>
              <w:tl2br w:val="nil"/>
              <w:tr2bl w:val="nil"/>
            </w:tcBorders>
            <w:shd w:val="clear" w:color="auto" w:fill="auto"/>
            <w:tcMar>
              <w:top w:w="15" w:type="dxa"/>
              <w:left w:w="15" w:type="dxa"/>
              <w:right w:w="15" w:type="dxa"/>
            </w:tcMar>
            <w:vAlign w:val="center"/>
          </w:tcPr>
          <w:p w14:paraId="5A8B28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0.02mg/L</w:t>
            </w:r>
          </w:p>
        </w:tc>
      </w:tr>
      <w:tr w14:paraId="4766B3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385EBF1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2A3D277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硫化物</w:t>
            </w:r>
          </w:p>
        </w:tc>
        <w:tc>
          <w:tcPr>
            <w:tcW w:w="3470" w:type="dxa"/>
            <w:tcBorders>
              <w:tl2br w:val="nil"/>
              <w:tr2bl w:val="nil"/>
            </w:tcBorders>
            <w:shd w:val="clear" w:color="auto" w:fill="auto"/>
            <w:tcMar>
              <w:top w:w="15" w:type="dxa"/>
              <w:left w:w="15" w:type="dxa"/>
              <w:right w:w="15" w:type="dxa"/>
            </w:tcMar>
            <w:vAlign w:val="center"/>
          </w:tcPr>
          <w:p w14:paraId="61090F7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水质 硫化物的测定 亚甲基蓝分光光度法</w:t>
            </w:r>
          </w:p>
        </w:tc>
        <w:tc>
          <w:tcPr>
            <w:tcW w:w="2475" w:type="dxa"/>
            <w:tcBorders>
              <w:tl2br w:val="nil"/>
              <w:tr2bl w:val="nil"/>
            </w:tcBorders>
            <w:shd w:val="clear" w:color="auto" w:fill="auto"/>
            <w:noWrap/>
            <w:tcMar>
              <w:top w:w="15" w:type="dxa"/>
              <w:left w:w="15" w:type="dxa"/>
              <w:right w:w="15" w:type="dxa"/>
            </w:tcMar>
            <w:vAlign w:val="center"/>
          </w:tcPr>
          <w:p w14:paraId="0F3DFB8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GB/T 16489-1996</w:t>
            </w:r>
          </w:p>
        </w:tc>
        <w:tc>
          <w:tcPr>
            <w:tcW w:w="1222" w:type="dxa"/>
            <w:tcBorders>
              <w:tl2br w:val="nil"/>
              <w:tr2bl w:val="nil"/>
            </w:tcBorders>
            <w:shd w:val="clear" w:color="auto" w:fill="auto"/>
            <w:tcMar>
              <w:top w:w="15" w:type="dxa"/>
              <w:left w:w="15" w:type="dxa"/>
              <w:right w:w="15" w:type="dxa"/>
            </w:tcMar>
            <w:vAlign w:val="center"/>
          </w:tcPr>
          <w:p w14:paraId="4BF12FA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0.005mg/L</w:t>
            </w:r>
          </w:p>
        </w:tc>
      </w:tr>
      <w:tr w14:paraId="79D889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574A2B8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6066F5A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亚硝酸盐氮</w:t>
            </w:r>
          </w:p>
        </w:tc>
        <w:tc>
          <w:tcPr>
            <w:tcW w:w="3470" w:type="dxa"/>
            <w:tcBorders>
              <w:tl2br w:val="nil"/>
              <w:tr2bl w:val="nil"/>
            </w:tcBorders>
            <w:shd w:val="clear" w:color="auto" w:fill="auto"/>
            <w:tcMar>
              <w:top w:w="15" w:type="dxa"/>
              <w:left w:w="15" w:type="dxa"/>
              <w:right w:w="15" w:type="dxa"/>
            </w:tcMar>
            <w:vAlign w:val="center"/>
          </w:tcPr>
          <w:p w14:paraId="45E4661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 xml:space="preserve">生活饮用水标准检验方法 </w:t>
            </w:r>
          </w:p>
          <w:p w14:paraId="6D14B50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无机非金属指标 重氮偶合分光光度法</w:t>
            </w:r>
          </w:p>
        </w:tc>
        <w:tc>
          <w:tcPr>
            <w:tcW w:w="2475" w:type="dxa"/>
            <w:tcBorders>
              <w:tl2br w:val="nil"/>
              <w:tr2bl w:val="nil"/>
            </w:tcBorders>
            <w:shd w:val="clear" w:color="auto" w:fill="auto"/>
            <w:tcMar>
              <w:top w:w="15" w:type="dxa"/>
              <w:left w:w="15" w:type="dxa"/>
              <w:right w:w="15" w:type="dxa"/>
            </w:tcMar>
            <w:vAlign w:val="center"/>
          </w:tcPr>
          <w:p w14:paraId="4C453B8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GB/T 5750.5-2006</w:t>
            </w:r>
          </w:p>
        </w:tc>
        <w:tc>
          <w:tcPr>
            <w:tcW w:w="1222" w:type="dxa"/>
            <w:tcBorders>
              <w:tl2br w:val="nil"/>
              <w:tr2bl w:val="nil"/>
            </w:tcBorders>
            <w:shd w:val="clear" w:color="auto" w:fill="auto"/>
            <w:tcMar>
              <w:top w:w="15" w:type="dxa"/>
              <w:left w:w="15" w:type="dxa"/>
              <w:right w:w="15" w:type="dxa"/>
            </w:tcMar>
            <w:vAlign w:val="center"/>
          </w:tcPr>
          <w:p w14:paraId="6FEB31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0.001mg/L</w:t>
            </w:r>
          </w:p>
        </w:tc>
      </w:tr>
      <w:tr w14:paraId="2BBD35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63F600B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5ACB68E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氰化物</w:t>
            </w:r>
          </w:p>
        </w:tc>
        <w:tc>
          <w:tcPr>
            <w:tcW w:w="3470" w:type="dxa"/>
            <w:tcBorders>
              <w:tl2br w:val="nil"/>
              <w:tr2bl w:val="nil"/>
            </w:tcBorders>
            <w:shd w:val="clear" w:color="auto" w:fill="auto"/>
            <w:tcMar>
              <w:top w:w="15" w:type="dxa"/>
              <w:left w:w="15" w:type="dxa"/>
              <w:right w:w="15" w:type="dxa"/>
            </w:tcMar>
            <w:vAlign w:val="center"/>
          </w:tcPr>
          <w:p w14:paraId="1438AA9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 xml:space="preserve">生活饮用水标准检验方法 </w:t>
            </w:r>
          </w:p>
          <w:p w14:paraId="12E2497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无机非金属指标</w:t>
            </w:r>
            <w:r>
              <w:rPr>
                <w:rFonts w:hint="default" w:ascii="Times New Roman" w:hAnsi="Times New Roman" w:cs="Times New Roman"/>
                <w:i w:val="0"/>
                <w:color w:val="000000"/>
                <w:kern w:val="0"/>
                <w:sz w:val="21"/>
                <w:szCs w:val="21"/>
                <w:highlight w:val="none"/>
                <w:u w:val="none"/>
                <w:lang w:val="en-US" w:eastAsia="zh-CN" w:bidi="ar"/>
              </w:rPr>
              <w:t xml:space="preserve"> </w:t>
            </w:r>
            <w:r>
              <w:rPr>
                <w:rFonts w:hint="default" w:ascii="Times New Roman" w:hAnsi="Times New Roman" w:eastAsia="宋体" w:cs="Times New Roman"/>
                <w:i w:val="0"/>
                <w:color w:val="000000"/>
                <w:kern w:val="0"/>
                <w:sz w:val="21"/>
                <w:szCs w:val="21"/>
                <w:highlight w:val="none"/>
                <w:u w:val="none"/>
                <w:lang w:val="en-US" w:eastAsia="zh-CN" w:bidi="ar"/>
              </w:rPr>
              <w:t>异烟酸-吡唑酮分光光度法</w:t>
            </w:r>
          </w:p>
        </w:tc>
        <w:tc>
          <w:tcPr>
            <w:tcW w:w="2475" w:type="dxa"/>
            <w:tcBorders>
              <w:tl2br w:val="nil"/>
              <w:tr2bl w:val="nil"/>
            </w:tcBorders>
            <w:shd w:val="clear" w:color="auto" w:fill="auto"/>
            <w:tcMar>
              <w:top w:w="15" w:type="dxa"/>
              <w:left w:w="15" w:type="dxa"/>
              <w:right w:w="15" w:type="dxa"/>
            </w:tcMar>
            <w:vAlign w:val="center"/>
          </w:tcPr>
          <w:p w14:paraId="255C7ED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GB/T 5750.5-2006</w:t>
            </w:r>
          </w:p>
        </w:tc>
        <w:tc>
          <w:tcPr>
            <w:tcW w:w="1222" w:type="dxa"/>
            <w:tcBorders>
              <w:tl2br w:val="nil"/>
              <w:tr2bl w:val="nil"/>
            </w:tcBorders>
            <w:shd w:val="clear" w:color="auto" w:fill="auto"/>
            <w:tcMar>
              <w:top w:w="15" w:type="dxa"/>
              <w:left w:w="15" w:type="dxa"/>
              <w:right w:w="15" w:type="dxa"/>
            </w:tcMar>
            <w:vAlign w:val="center"/>
          </w:tcPr>
          <w:p w14:paraId="6920DA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0.002mg/L</w:t>
            </w:r>
          </w:p>
        </w:tc>
      </w:tr>
      <w:tr w14:paraId="7D0DDB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295CA23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65F5CFC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铁</w:t>
            </w:r>
          </w:p>
        </w:tc>
        <w:tc>
          <w:tcPr>
            <w:tcW w:w="3470" w:type="dxa"/>
            <w:vMerge w:val="restart"/>
            <w:tcBorders>
              <w:tl2br w:val="nil"/>
              <w:tr2bl w:val="nil"/>
            </w:tcBorders>
            <w:shd w:val="clear" w:color="auto" w:fill="auto"/>
            <w:tcMar>
              <w:top w:w="15" w:type="dxa"/>
              <w:left w:w="15" w:type="dxa"/>
              <w:right w:w="15" w:type="dxa"/>
            </w:tcMar>
            <w:vAlign w:val="center"/>
          </w:tcPr>
          <w:p w14:paraId="04A6D9B7">
            <w:pPr>
              <w:keepNext w:val="0"/>
              <w:keepLines w:val="0"/>
              <w:widowControl/>
              <w:suppressLineNumbers w:val="0"/>
              <w:spacing w:before="0" w:beforeAutospacing="0" w:after="0" w:afterAutospacing="0" w:line="240" w:lineRule="auto"/>
              <w:ind w:left="0" w:right="0"/>
              <w:jc w:val="center"/>
              <w:textAlignment w:val="bottom"/>
              <w:rPr>
                <w:rStyle w:val="61"/>
                <w:rFonts w:hint="default" w:ascii="Times New Roman" w:hAnsi="Times New Roman" w:cs="Times New Roman"/>
                <w:sz w:val="21"/>
                <w:szCs w:val="21"/>
                <w:highlight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 xml:space="preserve">生活饮用水标准检验方法 </w:t>
            </w:r>
            <w:r>
              <w:rPr>
                <w:rStyle w:val="61"/>
                <w:rFonts w:hint="default" w:ascii="Times New Roman" w:hAnsi="Times New Roman" w:cs="Times New Roman"/>
                <w:sz w:val="21"/>
                <w:szCs w:val="21"/>
                <w:highlight w:val="none"/>
                <w:lang w:val="en-US" w:eastAsia="zh-CN" w:bidi="ar"/>
              </w:rPr>
              <w:t>金属指标</w:t>
            </w:r>
          </w:p>
          <w:p w14:paraId="4C4C4834">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color w:val="000000"/>
                <w:sz w:val="21"/>
                <w:szCs w:val="21"/>
                <w:highlight w:val="none"/>
                <w:u w:val="none"/>
              </w:rPr>
            </w:pPr>
            <w:r>
              <w:rPr>
                <w:rStyle w:val="61"/>
                <w:rFonts w:hint="default" w:ascii="Times New Roman" w:hAnsi="Times New Roman" w:cs="Times New Roman"/>
                <w:sz w:val="21"/>
                <w:szCs w:val="21"/>
                <w:highlight w:val="none"/>
                <w:lang w:val="en-US" w:eastAsia="zh-CN" w:bidi="ar"/>
              </w:rPr>
              <w:t>电感耦合等离子体发射光谱法</w:t>
            </w:r>
          </w:p>
        </w:tc>
        <w:tc>
          <w:tcPr>
            <w:tcW w:w="2475" w:type="dxa"/>
            <w:vMerge w:val="restart"/>
            <w:tcBorders>
              <w:tl2br w:val="nil"/>
              <w:tr2bl w:val="nil"/>
            </w:tcBorders>
            <w:shd w:val="clear" w:color="auto" w:fill="auto"/>
            <w:tcMar>
              <w:top w:w="15" w:type="dxa"/>
              <w:left w:w="15" w:type="dxa"/>
              <w:right w:w="15" w:type="dxa"/>
            </w:tcMar>
            <w:vAlign w:val="center"/>
          </w:tcPr>
          <w:p w14:paraId="3D1CF4A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GB/T 5750.6-2006</w:t>
            </w:r>
          </w:p>
        </w:tc>
        <w:tc>
          <w:tcPr>
            <w:tcW w:w="1222" w:type="dxa"/>
            <w:tcBorders>
              <w:tl2br w:val="nil"/>
              <w:tr2bl w:val="nil"/>
            </w:tcBorders>
            <w:shd w:val="clear" w:color="auto" w:fill="auto"/>
            <w:tcMar>
              <w:top w:w="15" w:type="dxa"/>
              <w:left w:w="15" w:type="dxa"/>
              <w:right w:w="15" w:type="dxa"/>
            </w:tcMar>
            <w:vAlign w:val="center"/>
          </w:tcPr>
          <w:p w14:paraId="3905808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0.0045mg/L</w:t>
            </w:r>
          </w:p>
        </w:tc>
      </w:tr>
      <w:tr w14:paraId="1CBCA0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60BB030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19B5782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锰</w:t>
            </w:r>
          </w:p>
        </w:tc>
        <w:tc>
          <w:tcPr>
            <w:tcW w:w="3470" w:type="dxa"/>
            <w:vMerge w:val="continue"/>
            <w:tcBorders>
              <w:tl2br w:val="nil"/>
              <w:tr2bl w:val="nil"/>
            </w:tcBorders>
            <w:shd w:val="clear" w:color="auto" w:fill="auto"/>
            <w:tcMar>
              <w:top w:w="15" w:type="dxa"/>
              <w:left w:w="15" w:type="dxa"/>
              <w:right w:w="15" w:type="dxa"/>
            </w:tcMar>
            <w:vAlign w:val="center"/>
          </w:tcPr>
          <w:p w14:paraId="344B457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475" w:type="dxa"/>
            <w:vMerge w:val="continue"/>
            <w:tcBorders>
              <w:tl2br w:val="nil"/>
              <w:tr2bl w:val="nil"/>
            </w:tcBorders>
            <w:shd w:val="clear" w:color="auto" w:fill="auto"/>
            <w:tcMar>
              <w:top w:w="15" w:type="dxa"/>
              <w:left w:w="15" w:type="dxa"/>
              <w:right w:w="15" w:type="dxa"/>
            </w:tcMar>
            <w:vAlign w:val="center"/>
          </w:tcPr>
          <w:p w14:paraId="4552A66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000000"/>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454502D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0.0005mg/L</w:t>
            </w:r>
          </w:p>
        </w:tc>
      </w:tr>
      <w:tr w14:paraId="7A02E9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74B60FF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288C9E4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铜</w:t>
            </w:r>
          </w:p>
        </w:tc>
        <w:tc>
          <w:tcPr>
            <w:tcW w:w="3470" w:type="dxa"/>
            <w:vMerge w:val="continue"/>
            <w:tcBorders>
              <w:tl2br w:val="nil"/>
              <w:tr2bl w:val="nil"/>
            </w:tcBorders>
            <w:shd w:val="clear" w:color="auto" w:fill="auto"/>
            <w:tcMar>
              <w:top w:w="15" w:type="dxa"/>
              <w:left w:w="15" w:type="dxa"/>
              <w:right w:w="15" w:type="dxa"/>
            </w:tcMar>
            <w:vAlign w:val="center"/>
          </w:tcPr>
          <w:p w14:paraId="5838D89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475" w:type="dxa"/>
            <w:vMerge w:val="continue"/>
            <w:tcBorders>
              <w:tl2br w:val="nil"/>
              <w:tr2bl w:val="nil"/>
            </w:tcBorders>
            <w:shd w:val="clear" w:color="auto" w:fill="auto"/>
            <w:tcMar>
              <w:top w:w="15" w:type="dxa"/>
              <w:left w:w="15" w:type="dxa"/>
              <w:right w:w="15" w:type="dxa"/>
            </w:tcMar>
            <w:vAlign w:val="center"/>
          </w:tcPr>
          <w:p w14:paraId="4D0C56D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000000"/>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220B9B9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0.009mg/L</w:t>
            </w:r>
          </w:p>
        </w:tc>
      </w:tr>
      <w:tr w14:paraId="1627BE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510BC91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6B4D7E0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铝</w:t>
            </w:r>
          </w:p>
        </w:tc>
        <w:tc>
          <w:tcPr>
            <w:tcW w:w="3470" w:type="dxa"/>
            <w:vMerge w:val="continue"/>
            <w:tcBorders>
              <w:tl2br w:val="nil"/>
              <w:tr2bl w:val="nil"/>
            </w:tcBorders>
            <w:shd w:val="clear" w:color="auto" w:fill="auto"/>
            <w:tcMar>
              <w:top w:w="15" w:type="dxa"/>
              <w:left w:w="15" w:type="dxa"/>
              <w:right w:w="15" w:type="dxa"/>
            </w:tcMar>
            <w:vAlign w:val="center"/>
          </w:tcPr>
          <w:p w14:paraId="3D12621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475" w:type="dxa"/>
            <w:vMerge w:val="continue"/>
            <w:tcBorders>
              <w:tl2br w:val="nil"/>
              <w:tr2bl w:val="nil"/>
            </w:tcBorders>
            <w:shd w:val="clear" w:color="auto" w:fill="auto"/>
            <w:tcMar>
              <w:top w:w="15" w:type="dxa"/>
              <w:left w:w="15" w:type="dxa"/>
              <w:right w:w="15" w:type="dxa"/>
            </w:tcMar>
            <w:vAlign w:val="center"/>
          </w:tcPr>
          <w:p w14:paraId="16D4349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000000"/>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2BDAB9F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0.040mg/L</w:t>
            </w:r>
          </w:p>
        </w:tc>
      </w:tr>
      <w:tr w14:paraId="3C8011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5D3B113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6699611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钠</w:t>
            </w:r>
          </w:p>
        </w:tc>
        <w:tc>
          <w:tcPr>
            <w:tcW w:w="3470" w:type="dxa"/>
            <w:vMerge w:val="continue"/>
            <w:tcBorders>
              <w:tl2br w:val="nil"/>
              <w:tr2bl w:val="nil"/>
            </w:tcBorders>
            <w:shd w:val="clear" w:color="auto" w:fill="auto"/>
            <w:tcMar>
              <w:top w:w="15" w:type="dxa"/>
              <w:left w:w="15" w:type="dxa"/>
              <w:right w:w="15" w:type="dxa"/>
            </w:tcMar>
            <w:vAlign w:val="center"/>
          </w:tcPr>
          <w:p w14:paraId="1993DB2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475" w:type="dxa"/>
            <w:vMerge w:val="continue"/>
            <w:tcBorders>
              <w:tl2br w:val="nil"/>
              <w:tr2bl w:val="nil"/>
            </w:tcBorders>
            <w:shd w:val="clear" w:color="auto" w:fill="auto"/>
            <w:tcMar>
              <w:top w:w="15" w:type="dxa"/>
              <w:left w:w="15" w:type="dxa"/>
              <w:right w:w="15" w:type="dxa"/>
            </w:tcMar>
            <w:vAlign w:val="center"/>
          </w:tcPr>
          <w:p w14:paraId="1A44D6F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000000"/>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7747B61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0.005mg/L</w:t>
            </w:r>
          </w:p>
        </w:tc>
      </w:tr>
      <w:tr w14:paraId="001EBC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36E7D1C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79C64FF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锌</w:t>
            </w:r>
          </w:p>
        </w:tc>
        <w:tc>
          <w:tcPr>
            <w:tcW w:w="3470" w:type="dxa"/>
            <w:vMerge w:val="continue"/>
            <w:tcBorders>
              <w:tl2br w:val="nil"/>
              <w:tr2bl w:val="nil"/>
            </w:tcBorders>
            <w:shd w:val="clear" w:color="auto" w:fill="auto"/>
            <w:tcMar>
              <w:top w:w="15" w:type="dxa"/>
              <w:left w:w="15" w:type="dxa"/>
              <w:right w:w="15" w:type="dxa"/>
            </w:tcMar>
            <w:vAlign w:val="center"/>
          </w:tcPr>
          <w:p w14:paraId="6671F91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475" w:type="dxa"/>
            <w:vMerge w:val="continue"/>
            <w:tcBorders>
              <w:tl2br w:val="nil"/>
              <w:tr2bl w:val="nil"/>
            </w:tcBorders>
            <w:shd w:val="clear" w:color="auto" w:fill="auto"/>
            <w:tcMar>
              <w:top w:w="15" w:type="dxa"/>
              <w:left w:w="15" w:type="dxa"/>
              <w:right w:w="15" w:type="dxa"/>
            </w:tcMar>
            <w:vAlign w:val="center"/>
          </w:tcPr>
          <w:p w14:paraId="72E581F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000000"/>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2AF2668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0.001mg/L</w:t>
            </w:r>
          </w:p>
        </w:tc>
      </w:tr>
      <w:tr w14:paraId="721AA1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1D50CF1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5CFEC48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铬</w:t>
            </w:r>
          </w:p>
        </w:tc>
        <w:tc>
          <w:tcPr>
            <w:tcW w:w="3470" w:type="dxa"/>
            <w:vMerge w:val="continue"/>
            <w:tcBorders>
              <w:tl2br w:val="nil"/>
              <w:tr2bl w:val="nil"/>
            </w:tcBorders>
            <w:shd w:val="clear" w:color="auto" w:fill="auto"/>
            <w:tcMar>
              <w:top w:w="15" w:type="dxa"/>
              <w:left w:w="15" w:type="dxa"/>
              <w:right w:w="15" w:type="dxa"/>
            </w:tcMar>
            <w:vAlign w:val="center"/>
          </w:tcPr>
          <w:p w14:paraId="59A15A2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475" w:type="dxa"/>
            <w:vMerge w:val="continue"/>
            <w:tcBorders>
              <w:tl2br w:val="nil"/>
              <w:tr2bl w:val="nil"/>
            </w:tcBorders>
            <w:shd w:val="clear" w:color="auto" w:fill="auto"/>
            <w:tcMar>
              <w:top w:w="15" w:type="dxa"/>
              <w:left w:w="15" w:type="dxa"/>
              <w:right w:w="15" w:type="dxa"/>
            </w:tcMar>
            <w:vAlign w:val="center"/>
          </w:tcPr>
          <w:p w14:paraId="76FB51C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000000"/>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5026F74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0.019mg/L</w:t>
            </w:r>
          </w:p>
        </w:tc>
      </w:tr>
      <w:tr w14:paraId="768BE3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7A0ABAA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48A18D6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汞</w:t>
            </w:r>
          </w:p>
        </w:tc>
        <w:tc>
          <w:tcPr>
            <w:tcW w:w="3470" w:type="dxa"/>
            <w:vMerge w:val="restart"/>
            <w:tcBorders>
              <w:tl2br w:val="nil"/>
              <w:tr2bl w:val="nil"/>
            </w:tcBorders>
            <w:shd w:val="clear" w:color="auto" w:fill="auto"/>
            <w:tcMar>
              <w:top w:w="15" w:type="dxa"/>
              <w:left w:w="15" w:type="dxa"/>
              <w:right w:w="15" w:type="dxa"/>
            </w:tcMar>
            <w:vAlign w:val="center"/>
          </w:tcPr>
          <w:p w14:paraId="0C6A7E16">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 xml:space="preserve">水质 </w:t>
            </w:r>
            <w:r>
              <w:rPr>
                <w:rStyle w:val="61"/>
                <w:rFonts w:hint="default" w:ascii="Times New Roman" w:hAnsi="Times New Roman" w:cs="Times New Roman"/>
                <w:sz w:val="21"/>
                <w:szCs w:val="21"/>
                <w:highlight w:val="none"/>
                <w:lang w:val="en-US" w:eastAsia="zh-CN" w:bidi="ar"/>
              </w:rPr>
              <w:t>汞、砷、硒、铋和锑的测定</w:t>
            </w:r>
            <w:r>
              <w:rPr>
                <w:rFonts w:hint="default" w:ascii="Times New Roman" w:hAnsi="Times New Roman" w:eastAsia="宋体" w:cs="Times New Roman"/>
                <w:i w:val="0"/>
                <w:color w:val="000000"/>
                <w:kern w:val="0"/>
                <w:sz w:val="21"/>
                <w:szCs w:val="21"/>
                <w:highlight w:val="none"/>
                <w:u w:val="none"/>
                <w:lang w:val="en-US" w:eastAsia="zh-CN" w:bidi="ar"/>
              </w:rPr>
              <w:t xml:space="preserve"> </w:t>
            </w:r>
          </w:p>
          <w:p w14:paraId="60F094E9">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color w:val="000000"/>
                <w:sz w:val="21"/>
                <w:szCs w:val="21"/>
                <w:highlight w:val="none"/>
                <w:u w:val="none"/>
              </w:rPr>
            </w:pPr>
            <w:r>
              <w:rPr>
                <w:rStyle w:val="61"/>
                <w:rFonts w:hint="default" w:ascii="Times New Roman" w:hAnsi="Times New Roman" w:cs="Times New Roman"/>
                <w:sz w:val="21"/>
                <w:szCs w:val="21"/>
                <w:highlight w:val="none"/>
                <w:lang w:val="en-US" w:eastAsia="zh-CN" w:bidi="ar"/>
              </w:rPr>
              <w:t>原子荧光法</w:t>
            </w:r>
          </w:p>
        </w:tc>
        <w:tc>
          <w:tcPr>
            <w:tcW w:w="2475" w:type="dxa"/>
            <w:vMerge w:val="restart"/>
            <w:tcBorders>
              <w:tl2br w:val="nil"/>
              <w:tr2bl w:val="nil"/>
            </w:tcBorders>
            <w:shd w:val="clear" w:color="auto" w:fill="auto"/>
            <w:noWrap/>
            <w:tcMar>
              <w:top w:w="15" w:type="dxa"/>
              <w:left w:w="15" w:type="dxa"/>
              <w:right w:w="15" w:type="dxa"/>
            </w:tcMar>
            <w:vAlign w:val="center"/>
          </w:tcPr>
          <w:p w14:paraId="4C0697E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HJ 694-2014</w:t>
            </w:r>
          </w:p>
        </w:tc>
        <w:tc>
          <w:tcPr>
            <w:tcW w:w="1222" w:type="dxa"/>
            <w:tcBorders>
              <w:tl2br w:val="nil"/>
              <w:tr2bl w:val="nil"/>
            </w:tcBorders>
            <w:shd w:val="clear" w:color="auto" w:fill="auto"/>
            <w:tcMar>
              <w:top w:w="15" w:type="dxa"/>
              <w:left w:w="15" w:type="dxa"/>
              <w:right w:w="15" w:type="dxa"/>
            </w:tcMar>
            <w:vAlign w:val="center"/>
          </w:tcPr>
          <w:p w14:paraId="47A3145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0.00004mg/L</w:t>
            </w:r>
          </w:p>
        </w:tc>
      </w:tr>
      <w:tr w14:paraId="65F905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698FE39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00D6374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砷</w:t>
            </w:r>
          </w:p>
        </w:tc>
        <w:tc>
          <w:tcPr>
            <w:tcW w:w="3470" w:type="dxa"/>
            <w:vMerge w:val="continue"/>
            <w:tcBorders>
              <w:tl2br w:val="nil"/>
              <w:tr2bl w:val="nil"/>
            </w:tcBorders>
            <w:shd w:val="clear" w:color="auto" w:fill="auto"/>
            <w:tcMar>
              <w:top w:w="15" w:type="dxa"/>
              <w:left w:w="15" w:type="dxa"/>
              <w:right w:w="15" w:type="dxa"/>
            </w:tcMar>
            <w:vAlign w:val="center"/>
          </w:tcPr>
          <w:p w14:paraId="79106BE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475" w:type="dxa"/>
            <w:vMerge w:val="continue"/>
            <w:tcBorders>
              <w:tl2br w:val="nil"/>
              <w:tr2bl w:val="nil"/>
            </w:tcBorders>
            <w:shd w:val="clear" w:color="auto" w:fill="auto"/>
            <w:noWrap/>
            <w:tcMar>
              <w:top w:w="15" w:type="dxa"/>
              <w:left w:w="15" w:type="dxa"/>
              <w:right w:w="15" w:type="dxa"/>
            </w:tcMar>
            <w:vAlign w:val="center"/>
          </w:tcPr>
          <w:p w14:paraId="20363BA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000000"/>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6ADE6E9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0.0003mg/L</w:t>
            </w:r>
          </w:p>
        </w:tc>
      </w:tr>
      <w:tr w14:paraId="089EB0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47D204A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153F16A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硒</w:t>
            </w:r>
          </w:p>
        </w:tc>
        <w:tc>
          <w:tcPr>
            <w:tcW w:w="3470" w:type="dxa"/>
            <w:vMerge w:val="continue"/>
            <w:tcBorders>
              <w:tl2br w:val="nil"/>
              <w:tr2bl w:val="nil"/>
            </w:tcBorders>
            <w:shd w:val="clear" w:color="auto" w:fill="auto"/>
            <w:tcMar>
              <w:top w:w="15" w:type="dxa"/>
              <w:left w:w="15" w:type="dxa"/>
              <w:right w:w="15" w:type="dxa"/>
            </w:tcMar>
            <w:vAlign w:val="center"/>
          </w:tcPr>
          <w:p w14:paraId="3789D10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475" w:type="dxa"/>
            <w:vMerge w:val="continue"/>
            <w:tcBorders>
              <w:tl2br w:val="nil"/>
              <w:tr2bl w:val="nil"/>
            </w:tcBorders>
            <w:shd w:val="clear" w:color="auto" w:fill="auto"/>
            <w:noWrap/>
            <w:tcMar>
              <w:top w:w="15" w:type="dxa"/>
              <w:left w:w="15" w:type="dxa"/>
              <w:right w:w="15" w:type="dxa"/>
            </w:tcMar>
            <w:vAlign w:val="center"/>
          </w:tcPr>
          <w:p w14:paraId="1BF35CE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000000"/>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67189C3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0.0004mg/L</w:t>
            </w:r>
          </w:p>
        </w:tc>
      </w:tr>
      <w:tr w14:paraId="7A93A9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4474F55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6957F7A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铅</w:t>
            </w:r>
          </w:p>
        </w:tc>
        <w:tc>
          <w:tcPr>
            <w:tcW w:w="3470" w:type="dxa"/>
            <w:tcBorders>
              <w:tl2br w:val="nil"/>
              <w:tr2bl w:val="nil"/>
            </w:tcBorders>
            <w:shd w:val="clear" w:color="auto" w:fill="auto"/>
            <w:tcMar>
              <w:top w:w="15" w:type="dxa"/>
              <w:left w:w="15" w:type="dxa"/>
              <w:right w:w="15" w:type="dxa"/>
            </w:tcMar>
            <w:vAlign w:val="center"/>
          </w:tcPr>
          <w:p w14:paraId="48EDADE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生活饮用水标准检验方法 金属指标</w:t>
            </w:r>
            <w:r>
              <w:rPr>
                <w:rFonts w:hint="default" w:ascii="Times New Roman" w:hAnsi="Times New Roman" w:eastAsia="宋体" w:cs="Times New Roman"/>
                <w:i w:val="0"/>
                <w:color w:val="000000"/>
                <w:kern w:val="0"/>
                <w:sz w:val="21"/>
                <w:szCs w:val="21"/>
                <w:highlight w:val="none"/>
                <w:u w:val="none"/>
                <w:lang w:val="en-US" w:eastAsia="zh-CN" w:bidi="ar"/>
              </w:rPr>
              <w:br w:type="textWrapping"/>
            </w:r>
            <w:r>
              <w:rPr>
                <w:rFonts w:hint="default" w:ascii="Times New Roman" w:hAnsi="Times New Roman" w:eastAsia="宋体" w:cs="Times New Roman"/>
                <w:i w:val="0"/>
                <w:color w:val="000000"/>
                <w:kern w:val="0"/>
                <w:sz w:val="21"/>
                <w:szCs w:val="21"/>
                <w:highlight w:val="none"/>
                <w:u w:val="none"/>
                <w:lang w:val="en-US" w:eastAsia="zh-CN" w:bidi="ar"/>
              </w:rPr>
              <w:t>无火焰原子吸收分光光度法</w:t>
            </w:r>
          </w:p>
        </w:tc>
        <w:tc>
          <w:tcPr>
            <w:tcW w:w="2475" w:type="dxa"/>
            <w:tcBorders>
              <w:tl2br w:val="nil"/>
              <w:tr2bl w:val="nil"/>
            </w:tcBorders>
            <w:shd w:val="clear" w:color="auto" w:fill="auto"/>
            <w:noWrap/>
            <w:tcMar>
              <w:top w:w="15" w:type="dxa"/>
              <w:left w:w="15" w:type="dxa"/>
              <w:right w:w="15" w:type="dxa"/>
            </w:tcMar>
            <w:vAlign w:val="center"/>
          </w:tcPr>
          <w:p w14:paraId="4B1E766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GB/T 5750.6-2006</w:t>
            </w:r>
          </w:p>
        </w:tc>
        <w:tc>
          <w:tcPr>
            <w:tcW w:w="1222" w:type="dxa"/>
            <w:tcBorders>
              <w:tl2br w:val="nil"/>
              <w:tr2bl w:val="nil"/>
            </w:tcBorders>
            <w:shd w:val="clear" w:color="auto" w:fill="auto"/>
            <w:tcMar>
              <w:top w:w="15" w:type="dxa"/>
              <w:left w:w="15" w:type="dxa"/>
              <w:right w:w="15" w:type="dxa"/>
            </w:tcMar>
            <w:vAlign w:val="center"/>
          </w:tcPr>
          <w:p w14:paraId="4290F9F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0.0025mg/L</w:t>
            </w:r>
          </w:p>
        </w:tc>
      </w:tr>
      <w:tr w14:paraId="7FC937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18F8AB6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60198C8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镉</w:t>
            </w:r>
          </w:p>
        </w:tc>
        <w:tc>
          <w:tcPr>
            <w:tcW w:w="3470" w:type="dxa"/>
            <w:tcBorders>
              <w:tl2br w:val="nil"/>
              <w:tr2bl w:val="nil"/>
            </w:tcBorders>
            <w:shd w:val="clear" w:color="auto" w:fill="auto"/>
            <w:tcMar>
              <w:top w:w="15" w:type="dxa"/>
              <w:left w:w="15" w:type="dxa"/>
              <w:right w:w="15" w:type="dxa"/>
            </w:tcMar>
            <w:vAlign w:val="center"/>
          </w:tcPr>
          <w:p w14:paraId="24017E7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生活饮用水标准检验方法 金属指标</w:t>
            </w:r>
            <w:r>
              <w:rPr>
                <w:rFonts w:hint="default" w:ascii="Times New Roman" w:hAnsi="Times New Roman" w:eastAsia="宋体" w:cs="Times New Roman"/>
                <w:i w:val="0"/>
                <w:color w:val="000000"/>
                <w:kern w:val="0"/>
                <w:sz w:val="21"/>
                <w:szCs w:val="21"/>
                <w:highlight w:val="none"/>
                <w:u w:val="none"/>
                <w:lang w:val="en-US" w:eastAsia="zh-CN" w:bidi="ar"/>
              </w:rPr>
              <w:br w:type="textWrapping"/>
            </w:r>
            <w:r>
              <w:rPr>
                <w:rFonts w:hint="default" w:ascii="Times New Roman" w:hAnsi="Times New Roman" w:eastAsia="宋体" w:cs="Times New Roman"/>
                <w:i w:val="0"/>
                <w:color w:val="000000"/>
                <w:kern w:val="0"/>
                <w:sz w:val="21"/>
                <w:szCs w:val="21"/>
                <w:highlight w:val="none"/>
                <w:u w:val="none"/>
                <w:lang w:val="en-US" w:eastAsia="zh-CN" w:bidi="ar"/>
              </w:rPr>
              <w:t>无火焰原子吸收分光光度法</w:t>
            </w:r>
          </w:p>
        </w:tc>
        <w:tc>
          <w:tcPr>
            <w:tcW w:w="2475" w:type="dxa"/>
            <w:tcBorders>
              <w:tl2br w:val="nil"/>
              <w:tr2bl w:val="nil"/>
            </w:tcBorders>
            <w:shd w:val="clear" w:color="auto" w:fill="auto"/>
            <w:tcMar>
              <w:top w:w="15" w:type="dxa"/>
              <w:left w:w="15" w:type="dxa"/>
              <w:right w:w="15" w:type="dxa"/>
            </w:tcMar>
            <w:vAlign w:val="center"/>
          </w:tcPr>
          <w:p w14:paraId="22C4DF9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GB/T 5750.6-2006</w:t>
            </w:r>
          </w:p>
        </w:tc>
        <w:tc>
          <w:tcPr>
            <w:tcW w:w="1222" w:type="dxa"/>
            <w:tcBorders>
              <w:tl2br w:val="nil"/>
              <w:tr2bl w:val="nil"/>
            </w:tcBorders>
            <w:shd w:val="clear" w:color="auto" w:fill="auto"/>
            <w:tcMar>
              <w:top w:w="15" w:type="dxa"/>
              <w:left w:w="15" w:type="dxa"/>
              <w:right w:w="15" w:type="dxa"/>
            </w:tcMar>
            <w:vAlign w:val="center"/>
          </w:tcPr>
          <w:p w14:paraId="5029489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0.0005mg/L</w:t>
            </w:r>
          </w:p>
        </w:tc>
      </w:tr>
      <w:tr w14:paraId="37C416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59DAC50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2A6ABEC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铬（六价）</w:t>
            </w:r>
          </w:p>
        </w:tc>
        <w:tc>
          <w:tcPr>
            <w:tcW w:w="3470" w:type="dxa"/>
            <w:tcBorders>
              <w:tl2br w:val="nil"/>
              <w:tr2bl w:val="nil"/>
            </w:tcBorders>
            <w:shd w:val="clear" w:color="auto" w:fill="auto"/>
            <w:tcMar>
              <w:top w:w="15" w:type="dxa"/>
              <w:left w:w="15" w:type="dxa"/>
              <w:right w:w="15" w:type="dxa"/>
            </w:tcMar>
            <w:vAlign w:val="center"/>
          </w:tcPr>
          <w:p w14:paraId="648FF1B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生活饮用水标准检验方法 金属指标</w:t>
            </w:r>
            <w:r>
              <w:rPr>
                <w:rFonts w:hint="default" w:ascii="Times New Roman" w:hAnsi="Times New Roman" w:eastAsia="宋体" w:cs="Times New Roman"/>
                <w:i w:val="0"/>
                <w:color w:val="000000"/>
                <w:kern w:val="0"/>
                <w:sz w:val="21"/>
                <w:szCs w:val="21"/>
                <w:highlight w:val="none"/>
                <w:u w:val="none"/>
                <w:lang w:val="en-US" w:eastAsia="zh-CN" w:bidi="ar"/>
              </w:rPr>
              <w:br w:type="textWrapping"/>
            </w:r>
            <w:r>
              <w:rPr>
                <w:rFonts w:hint="default" w:ascii="Times New Roman" w:hAnsi="Times New Roman" w:eastAsia="宋体" w:cs="Times New Roman"/>
                <w:i w:val="0"/>
                <w:color w:val="000000"/>
                <w:kern w:val="0"/>
                <w:sz w:val="21"/>
                <w:szCs w:val="21"/>
                <w:highlight w:val="none"/>
                <w:u w:val="none"/>
                <w:lang w:val="en-US" w:eastAsia="zh-CN" w:bidi="ar"/>
              </w:rPr>
              <w:t>二苯碳酰二肼分光光度法</w:t>
            </w:r>
          </w:p>
        </w:tc>
        <w:tc>
          <w:tcPr>
            <w:tcW w:w="2475" w:type="dxa"/>
            <w:tcBorders>
              <w:tl2br w:val="nil"/>
              <w:tr2bl w:val="nil"/>
            </w:tcBorders>
            <w:shd w:val="clear" w:color="auto" w:fill="auto"/>
            <w:noWrap/>
            <w:tcMar>
              <w:top w:w="15" w:type="dxa"/>
              <w:left w:w="15" w:type="dxa"/>
              <w:right w:w="15" w:type="dxa"/>
            </w:tcMar>
            <w:vAlign w:val="center"/>
          </w:tcPr>
          <w:p w14:paraId="7B44FB7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GB/T 5750.6-2006</w:t>
            </w:r>
          </w:p>
        </w:tc>
        <w:tc>
          <w:tcPr>
            <w:tcW w:w="1222" w:type="dxa"/>
            <w:tcBorders>
              <w:tl2br w:val="nil"/>
              <w:tr2bl w:val="nil"/>
            </w:tcBorders>
            <w:shd w:val="clear" w:color="auto" w:fill="auto"/>
            <w:tcMar>
              <w:top w:w="15" w:type="dxa"/>
              <w:left w:w="15" w:type="dxa"/>
              <w:right w:w="15" w:type="dxa"/>
            </w:tcMar>
            <w:vAlign w:val="center"/>
          </w:tcPr>
          <w:p w14:paraId="688EA05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0.004mg/L</w:t>
            </w:r>
          </w:p>
        </w:tc>
      </w:tr>
      <w:tr w14:paraId="6C4A73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45B0DE0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60F4DF3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石油类</w:t>
            </w:r>
          </w:p>
        </w:tc>
        <w:tc>
          <w:tcPr>
            <w:tcW w:w="3470" w:type="dxa"/>
            <w:tcBorders>
              <w:tl2br w:val="nil"/>
              <w:tr2bl w:val="nil"/>
            </w:tcBorders>
            <w:shd w:val="clear" w:color="auto" w:fill="auto"/>
            <w:tcMar>
              <w:top w:w="15" w:type="dxa"/>
              <w:left w:w="15" w:type="dxa"/>
              <w:right w:w="15" w:type="dxa"/>
            </w:tcMar>
            <w:vAlign w:val="center"/>
          </w:tcPr>
          <w:p w14:paraId="29D219B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水质 石油类的测定 紫外分光光度法</w:t>
            </w:r>
          </w:p>
        </w:tc>
        <w:tc>
          <w:tcPr>
            <w:tcW w:w="2475" w:type="dxa"/>
            <w:tcBorders>
              <w:tl2br w:val="nil"/>
              <w:tr2bl w:val="nil"/>
            </w:tcBorders>
            <w:shd w:val="clear" w:color="auto" w:fill="auto"/>
            <w:noWrap/>
            <w:tcMar>
              <w:top w:w="15" w:type="dxa"/>
              <w:left w:w="15" w:type="dxa"/>
              <w:right w:w="15" w:type="dxa"/>
            </w:tcMar>
            <w:vAlign w:val="center"/>
          </w:tcPr>
          <w:p w14:paraId="4E49A16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HJ 970-2018</w:t>
            </w:r>
          </w:p>
        </w:tc>
        <w:tc>
          <w:tcPr>
            <w:tcW w:w="1222" w:type="dxa"/>
            <w:tcBorders>
              <w:tl2br w:val="nil"/>
              <w:tr2bl w:val="nil"/>
            </w:tcBorders>
            <w:shd w:val="clear" w:color="auto" w:fill="auto"/>
            <w:tcMar>
              <w:top w:w="15" w:type="dxa"/>
              <w:left w:w="15" w:type="dxa"/>
              <w:right w:w="15" w:type="dxa"/>
            </w:tcMar>
            <w:vAlign w:val="center"/>
          </w:tcPr>
          <w:p w14:paraId="1B07FC4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0.01mg/L</w:t>
            </w:r>
          </w:p>
        </w:tc>
      </w:tr>
      <w:tr w14:paraId="6C9A79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27BD4FB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603387A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eastAsia" w:cs="Times New Roman"/>
                <w:i w:val="0"/>
                <w:color w:val="000000"/>
                <w:kern w:val="0"/>
                <w:sz w:val="21"/>
                <w:szCs w:val="21"/>
                <w:highlight w:val="none"/>
                <w:u w:val="none"/>
                <w:lang w:val="en-US" w:eastAsia="zh-CN" w:bidi="ar"/>
              </w:rPr>
              <w:t>氯仿</w:t>
            </w:r>
            <w:r>
              <w:rPr>
                <w:rFonts w:hint="default" w:ascii="Times New Roman" w:hAnsi="Times New Roman" w:eastAsia="宋体" w:cs="Times New Roman"/>
                <w:i w:val="0"/>
                <w:color w:val="000000"/>
                <w:kern w:val="0"/>
                <w:sz w:val="21"/>
                <w:szCs w:val="21"/>
                <w:highlight w:val="none"/>
                <w:u w:val="none"/>
                <w:lang w:val="en-US" w:eastAsia="zh-CN" w:bidi="ar"/>
              </w:rPr>
              <w:br w:type="textWrapping"/>
            </w:r>
            <w:r>
              <w:rPr>
                <w:rFonts w:hint="default" w:ascii="Times New Roman" w:hAnsi="Times New Roman" w:eastAsia="宋体" w:cs="Times New Roman"/>
                <w:i w:val="0"/>
                <w:color w:val="000000"/>
                <w:kern w:val="0"/>
                <w:sz w:val="21"/>
                <w:szCs w:val="21"/>
                <w:highlight w:val="none"/>
                <w:u w:val="none"/>
                <w:lang w:val="en-US" w:eastAsia="zh-CN" w:bidi="ar"/>
              </w:rPr>
              <w:t>（氯仿）</w:t>
            </w:r>
          </w:p>
        </w:tc>
        <w:tc>
          <w:tcPr>
            <w:tcW w:w="3470" w:type="dxa"/>
            <w:vMerge w:val="restart"/>
            <w:tcBorders>
              <w:tl2br w:val="nil"/>
              <w:tr2bl w:val="nil"/>
            </w:tcBorders>
            <w:shd w:val="clear" w:color="auto" w:fill="auto"/>
            <w:tcMar>
              <w:top w:w="15" w:type="dxa"/>
              <w:left w:w="15" w:type="dxa"/>
              <w:right w:w="15" w:type="dxa"/>
            </w:tcMar>
            <w:vAlign w:val="center"/>
          </w:tcPr>
          <w:p w14:paraId="2C9E24E4">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 xml:space="preserve">水质 </w:t>
            </w:r>
            <w:r>
              <w:rPr>
                <w:rStyle w:val="61"/>
                <w:rFonts w:hint="default" w:ascii="Times New Roman" w:hAnsi="Times New Roman" w:cs="Times New Roman"/>
                <w:sz w:val="21"/>
                <w:szCs w:val="21"/>
                <w:highlight w:val="none"/>
                <w:lang w:val="en-US" w:eastAsia="zh-CN" w:bidi="ar"/>
              </w:rPr>
              <w:t>挥发性有机物的测定</w:t>
            </w:r>
          </w:p>
          <w:p w14:paraId="2D0BF2A3">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color w:val="000000"/>
                <w:sz w:val="21"/>
                <w:szCs w:val="21"/>
                <w:highlight w:val="none"/>
                <w:u w:val="none"/>
              </w:rPr>
            </w:pPr>
            <w:r>
              <w:rPr>
                <w:rStyle w:val="61"/>
                <w:rFonts w:hint="default" w:ascii="Times New Roman" w:hAnsi="Times New Roman" w:cs="Times New Roman"/>
                <w:sz w:val="21"/>
                <w:szCs w:val="21"/>
                <w:highlight w:val="none"/>
                <w:lang w:val="en-US" w:eastAsia="zh-CN" w:bidi="ar"/>
              </w:rPr>
              <w:t>吹扫捕集</w:t>
            </w:r>
            <w:r>
              <w:rPr>
                <w:rFonts w:hint="default" w:ascii="Times New Roman" w:hAnsi="Times New Roman" w:eastAsia="宋体" w:cs="Times New Roman"/>
                <w:i w:val="0"/>
                <w:color w:val="000000"/>
                <w:kern w:val="0"/>
                <w:sz w:val="21"/>
                <w:szCs w:val="21"/>
                <w:highlight w:val="none"/>
                <w:u w:val="none"/>
                <w:lang w:val="en-US" w:eastAsia="zh-CN" w:bidi="ar"/>
              </w:rPr>
              <w:t xml:space="preserve">/ </w:t>
            </w:r>
            <w:r>
              <w:rPr>
                <w:rStyle w:val="61"/>
                <w:rFonts w:hint="default" w:ascii="Times New Roman" w:hAnsi="Times New Roman" w:cs="Times New Roman"/>
                <w:sz w:val="21"/>
                <w:szCs w:val="21"/>
                <w:highlight w:val="none"/>
                <w:lang w:val="en-US" w:eastAsia="zh-CN" w:bidi="ar"/>
              </w:rPr>
              <w:t>气相色谱</w:t>
            </w:r>
            <w:r>
              <w:rPr>
                <w:rFonts w:hint="default" w:ascii="Times New Roman" w:hAnsi="Times New Roman" w:eastAsia="宋体" w:cs="Times New Roman"/>
                <w:i w:val="0"/>
                <w:color w:val="000000"/>
                <w:kern w:val="0"/>
                <w:sz w:val="21"/>
                <w:szCs w:val="21"/>
                <w:highlight w:val="none"/>
                <w:u w:val="none"/>
                <w:lang w:val="en-US" w:eastAsia="zh-CN" w:bidi="ar"/>
              </w:rPr>
              <w:t>-</w:t>
            </w:r>
            <w:r>
              <w:rPr>
                <w:rStyle w:val="61"/>
                <w:rFonts w:hint="default" w:ascii="Times New Roman" w:hAnsi="Times New Roman" w:cs="Times New Roman"/>
                <w:sz w:val="21"/>
                <w:szCs w:val="21"/>
                <w:highlight w:val="none"/>
                <w:lang w:val="en-US" w:eastAsia="zh-CN" w:bidi="ar"/>
              </w:rPr>
              <w:t>质谱法</w:t>
            </w:r>
          </w:p>
        </w:tc>
        <w:tc>
          <w:tcPr>
            <w:tcW w:w="2475" w:type="dxa"/>
            <w:vMerge w:val="restart"/>
            <w:tcBorders>
              <w:tl2br w:val="nil"/>
              <w:tr2bl w:val="nil"/>
            </w:tcBorders>
            <w:shd w:val="clear" w:color="auto" w:fill="auto"/>
            <w:noWrap/>
            <w:tcMar>
              <w:top w:w="15" w:type="dxa"/>
              <w:left w:w="15" w:type="dxa"/>
              <w:right w:w="15" w:type="dxa"/>
            </w:tcMar>
            <w:vAlign w:val="center"/>
          </w:tcPr>
          <w:p w14:paraId="11B12D6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HJ 639-2012</w:t>
            </w:r>
          </w:p>
        </w:tc>
        <w:tc>
          <w:tcPr>
            <w:tcW w:w="1222" w:type="dxa"/>
            <w:tcBorders>
              <w:tl2br w:val="nil"/>
              <w:tr2bl w:val="nil"/>
            </w:tcBorders>
            <w:shd w:val="clear" w:color="auto" w:fill="auto"/>
            <w:tcMar>
              <w:top w:w="15" w:type="dxa"/>
              <w:left w:w="15" w:type="dxa"/>
              <w:right w:w="15" w:type="dxa"/>
            </w:tcMar>
            <w:vAlign w:val="center"/>
          </w:tcPr>
          <w:p w14:paraId="3D00D06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0.0014mg/L</w:t>
            </w:r>
          </w:p>
        </w:tc>
      </w:tr>
      <w:tr w14:paraId="5D2EDC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17BBEC8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0664D71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四氯化碳</w:t>
            </w:r>
          </w:p>
        </w:tc>
        <w:tc>
          <w:tcPr>
            <w:tcW w:w="3470" w:type="dxa"/>
            <w:vMerge w:val="continue"/>
            <w:tcBorders>
              <w:tl2br w:val="nil"/>
              <w:tr2bl w:val="nil"/>
            </w:tcBorders>
            <w:shd w:val="clear" w:color="auto" w:fill="auto"/>
            <w:tcMar>
              <w:top w:w="15" w:type="dxa"/>
              <w:left w:w="15" w:type="dxa"/>
              <w:right w:w="15" w:type="dxa"/>
            </w:tcMar>
            <w:vAlign w:val="center"/>
          </w:tcPr>
          <w:p w14:paraId="6CB9615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475" w:type="dxa"/>
            <w:vMerge w:val="continue"/>
            <w:tcBorders>
              <w:tl2br w:val="nil"/>
              <w:tr2bl w:val="nil"/>
            </w:tcBorders>
            <w:shd w:val="clear" w:color="auto" w:fill="auto"/>
            <w:noWrap/>
            <w:tcMar>
              <w:top w:w="15" w:type="dxa"/>
              <w:left w:w="15" w:type="dxa"/>
              <w:right w:w="15" w:type="dxa"/>
            </w:tcMar>
            <w:vAlign w:val="center"/>
          </w:tcPr>
          <w:p w14:paraId="6E38B5E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000000"/>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42A3B43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0.0015mg/L</w:t>
            </w:r>
          </w:p>
        </w:tc>
      </w:tr>
      <w:tr w14:paraId="1F3BB6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4F55808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54195A1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苯</w:t>
            </w:r>
          </w:p>
        </w:tc>
        <w:tc>
          <w:tcPr>
            <w:tcW w:w="3470" w:type="dxa"/>
            <w:vMerge w:val="continue"/>
            <w:tcBorders>
              <w:tl2br w:val="nil"/>
              <w:tr2bl w:val="nil"/>
            </w:tcBorders>
            <w:shd w:val="clear" w:color="auto" w:fill="auto"/>
            <w:tcMar>
              <w:top w:w="15" w:type="dxa"/>
              <w:left w:w="15" w:type="dxa"/>
              <w:right w:w="15" w:type="dxa"/>
            </w:tcMar>
            <w:vAlign w:val="center"/>
          </w:tcPr>
          <w:p w14:paraId="1642344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475" w:type="dxa"/>
            <w:vMerge w:val="continue"/>
            <w:tcBorders>
              <w:tl2br w:val="nil"/>
              <w:tr2bl w:val="nil"/>
            </w:tcBorders>
            <w:shd w:val="clear" w:color="auto" w:fill="auto"/>
            <w:noWrap/>
            <w:tcMar>
              <w:top w:w="15" w:type="dxa"/>
              <w:left w:w="15" w:type="dxa"/>
              <w:right w:w="15" w:type="dxa"/>
            </w:tcMar>
            <w:vAlign w:val="center"/>
          </w:tcPr>
          <w:p w14:paraId="471C191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000000"/>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679B0AB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0.0014mg/L</w:t>
            </w:r>
          </w:p>
        </w:tc>
      </w:tr>
      <w:tr w14:paraId="735373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038" w:type="dxa"/>
            <w:vMerge w:val="continue"/>
            <w:tcBorders>
              <w:tl2br w:val="nil"/>
              <w:tr2bl w:val="nil"/>
            </w:tcBorders>
            <w:shd w:val="clear" w:color="auto" w:fill="auto"/>
            <w:tcMar>
              <w:top w:w="15" w:type="dxa"/>
              <w:left w:w="15" w:type="dxa"/>
              <w:right w:w="15" w:type="dxa"/>
            </w:tcMar>
            <w:vAlign w:val="center"/>
          </w:tcPr>
          <w:p w14:paraId="1DE86E8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1407" w:type="dxa"/>
            <w:tcBorders>
              <w:tl2br w:val="nil"/>
              <w:tr2bl w:val="nil"/>
            </w:tcBorders>
            <w:shd w:val="clear" w:color="auto" w:fill="auto"/>
            <w:tcMar>
              <w:top w:w="15" w:type="dxa"/>
              <w:left w:w="15" w:type="dxa"/>
              <w:right w:w="15" w:type="dxa"/>
            </w:tcMar>
            <w:vAlign w:val="center"/>
          </w:tcPr>
          <w:p w14:paraId="74A5EF4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甲苯</w:t>
            </w:r>
          </w:p>
        </w:tc>
        <w:tc>
          <w:tcPr>
            <w:tcW w:w="3470" w:type="dxa"/>
            <w:vMerge w:val="continue"/>
            <w:tcBorders>
              <w:tl2br w:val="nil"/>
              <w:tr2bl w:val="nil"/>
            </w:tcBorders>
            <w:shd w:val="clear" w:color="auto" w:fill="auto"/>
            <w:tcMar>
              <w:top w:w="15" w:type="dxa"/>
              <w:left w:w="15" w:type="dxa"/>
              <w:right w:w="15" w:type="dxa"/>
            </w:tcMar>
            <w:vAlign w:val="center"/>
          </w:tcPr>
          <w:p w14:paraId="2BA3E57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475" w:type="dxa"/>
            <w:vMerge w:val="continue"/>
            <w:tcBorders>
              <w:tl2br w:val="nil"/>
              <w:tr2bl w:val="nil"/>
            </w:tcBorders>
            <w:shd w:val="clear" w:color="auto" w:fill="auto"/>
            <w:noWrap/>
            <w:tcMar>
              <w:top w:w="15" w:type="dxa"/>
              <w:left w:w="15" w:type="dxa"/>
              <w:right w:w="15" w:type="dxa"/>
            </w:tcMar>
            <w:vAlign w:val="center"/>
          </w:tcPr>
          <w:p w14:paraId="3CCE4C9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000000"/>
                <w:sz w:val="21"/>
                <w:szCs w:val="21"/>
                <w:highlight w:val="none"/>
                <w:u w:val="none"/>
              </w:rPr>
            </w:pPr>
          </w:p>
        </w:tc>
        <w:tc>
          <w:tcPr>
            <w:tcW w:w="1222" w:type="dxa"/>
            <w:tcBorders>
              <w:tl2br w:val="nil"/>
              <w:tr2bl w:val="nil"/>
            </w:tcBorders>
            <w:shd w:val="clear" w:color="auto" w:fill="auto"/>
            <w:tcMar>
              <w:top w:w="15" w:type="dxa"/>
              <w:left w:w="15" w:type="dxa"/>
              <w:right w:w="15" w:type="dxa"/>
            </w:tcMar>
            <w:vAlign w:val="center"/>
          </w:tcPr>
          <w:p w14:paraId="4C1F95C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0.0014mg/L</w:t>
            </w:r>
          </w:p>
        </w:tc>
      </w:tr>
    </w:tbl>
    <w:p w14:paraId="02B1F03D">
      <w:pPr>
        <w:pStyle w:val="2"/>
        <w:keepNext w:val="0"/>
        <w:keepLines w:val="0"/>
        <w:spacing w:after="0" w:line="240" w:lineRule="auto"/>
        <w:ind w:firstLine="420"/>
        <w:rPr>
          <w:rFonts w:hint="default" w:ascii="Times New Roman" w:hAnsi="Times New Roman" w:cs="Times New Roman"/>
          <w:highlight w:val="none"/>
        </w:rPr>
      </w:pPr>
      <w:bookmarkStart w:id="32" w:name="_Toc25163"/>
      <w:r>
        <w:rPr>
          <w:rFonts w:hint="eastAsia" w:cs="Times New Roman"/>
          <w:b/>
          <w:bCs/>
          <w:color w:val="auto"/>
          <w:sz w:val="18"/>
          <w:szCs w:val="18"/>
          <w:highlight w:val="none"/>
          <w:lang w:val="en-US" w:eastAsia="zh-CN"/>
        </w:rPr>
        <w:t>注：</w:t>
      </w:r>
      <w:r>
        <w:rPr>
          <w:rFonts w:hint="eastAsia" w:cs="Times New Roman"/>
          <w:b/>
          <w:bCs/>
          <w:color w:val="auto"/>
          <w:sz w:val="18"/>
          <w:szCs w:val="18"/>
          <w:highlight w:val="none"/>
          <w:lang w:eastAsia="zh-CN"/>
        </w:rPr>
        <w:t>①</w:t>
      </w:r>
      <w:r>
        <w:rPr>
          <w:rFonts w:hint="default" w:ascii="Times New Roman" w:hAnsi="Times New Roman" w:cs="Times New Roman"/>
          <w:b/>
          <w:bCs/>
          <w:color w:val="auto"/>
          <w:sz w:val="18"/>
          <w:szCs w:val="18"/>
          <w:highlight w:val="none"/>
          <w:lang w:eastAsia="zh-CN"/>
        </w:rPr>
        <w:t>“</w:t>
      </w:r>
      <w:r>
        <w:rPr>
          <w:rFonts w:hint="default" w:ascii="Times New Roman" w:hAnsi="Times New Roman" w:cs="Times New Roman"/>
          <w:b/>
          <w:bCs/>
          <w:color w:val="auto"/>
          <w:sz w:val="18"/>
          <w:szCs w:val="18"/>
          <w:highlight w:val="none"/>
          <w:lang w:val="en-US" w:eastAsia="zh-CN"/>
        </w:rPr>
        <w:t>/</w:t>
      </w:r>
      <w:r>
        <w:rPr>
          <w:rFonts w:hint="default" w:ascii="Times New Roman" w:hAnsi="Times New Roman" w:cs="Times New Roman"/>
          <w:b/>
          <w:bCs/>
          <w:color w:val="auto"/>
          <w:sz w:val="18"/>
          <w:szCs w:val="18"/>
          <w:highlight w:val="none"/>
          <w:lang w:eastAsia="zh-CN"/>
        </w:rPr>
        <w:t>”代表方法未给出检出限</w:t>
      </w:r>
      <w:r>
        <w:rPr>
          <w:rFonts w:hint="eastAsia" w:cs="Times New Roman"/>
          <w:b/>
          <w:bCs/>
          <w:color w:val="auto"/>
          <w:sz w:val="18"/>
          <w:szCs w:val="18"/>
          <w:highlight w:val="none"/>
          <w:lang w:eastAsia="zh-CN"/>
        </w:rPr>
        <w:t>。</w:t>
      </w:r>
    </w:p>
    <w:p w14:paraId="23D40015">
      <w:pPr>
        <w:pStyle w:val="4"/>
        <w:tabs>
          <w:tab w:val="left" w:leader="dot" w:pos="0"/>
          <w:tab w:val="clear" w:pos="425"/>
        </w:tabs>
        <w:rPr>
          <w:rFonts w:hint="default" w:ascii="Times New Roman" w:hAnsi="Times New Roman" w:cs="Times New Roman"/>
          <w:highlight w:val="none"/>
        </w:rPr>
      </w:pPr>
      <w:r>
        <w:rPr>
          <w:rFonts w:hint="default" w:ascii="Times New Roman" w:hAnsi="Times New Roman" w:cs="Times New Roman"/>
          <w:highlight w:val="none"/>
          <w:lang w:eastAsia="zh-CN"/>
        </w:rPr>
        <w:t>现场</w:t>
      </w:r>
      <w:r>
        <w:rPr>
          <w:rFonts w:hint="default" w:ascii="Times New Roman" w:hAnsi="Times New Roman" w:cs="Times New Roman"/>
          <w:highlight w:val="none"/>
        </w:rPr>
        <w:t>质量控制</w:t>
      </w:r>
      <w:bookmarkEnd w:id="32"/>
    </w:p>
    <w:p w14:paraId="3EAAAD8B">
      <w:pPr>
        <w:pStyle w:val="5"/>
        <w:tabs>
          <w:tab w:val="clear" w:pos="851"/>
        </w:tabs>
        <w:rPr>
          <w:rFonts w:hint="default" w:ascii="Times New Roman" w:hAnsi="Times New Roman" w:cs="Times New Roman"/>
          <w:highlight w:val="none"/>
        </w:rPr>
      </w:pPr>
      <w:r>
        <w:rPr>
          <w:rFonts w:hint="default" w:ascii="Times New Roman" w:hAnsi="Times New Roman" w:cs="Times New Roman"/>
          <w:highlight w:val="none"/>
        </w:rPr>
        <w:t>现场运输空白</w:t>
      </w:r>
    </w:p>
    <w:p w14:paraId="37E2D3CB">
      <w:pPr>
        <w:spacing w:line="360" w:lineRule="auto"/>
        <w:ind w:left="1" w:firstLine="480" w:firstLineChars="200"/>
        <w:rPr>
          <w:rFonts w:hint="default" w:ascii="Times New Roman" w:hAnsi="Times New Roman" w:cs="Times New Roman"/>
          <w:snapToGrid w:val="0"/>
          <w:color w:val="000000"/>
          <w:kern w:val="0"/>
          <w:sz w:val="24"/>
          <w:highlight w:val="none"/>
        </w:rPr>
      </w:pPr>
      <w:r>
        <w:rPr>
          <w:rFonts w:hint="default" w:ascii="Times New Roman" w:hAnsi="Times New Roman" w:cs="Times New Roman"/>
          <w:snapToGrid w:val="0"/>
          <w:color w:val="000000"/>
          <w:kern w:val="0"/>
          <w:sz w:val="24"/>
          <w:highlight w:val="none"/>
        </w:rPr>
        <w:t>按照《</w:t>
      </w:r>
      <w:r>
        <w:rPr>
          <w:rFonts w:hint="default" w:ascii="Times New Roman" w:hAnsi="Times New Roman" w:cs="Times New Roman"/>
          <w:snapToGrid w:val="0"/>
          <w:color w:val="000000"/>
          <w:kern w:val="0"/>
          <w:sz w:val="24"/>
          <w:highlight w:val="none"/>
          <w:lang w:eastAsia="zh-CN"/>
        </w:rPr>
        <w:t>场地</w:t>
      </w:r>
      <w:r>
        <w:rPr>
          <w:rFonts w:hint="default" w:ascii="Times New Roman" w:hAnsi="Times New Roman" w:cs="Times New Roman"/>
          <w:snapToGrid w:val="0"/>
          <w:color w:val="000000"/>
          <w:kern w:val="0"/>
          <w:sz w:val="24"/>
          <w:highlight w:val="none"/>
        </w:rPr>
        <w:t>土壤和地下水中挥发性有机物采样技术导则》（HJ1019-2019）相关要求，采集了1个运输空白样（TB），样品和运输空白样品的27项挥发性有机物的检测结果均低于检出限（检测数据详见报告编号为BJ20A0691和BJ20A0768检测报告），表明待测样品运输过程中未引入污染。</w:t>
      </w:r>
    </w:p>
    <w:p w14:paraId="2FD3DB9B">
      <w:pPr>
        <w:pStyle w:val="5"/>
        <w:tabs>
          <w:tab w:val="clear" w:pos="851"/>
        </w:tabs>
        <w:spacing w:after="0"/>
        <w:rPr>
          <w:rFonts w:hint="default" w:ascii="Times New Roman" w:hAnsi="Times New Roman" w:eastAsia="宋体" w:cs="Times New Roman"/>
          <w:snapToGrid w:val="0"/>
          <w:color w:val="000000"/>
          <w:kern w:val="0"/>
          <w:sz w:val="24"/>
          <w:highlight w:val="none"/>
          <w:lang w:eastAsia="zh-CN"/>
        </w:rPr>
      </w:pPr>
      <w:r>
        <w:rPr>
          <w:rFonts w:hint="default" w:ascii="Times New Roman" w:hAnsi="Times New Roman" w:cs="Times New Roman"/>
          <w:highlight w:val="none"/>
          <w:lang w:eastAsia="zh-CN"/>
        </w:rPr>
        <w:t>土壤</w:t>
      </w:r>
      <w:r>
        <w:rPr>
          <w:rFonts w:hint="default" w:ascii="Times New Roman" w:hAnsi="Times New Roman" w:cs="Times New Roman"/>
          <w:highlight w:val="none"/>
        </w:rPr>
        <w:t>平行盲样质量控制</w:t>
      </w:r>
    </w:p>
    <w:p w14:paraId="234EA8E9">
      <w:pPr>
        <w:spacing w:line="360" w:lineRule="auto"/>
        <w:ind w:left="1" w:firstLine="480" w:firstLineChars="200"/>
        <w:rPr>
          <w:rFonts w:hint="default" w:ascii="Times New Roman" w:hAnsi="Times New Roman" w:cs="Times New Roman"/>
          <w:color w:val="000000"/>
          <w:sz w:val="24"/>
          <w:highlight w:val="none"/>
        </w:rPr>
      </w:pPr>
      <w:r>
        <w:rPr>
          <w:rFonts w:hint="default" w:ascii="Times New Roman" w:hAnsi="Times New Roman" w:cs="Times New Roman"/>
          <w:snapToGrid w:val="0"/>
          <w:color w:val="000000"/>
          <w:kern w:val="0"/>
          <w:sz w:val="24"/>
          <w:highlight w:val="none"/>
        </w:rPr>
        <w:t>样品现场采集过程中，采集了</w:t>
      </w:r>
      <w:r>
        <w:rPr>
          <w:rFonts w:hint="default" w:ascii="Times New Roman" w:hAnsi="Times New Roman" w:cs="Times New Roman"/>
          <w:snapToGrid w:val="0"/>
          <w:color w:val="000000"/>
          <w:kern w:val="0"/>
          <w:sz w:val="24"/>
          <w:highlight w:val="none"/>
          <w:lang w:val="en-US" w:eastAsia="zh-CN"/>
        </w:rPr>
        <w:t>3</w:t>
      </w:r>
      <w:r>
        <w:rPr>
          <w:rFonts w:hint="default" w:ascii="Times New Roman" w:hAnsi="Times New Roman" w:cs="Times New Roman"/>
          <w:snapToGrid w:val="0"/>
          <w:color w:val="000000"/>
          <w:kern w:val="0"/>
          <w:sz w:val="24"/>
          <w:highlight w:val="none"/>
        </w:rPr>
        <w:t>个土壤平行盲样（QC-1</w:t>
      </w:r>
      <w:r>
        <w:rPr>
          <w:rFonts w:hint="default" w:ascii="Times New Roman" w:hAnsi="Times New Roman" w:cs="Times New Roman"/>
          <w:snapToGrid w:val="0"/>
          <w:color w:val="000000"/>
          <w:kern w:val="0"/>
          <w:sz w:val="24"/>
          <w:highlight w:val="none"/>
          <w:lang w:eastAsia="zh-CN"/>
        </w:rPr>
        <w:t>、</w:t>
      </w:r>
      <w:r>
        <w:rPr>
          <w:rFonts w:hint="default" w:ascii="Times New Roman" w:hAnsi="Times New Roman" w:cs="Times New Roman"/>
          <w:snapToGrid w:val="0"/>
          <w:color w:val="000000"/>
          <w:kern w:val="0"/>
          <w:sz w:val="24"/>
          <w:highlight w:val="none"/>
          <w:lang w:val="en-US" w:eastAsia="zh-CN"/>
        </w:rPr>
        <w:t>QC-2、QC-9</w:t>
      </w:r>
      <w:r>
        <w:rPr>
          <w:rFonts w:hint="default" w:ascii="Times New Roman" w:hAnsi="Times New Roman" w:cs="Times New Roman"/>
          <w:snapToGrid w:val="0"/>
          <w:color w:val="000000"/>
          <w:kern w:val="0"/>
          <w:sz w:val="24"/>
          <w:highlight w:val="none"/>
        </w:rPr>
        <w:t>）送往苏伊士环境检测技术（上海）有限公司北京分公司和</w:t>
      </w:r>
      <w:r>
        <w:rPr>
          <w:rFonts w:hint="default" w:ascii="Times New Roman" w:hAnsi="Times New Roman" w:cs="Times New Roman"/>
          <w:sz w:val="24"/>
          <w:highlight w:val="none"/>
        </w:rPr>
        <w:t>武汉仲联诚鉴检测技术有限公司</w:t>
      </w:r>
      <w:r>
        <w:rPr>
          <w:rFonts w:hint="default" w:ascii="Times New Roman" w:hAnsi="Times New Roman" w:cs="Times New Roman"/>
          <w:snapToGrid w:val="0"/>
          <w:color w:val="000000"/>
          <w:kern w:val="0"/>
          <w:sz w:val="24"/>
          <w:highlight w:val="none"/>
        </w:rPr>
        <w:t>进行检测。</w:t>
      </w:r>
      <w:r>
        <w:rPr>
          <w:rFonts w:hint="default" w:ascii="Times New Roman" w:hAnsi="Times New Roman" w:cs="Times New Roman"/>
          <w:color w:val="000000"/>
          <w:sz w:val="24"/>
          <w:highlight w:val="none"/>
        </w:rPr>
        <w:t>本次土壤平行盲样测试项目中重金属</w:t>
      </w:r>
      <w:r>
        <w:rPr>
          <w:rFonts w:hint="default" w:ascii="Times New Roman" w:hAnsi="Times New Roman" w:cs="Times New Roman"/>
          <w:color w:val="000000"/>
          <w:sz w:val="24"/>
          <w:highlight w:val="none"/>
          <w:lang w:eastAsia="zh-CN"/>
        </w:rPr>
        <w:t>铬（六价）</w:t>
      </w:r>
      <w:r>
        <w:rPr>
          <w:rFonts w:hint="default" w:ascii="Times New Roman" w:hAnsi="Times New Roman" w:cs="Times New Roman"/>
          <w:color w:val="000000"/>
          <w:sz w:val="24"/>
          <w:highlight w:val="none"/>
        </w:rPr>
        <w:t>、有机污染物指标均未检出，因此不进行相对偏差的分析</w:t>
      </w:r>
      <w:r>
        <w:rPr>
          <w:rFonts w:hint="default" w:ascii="Times New Roman" w:hAnsi="Times New Roman" w:cs="Times New Roman"/>
          <w:color w:val="000000"/>
          <w:sz w:val="24"/>
          <w:highlight w:val="none"/>
          <w:lang w:eastAsia="zh-CN"/>
        </w:rPr>
        <w:t>；平行盲样</w:t>
      </w:r>
      <w:r>
        <w:rPr>
          <w:rFonts w:hint="default" w:ascii="Times New Roman" w:hAnsi="Times New Roman" w:cs="Times New Roman"/>
          <w:color w:val="000000"/>
          <w:sz w:val="24"/>
          <w:highlight w:val="none"/>
          <w:lang w:val="en-US" w:eastAsia="zh-CN"/>
        </w:rPr>
        <w:t>QC-9</w:t>
      </w:r>
      <w:r>
        <w:rPr>
          <w:rFonts w:hint="default" w:ascii="Times New Roman" w:hAnsi="Times New Roman" w:cs="Times New Roman"/>
          <w:color w:val="000000"/>
          <w:sz w:val="24"/>
          <w:highlight w:val="none"/>
          <w:lang w:eastAsia="zh-CN"/>
        </w:rPr>
        <w:t>与对应土壤样品</w:t>
      </w:r>
      <w:r>
        <w:rPr>
          <w:rFonts w:hint="default" w:ascii="Times New Roman" w:hAnsi="Times New Roman" w:cs="Times New Roman"/>
          <w:color w:val="000000"/>
          <w:sz w:val="24"/>
          <w:highlight w:val="none"/>
          <w:lang w:val="en-US" w:eastAsia="zh-CN"/>
        </w:rPr>
        <w:t>HR-JJ-6中指标镉均未检出，因此也不进行相对偏差分析；</w:t>
      </w:r>
      <w:r>
        <w:rPr>
          <w:rFonts w:hint="default" w:ascii="Times New Roman" w:hAnsi="Times New Roman" w:cs="Times New Roman"/>
          <w:color w:val="000000"/>
          <w:sz w:val="24"/>
          <w:highlight w:val="none"/>
          <w:lang w:eastAsia="zh-CN"/>
        </w:rPr>
        <w:t>平行盲样</w:t>
      </w:r>
      <w:r>
        <w:rPr>
          <w:rFonts w:hint="default" w:ascii="Times New Roman" w:hAnsi="Times New Roman" w:cs="Times New Roman"/>
          <w:color w:val="000000"/>
          <w:sz w:val="24"/>
          <w:highlight w:val="none"/>
          <w:lang w:val="en-US" w:eastAsia="zh-CN"/>
        </w:rPr>
        <w:t>QC-2</w:t>
      </w:r>
      <w:r>
        <w:rPr>
          <w:rFonts w:hint="default" w:ascii="Times New Roman" w:hAnsi="Times New Roman" w:cs="Times New Roman"/>
          <w:color w:val="000000"/>
          <w:sz w:val="24"/>
          <w:highlight w:val="none"/>
          <w:lang w:eastAsia="zh-CN"/>
        </w:rPr>
        <w:t>与对应土壤样品</w:t>
      </w:r>
      <w:r>
        <w:rPr>
          <w:rFonts w:hint="default" w:ascii="Times New Roman" w:hAnsi="Times New Roman" w:cs="Times New Roman"/>
          <w:color w:val="000000"/>
          <w:sz w:val="24"/>
          <w:highlight w:val="none"/>
          <w:lang w:val="en-US" w:eastAsia="zh-CN"/>
        </w:rPr>
        <w:t>HR-JJ-1、</w:t>
      </w:r>
      <w:r>
        <w:rPr>
          <w:rFonts w:hint="default" w:ascii="Times New Roman" w:hAnsi="Times New Roman" w:cs="Times New Roman"/>
          <w:color w:val="000000"/>
          <w:sz w:val="24"/>
          <w:highlight w:val="none"/>
          <w:lang w:eastAsia="zh-CN"/>
        </w:rPr>
        <w:t>平行盲样</w:t>
      </w:r>
      <w:r>
        <w:rPr>
          <w:rFonts w:hint="default" w:ascii="Times New Roman" w:hAnsi="Times New Roman" w:cs="Times New Roman"/>
          <w:color w:val="000000"/>
          <w:sz w:val="24"/>
          <w:highlight w:val="none"/>
          <w:lang w:val="en-US" w:eastAsia="zh-CN"/>
        </w:rPr>
        <w:t>QC-9</w:t>
      </w:r>
      <w:r>
        <w:rPr>
          <w:rFonts w:hint="default" w:ascii="Times New Roman" w:hAnsi="Times New Roman" w:cs="Times New Roman"/>
          <w:color w:val="000000"/>
          <w:sz w:val="24"/>
          <w:highlight w:val="none"/>
          <w:lang w:eastAsia="zh-CN"/>
        </w:rPr>
        <w:t>与对应土壤样品</w:t>
      </w:r>
      <w:r>
        <w:rPr>
          <w:rFonts w:hint="default" w:ascii="Times New Roman" w:hAnsi="Times New Roman" w:cs="Times New Roman"/>
          <w:color w:val="000000"/>
          <w:sz w:val="24"/>
          <w:highlight w:val="none"/>
          <w:lang w:val="en-US" w:eastAsia="zh-CN"/>
        </w:rPr>
        <w:t>HR-JJ-6中指标石油烃（C</w:t>
      </w:r>
      <w:r>
        <w:rPr>
          <w:rFonts w:hint="default" w:ascii="Times New Roman" w:hAnsi="Times New Roman" w:cs="Times New Roman"/>
          <w:color w:val="000000"/>
          <w:sz w:val="24"/>
          <w:highlight w:val="none"/>
          <w:vertAlign w:val="subscript"/>
          <w:lang w:val="en-US" w:eastAsia="zh-CN"/>
        </w:rPr>
        <w:t>10</w:t>
      </w:r>
      <w:r>
        <w:rPr>
          <w:rFonts w:hint="default" w:ascii="Times New Roman" w:hAnsi="Times New Roman" w:cs="Times New Roman"/>
          <w:color w:val="000000"/>
          <w:sz w:val="24"/>
          <w:highlight w:val="none"/>
          <w:lang w:val="en-US" w:eastAsia="zh-CN"/>
        </w:rPr>
        <w:t>-C</w:t>
      </w:r>
      <w:r>
        <w:rPr>
          <w:rFonts w:hint="default" w:ascii="Times New Roman" w:hAnsi="Times New Roman" w:cs="Times New Roman"/>
          <w:color w:val="000000"/>
          <w:sz w:val="24"/>
          <w:highlight w:val="none"/>
          <w:vertAlign w:val="subscript"/>
          <w:lang w:val="en-US" w:eastAsia="zh-CN"/>
        </w:rPr>
        <w:t>40</w:t>
      </w:r>
      <w:r>
        <w:rPr>
          <w:rFonts w:hint="default" w:ascii="Times New Roman" w:hAnsi="Times New Roman" w:cs="Times New Roman"/>
          <w:color w:val="000000"/>
          <w:sz w:val="24"/>
          <w:highlight w:val="none"/>
          <w:lang w:val="en-US" w:eastAsia="zh-CN"/>
        </w:rPr>
        <w:t>）均未检出，因此也不进行相对偏差分析</w:t>
      </w:r>
      <w:r>
        <w:rPr>
          <w:rFonts w:hint="default" w:ascii="Times New Roman" w:hAnsi="Times New Roman" w:cs="Times New Roman"/>
          <w:color w:val="000000"/>
          <w:sz w:val="24"/>
          <w:highlight w:val="none"/>
        </w:rPr>
        <w:t>。</w:t>
      </w:r>
      <w:r>
        <w:rPr>
          <w:rFonts w:hint="default" w:ascii="Times New Roman" w:hAnsi="Times New Roman" w:cs="Times New Roman"/>
          <w:color w:val="000000"/>
          <w:sz w:val="24"/>
          <w:highlight w:val="none"/>
          <w:lang w:eastAsia="zh-CN"/>
        </w:rPr>
        <w:t>可</w:t>
      </w:r>
      <w:r>
        <w:rPr>
          <w:rFonts w:hint="default" w:ascii="Times New Roman" w:hAnsi="Times New Roman" w:cs="Times New Roman"/>
          <w:color w:val="000000"/>
          <w:sz w:val="24"/>
          <w:highlight w:val="none"/>
        </w:rPr>
        <w:t>检出</w:t>
      </w:r>
      <w:r>
        <w:rPr>
          <w:rFonts w:hint="default" w:ascii="Times New Roman" w:hAnsi="Times New Roman" w:cs="Times New Roman"/>
          <w:color w:val="000000"/>
          <w:sz w:val="24"/>
          <w:highlight w:val="none"/>
          <w:lang w:eastAsia="zh-CN"/>
        </w:rPr>
        <w:t>指标的</w:t>
      </w:r>
      <w:r>
        <w:rPr>
          <w:rFonts w:hint="default" w:ascii="Times New Roman" w:hAnsi="Times New Roman" w:cs="Times New Roman"/>
          <w:color w:val="000000"/>
          <w:sz w:val="24"/>
          <w:highlight w:val="none"/>
        </w:rPr>
        <w:t>相对偏差在0%~</w:t>
      </w:r>
      <w:r>
        <w:rPr>
          <w:rFonts w:hint="default" w:ascii="Times New Roman" w:hAnsi="Times New Roman" w:cs="Times New Roman"/>
          <w:color w:val="000000"/>
          <w:sz w:val="24"/>
          <w:highlight w:val="none"/>
          <w:lang w:val="en-US" w:eastAsia="zh-CN"/>
        </w:rPr>
        <w:t>18.87</w:t>
      </w:r>
      <w:r>
        <w:rPr>
          <w:rFonts w:hint="default" w:ascii="Times New Roman" w:hAnsi="Times New Roman" w:cs="Times New Roman"/>
          <w:color w:val="000000"/>
          <w:sz w:val="24"/>
          <w:highlight w:val="none"/>
        </w:rPr>
        <w:t>%，在允许范围内，具体质控结果见表</w:t>
      </w:r>
      <w:r>
        <w:rPr>
          <w:rFonts w:hint="default" w:ascii="Times New Roman" w:hAnsi="Times New Roman" w:cs="Times New Roman"/>
          <w:color w:val="000000"/>
          <w:sz w:val="24"/>
          <w:highlight w:val="none"/>
          <w:lang w:eastAsia="zh-CN"/>
        </w:rPr>
        <w:t>4-5</w:t>
      </w:r>
      <w:r>
        <w:rPr>
          <w:rFonts w:hint="default" w:ascii="Times New Roman" w:hAnsi="Times New Roman" w:cs="Times New Roman"/>
          <w:color w:val="000000"/>
          <w:sz w:val="24"/>
          <w:highlight w:val="none"/>
        </w:rPr>
        <w:t>-1</w:t>
      </w:r>
      <w:r>
        <w:rPr>
          <w:rFonts w:hint="default" w:ascii="Times New Roman" w:hAnsi="Times New Roman" w:cs="Times New Roman"/>
          <w:color w:val="000000"/>
          <w:sz w:val="24"/>
          <w:highlight w:val="none"/>
          <w:lang w:eastAsia="zh-CN"/>
        </w:rPr>
        <w:t>，4-5</w:t>
      </w:r>
      <w:r>
        <w:rPr>
          <w:rFonts w:hint="default" w:ascii="Times New Roman" w:hAnsi="Times New Roman" w:cs="Times New Roman"/>
          <w:color w:val="000000"/>
          <w:sz w:val="24"/>
          <w:highlight w:val="none"/>
        </w:rPr>
        <w:t>-</w:t>
      </w:r>
      <w:r>
        <w:rPr>
          <w:rFonts w:hint="default" w:ascii="Times New Roman" w:hAnsi="Times New Roman" w:cs="Times New Roman"/>
          <w:color w:val="000000"/>
          <w:sz w:val="24"/>
          <w:highlight w:val="none"/>
          <w:lang w:val="en-US" w:eastAsia="zh-CN"/>
        </w:rPr>
        <w:t>2</w:t>
      </w:r>
      <w:r>
        <w:rPr>
          <w:rFonts w:hint="default" w:ascii="Times New Roman" w:hAnsi="Times New Roman" w:cs="Times New Roman"/>
          <w:color w:val="000000"/>
          <w:sz w:val="24"/>
          <w:highlight w:val="none"/>
          <w:lang w:eastAsia="zh-CN"/>
        </w:rPr>
        <w:t>，4-5</w:t>
      </w:r>
      <w:r>
        <w:rPr>
          <w:rFonts w:hint="default" w:ascii="Times New Roman" w:hAnsi="Times New Roman" w:cs="Times New Roman"/>
          <w:color w:val="000000"/>
          <w:sz w:val="24"/>
          <w:highlight w:val="none"/>
        </w:rPr>
        <w:t>-</w:t>
      </w:r>
      <w:r>
        <w:rPr>
          <w:rFonts w:hint="default" w:ascii="Times New Roman" w:hAnsi="Times New Roman" w:cs="Times New Roman"/>
          <w:color w:val="000000"/>
          <w:sz w:val="24"/>
          <w:highlight w:val="none"/>
          <w:lang w:val="en-US" w:eastAsia="zh-CN"/>
        </w:rPr>
        <w:t>3</w:t>
      </w:r>
      <w:r>
        <w:rPr>
          <w:rFonts w:hint="default" w:ascii="Times New Roman" w:hAnsi="Times New Roman" w:cs="Times New Roman"/>
          <w:color w:val="000000"/>
          <w:sz w:val="24"/>
          <w:highlight w:val="none"/>
        </w:rPr>
        <w:t>。</w:t>
      </w:r>
    </w:p>
    <w:p w14:paraId="1E48C10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bCs/>
          <w:color w:val="000000"/>
          <w:sz w:val="24"/>
          <w:highlight w:val="none"/>
          <w:lang w:eastAsia="zh-CN"/>
        </w:rPr>
      </w:pPr>
      <w:r>
        <w:rPr>
          <w:rFonts w:hint="default" w:ascii="Times New Roman" w:hAnsi="Times New Roman" w:eastAsia="黑体" w:cs="Times New Roman"/>
          <w:b/>
          <w:bCs/>
          <w:color w:val="000000"/>
          <w:sz w:val="24"/>
          <w:highlight w:val="none"/>
        </w:rPr>
        <w:t>表</w:t>
      </w:r>
      <w:r>
        <w:rPr>
          <w:rFonts w:hint="default" w:ascii="Times New Roman" w:hAnsi="Times New Roman" w:eastAsia="黑体" w:cs="Times New Roman"/>
          <w:b/>
          <w:bCs/>
          <w:color w:val="000000"/>
          <w:sz w:val="24"/>
          <w:highlight w:val="none"/>
          <w:lang w:eastAsia="zh-CN"/>
        </w:rPr>
        <w:t>4-5</w:t>
      </w:r>
      <w:r>
        <w:rPr>
          <w:rFonts w:hint="default" w:ascii="Times New Roman" w:hAnsi="Times New Roman" w:eastAsia="黑体" w:cs="Times New Roman"/>
          <w:b/>
          <w:bCs/>
          <w:color w:val="000000"/>
          <w:sz w:val="24"/>
          <w:highlight w:val="none"/>
        </w:rPr>
        <w:t>-1 土壤平行盲样质控结果分析</w:t>
      </w:r>
      <w:r>
        <w:rPr>
          <w:rFonts w:hint="default" w:ascii="Times New Roman" w:hAnsi="Times New Roman" w:eastAsia="黑体" w:cs="Times New Roman"/>
          <w:b/>
          <w:bCs/>
          <w:color w:val="000000"/>
          <w:sz w:val="24"/>
          <w:highlight w:val="none"/>
          <w:lang w:eastAsia="zh-CN"/>
        </w:rPr>
        <w:t>（</w:t>
      </w:r>
      <w:r>
        <w:rPr>
          <w:rFonts w:hint="default" w:ascii="Times New Roman" w:hAnsi="Times New Roman" w:eastAsia="黑体" w:cs="Times New Roman"/>
          <w:b/>
          <w:bCs/>
          <w:color w:val="000000"/>
          <w:sz w:val="24"/>
          <w:highlight w:val="none"/>
          <w:lang w:val="en-US" w:eastAsia="zh-CN"/>
        </w:rPr>
        <w:t>QC-1</w:t>
      </w:r>
      <w:r>
        <w:rPr>
          <w:rFonts w:hint="default" w:ascii="Times New Roman" w:hAnsi="Times New Roman" w:eastAsia="黑体" w:cs="Times New Roman"/>
          <w:b/>
          <w:bCs/>
          <w:color w:val="000000"/>
          <w:sz w:val="24"/>
          <w:highlight w:val="none"/>
          <w:lang w:eastAsia="zh-CN"/>
        </w:rPr>
        <w:t>）</w:t>
      </w:r>
    </w:p>
    <w:tbl>
      <w:tblPr>
        <w:tblStyle w:val="21"/>
        <w:tblW w:w="961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80"/>
        <w:gridCol w:w="1845"/>
        <w:gridCol w:w="980"/>
        <w:gridCol w:w="1730"/>
        <w:gridCol w:w="1817"/>
        <w:gridCol w:w="1080"/>
        <w:gridCol w:w="1080"/>
      </w:tblGrid>
      <w:tr w14:paraId="3220A9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27" w:hRule="atLeast"/>
          <w:tblHeader/>
          <w:jc w:val="center"/>
        </w:trPr>
        <w:tc>
          <w:tcPr>
            <w:tcW w:w="1080" w:type="dxa"/>
            <w:vMerge w:val="restart"/>
            <w:tcBorders>
              <w:bottom w:val="single" w:color="auto" w:sz="4" w:space="0"/>
            </w:tcBorders>
            <w:shd w:val="clear" w:color="auto" w:fill="auto"/>
            <w:noWrap/>
            <w:tcMar>
              <w:top w:w="15" w:type="dxa"/>
              <w:left w:w="15" w:type="dxa"/>
              <w:right w:w="15" w:type="dxa"/>
            </w:tcMar>
            <w:vAlign w:val="center"/>
          </w:tcPr>
          <w:p w14:paraId="0569FCD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样品类型</w:t>
            </w:r>
          </w:p>
        </w:tc>
        <w:tc>
          <w:tcPr>
            <w:tcW w:w="1845" w:type="dxa"/>
            <w:vMerge w:val="restart"/>
            <w:tcBorders>
              <w:bottom w:val="single" w:color="auto" w:sz="4" w:space="0"/>
            </w:tcBorders>
            <w:shd w:val="clear" w:color="auto" w:fill="auto"/>
            <w:noWrap/>
            <w:tcMar>
              <w:top w:w="15" w:type="dxa"/>
              <w:left w:w="15" w:type="dxa"/>
              <w:right w:w="15" w:type="dxa"/>
            </w:tcMar>
            <w:vAlign w:val="center"/>
          </w:tcPr>
          <w:p w14:paraId="382299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监测项目</w:t>
            </w:r>
          </w:p>
        </w:tc>
        <w:tc>
          <w:tcPr>
            <w:tcW w:w="2710" w:type="dxa"/>
            <w:gridSpan w:val="2"/>
            <w:tcBorders>
              <w:bottom w:val="single" w:color="auto" w:sz="4" w:space="0"/>
            </w:tcBorders>
            <w:shd w:val="clear" w:color="auto" w:fill="auto"/>
            <w:noWrap/>
            <w:tcMar>
              <w:top w:w="15" w:type="dxa"/>
              <w:left w:w="15" w:type="dxa"/>
              <w:right w:w="15" w:type="dxa"/>
            </w:tcMar>
            <w:vAlign w:val="center"/>
          </w:tcPr>
          <w:p w14:paraId="1288DD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测试结果</w:t>
            </w:r>
          </w:p>
        </w:tc>
        <w:tc>
          <w:tcPr>
            <w:tcW w:w="1817" w:type="dxa"/>
            <w:vMerge w:val="restart"/>
            <w:tcBorders>
              <w:bottom w:val="single" w:color="auto" w:sz="4" w:space="0"/>
            </w:tcBorders>
            <w:shd w:val="clear" w:color="auto" w:fill="auto"/>
            <w:noWrap/>
            <w:tcMar>
              <w:top w:w="15" w:type="dxa"/>
              <w:left w:w="15" w:type="dxa"/>
              <w:right w:w="15" w:type="dxa"/>
            </w:tcMar>
            <w:vAlign w:val="center"/>
          </w:tcPr>
          <w:p w14:paraId="200920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相对偏差</w:t>
            </w:r>
          </w:p>
        </w:tc>
        <w:tc>
          <w:tcPr>
            <w:tcW w:w="1080" w:type="dxa"/>
            <w:vMerge w:val="restart"/>
            <w:tcBorders>
              <w:bottom w:val="single" w:color="auto" w:sz="4" w:space="0"/>
            </w:tcBorders>
            <w:shd w:val="clear" w:color="auto" w:fill="auto"/>
            <w:noWrap/>
            <w:tcMar>
              <w:top w:w="15" w:type="dxa"/>
              <w:left w:w="15" w:type="dxa"/>
              <w:right w:w="15" w:type="dxa"/>
            </w:tcMar>
            <w:vAlign w:val="center"/>
          </w:tcPr>
          <w:p w14:paraId="23F854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质控要求</w:t>
            </w:r>
            <w:r>
              <w:rPr>
                <w:rFonts w:hint="default" w:ascii="Times New Roman" w:hAnsi="Times New Roman" w:cs="Times New Roman"/>
                <w:b/>
                <w:bCs/>
                <w:color w:val="auto"/>
                <w:sz w:val="21"/>
                <w:szCs w:val="21"/>
                <w:highlight w:val="none"/>
                <w:vertAlign w:val="superscript"/>
              </w:rPr>
              <w:t>①</w:t>
            </w:r>
          </w:p>
        </w:tc>
        <w:tc>
          <w:tcPr>
            <w:tcW w:w="1080" w:type="dxa"/>
            <w:vMerge w:val="restart"/>
            <w:tcBorders>
              <w:bottom w:val="single" w:color="auto" w:sz="4" w:space="0"/>
            </w:tcBorders>
            <w:shd w:val="clear" w:color="auto" w:fill="auto"/>
            <w:noWrap/>
            <w:tcMar>
              <w:top w:w="15" w:type="dxa"/>
              <w:left w:w="15" w:type="dxa"/>
              <w:right w:w="15" w:type="dxa"/>
            </w:tcMar>
            <w:vAlign w:val="center"/>
          </w:tcPr>
          <w:p w14:paraId="5CF355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结果判定</w:t>
            </w:r>
          </w:p>
        </w:tc>
      </w:tr>
      <w:tr w14:paraId="4F7F7E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27" w:hRule="atLeast"/>
          <w:tblHeader/>
          <w:jc w:val="center"/>
        </w:trPr>
        <w:tc>
          <w:tcPr>
            <w:tcW w:w="1080" w:type="dxa"/>
            <w:vMerge w:val="continue"/>
            <w:tcBorders>
              <w:top w:val="single" w:color="auto" w:sz="4" w:space="0"/>
              <w:bottom w:val="single" w:color="auto" w:sz="12" w:space="0"/>
            </w:tcBorders>
            <w:shd w:val="clear" w:color="auto" w:fill="auto"/>
            <w:noWrap/>
            <w:tcMar>
              <w:top w:w="15" w:type="dxa"/>
              <w:left w:w="15" w:type="dxa"/>
              <w:right w:w="15" w:type="dxa"/>
            </w:tcMar>
            <w:vAlign w:val="center"/>
          </w:tcPr>
          <w:p w14:paraId="6D84260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vMerge w:val="continue"/>
            <w:tcBorders>
              <w:top w:val="single" w:color="auto" w:sz="4" w:space="0"/>
              <w:bottom w:val="single" w:color="auto" w:sz="12" w:space="0"/>
            </w:tcBorders>
            <w:shd w:val="clear" w:color="auto" w:fill="auto"/>
            <w:noWrap/>
            <w:tcMar>
              <w:top w:w="15" w:type="dxa"/>
              <w:left w:w="15" w:type="dxa"/>
              <w:right w:w="15" w:type="dxa"/>
            </w:tcMar>
            <w:vAlign w:val="center"/>
          </w:tcPr>
          <w:p w14:paraId="0ADBF25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980" w:type="dxa"/>
            <w:tcBorders>
              <w:top w:val="single" w:color="auto" w:sz="4" w:space="0"/>
              <w:bottom w:val="single" w:color="auto" w:sz="12" w:space="0"/>
            </w:tcBorders>
            <w:shd w:val="clear" w:color="auto" w:fill="auto"/>
            <w:noWrap/>
            <w:tcMar>
              <w:top w:w="15" w:type="dxa"/>
              <w:left w:w="15" w:type="dxa"/>
              <w:right w:w="15" w:type="dxa"/>
            </w:tcMar>
            <w:vAlign w:val="center"/>
          </w:tcPr>
          <w:p w14:paraId="675CD2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QC-1</w:t>
            </w:r>
          </w:p>
        </w:tc>
        <w:tc>
          <w:tcPr>
            <w:tcW w:w="1730" w:type="dxa"/>
            <w:tcBorders>
              <w:top w:val="single" w:color="auto" w:sz="4" w:space="0"/>
              <w:bottom w:val="single" w:color="auto" w:sz="12" w:space="0"/>
            </w:tcBorders>
            <w:shd w:val="clear" w:color="auto" w:fill="auto"/>
            <w:noWrap/>
            <w:tcMar>
              <w:top w:w="15" w:type="dxa"/>
              <w:left w:w="15" w:type="dxa"/>
              <w:right w:w="15" w:type="dxa"/>
            </w:tcMar>
            <w:vAlign w:val="center"/>
          </w:tcPr>
          <w:p w14:paraId="349374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HR-1-400</w:t>
            </w:r>
          </w:p>
        </w:tc>
        <w:tc>
          <w:tcPr>
            <w:tcW w:w="1817" w:type="dxa"/>
            <w:vMerge w:val="continue"/>
            <w:tcBorders>
              <w:top w:val="single" w:color="auto" w:sz="4" w:space="0"/>
              <w:bottom w:val="single" w:color="auto" w:sz="12" w:space="0"/>
              <w:tl2br w:val="nil"/>
              <w:tr2bl w:val="nil"/>
            </w:tcBorders>
            <w:shd w:val="clear" w:color="auto" w:fill="auto"/>
            <w:noWrap/>
            <w:tcMar>
              <w:top w:w="15" w:type="dxa"/>
              <w:left w:w="15" w:type="dxa"/>
              <w:right w:w="15" w:type="dxa"/>
            </w:tcMar>
            <w:vAlign w:val="center"/>
          </w:tcPr>
          <w:p w14:paraId="495371A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080" w:type="dxa"/>
            <w:vMerge w:val="continue"/>
            <w:tcBorders>
              <w:top w:val="single" w:color="auto" w:sz="4" w:space="0"/>
              <w:bottom w:val="single" w:color="auto" w:sz="12" w:space="0"/>
              <w:tl2br w:val="nil"/>
              <w:tr2bl w:val="nil"/>
            </w:tcBorders>
            <w:shd w:val="clear" w:color="auto" w:fill="auto"/>
            <w:noWrap/>
            <w:tcMar>
              <w:top w:w="15" w:type="dxa"/>
              <w:left w:w="15" w:type="dxa"/>
              <w:right w:w="15" w:type="dxa"/>
            </w:tcMar>
            <w:vAlign w:val="center"/>
          </w:tcPr>
          <w:p w14:paraId="300BCED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080" w:type="dxa"/>
            <w:vMerge w:val="continue"/>
            <w:tcBorders>
              <w:top w:val="single" w:color="auto" w:sz="4" w:space="0"/>
              <w:bottom w:val="single" w:color="auto" w:sz="12" w:space="0"/>
              <w:tl2br w:val="nil"/>
              <w:tr2bl w:val="nil"/>
            </w:tcBorders>
            <w:shd w:val="clear" w:color="auto" w:fill="auto"/>
            <w:noWrap/>
            <w:tcMar>
              <w:top w:w="15" w:type="dxa"/>
              <w:left w:w="15" w:type="dxa"/>
              <w:right w:w="15" w:type="dxa"/>
            </w:tcMar>
            <w:vAlign w:val="center"/>
          </w:tcPr>
          <w:p w14:paraId="509C7A5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32DD5D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1080" w:type="dxa"/>
            <w:vMerge w:val="restart"/>
            <w:tcBorders>
              <w:top w:val="single" w:color="auto" w:sz="12" w:space="0"/>
              <w:tl2br w:val="nil"/>
              <w:tr2bl w:val="nil"/>
            </w:tcBorders>
            <w:shd w:val="clear" w:color="auto" w:fill="auto"/>
            <w:noWrap/>
            <w:tcMar>
              <w:top w:w="15" w:type="dxa"/>
              <w:left w:w="15" w:type="dxa"/>
              <w:right w:w="15" w:type="dxa"/>
            </w:tcMar>
            <w:vAlign w:val="center"/>
          </w:tcPr>
          <w:p w14:paraId="63F424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土壤</w:t>
            </w:r>
          </w:p>
        </w:tc>
        <w:tc>
          <w:tcPr>
            <w:tcW w:w="1845" w:type="dxa"/>
            <w:tcBorders>
              <w:top w:val="single" w:color="auto" w:sz="12" w:space="0"/>
            </w:tcBorders>
            <w:shd w:val="clear" w:color="auto" w:fill="auto"/>
            <w:noWrap/>
            <w:tcMar>
              <w:top w:w="15" w:type="dxa"/>
              <w:left w:w="15" w:type="dxa"/>
              <w:right w:w="15" w:type="dxa"/>
            </w:tcMar>
            <w:vAlign w:val="center"/>
          </w:tcPr>
          <w:p w14:paraId="4A01EF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62"/>
                <w:rFonts w:hint="default" w:ascii="Times New Roman" w:hAnsi="Times New Roman" w:cs="Times New Roman"/>
                <w:color w:val="auto"/>
                <w:sz w:val="21"/>
                <w:szCs w:val="21"/>
                <w:highlight w:val="none"/>
                <w:lang w:val="en-US" w:eastAsia="zh-CN" w:bidi="ar"/>
              </w:rPr>
              <w:t>水分</w:t>
            </w:r>
            <w:r>
              <w:rPr>
                <w:rStyle w:val="63"/>
                <w:rFonts w:hint="default" w:ascii="Times New Roman" w:hAnsi="Times New Roman" w:eastAsia="宋体" w:cs="Times New Roman"/>
                <w:color w:val="auto"/>
                <w:sz w:val="21"/>
                <w:szCs w:val="21"/>
                <w:highlight w:val="none"/>
                <w:lang w:val="en-US" w:eastAsia="zh-CN" w:bidi="ar"/>
              </w:rPr>
              <w:t>(</w:t>
            </w:r>
            <w:r>
              <w:rPr>
                <w:rStyle w:val="62"/>
                <w:rFonts w:hint="default" w:ascii="Times New Roman" w:hAnsi="Times New Roman" w:cs="Times New Roman"/>
                <w:color w:val="auto"/>
                <w:sz w:val="21"/>
                <w:szCs w:val="21"/>
                <w:highlight w:val="none"/>
                <w:lang w:val="en-US" w:eastAsia="zh-CN" w:bidi="ar"/>
              </w:rPr>
              <w:t>以干基计</w:t>
            </w:r>
            <w:r>
              <w:rPr>
                <w:rStyle w:val="63"/>
                <w:rFonts w:hint="default" w:ascii="Times New Roman" w:hAnsi="Times New Roman" w:eastAsia="宋体" w:cs="Times New Roman"/>
                <w:color w:val="auto"/>
                <w:sz w:val="21"/>
                <w:szCs w:val="21"/>
                <w:highlight w:val="none"/>
                <w:lang w:val="en-US" w:eastAsia="zh-CN" w:bidi="ar"/>
              </w:rPr>
              <w:t>)</w:t>
            </w:r>
          </w:p>
        </w:tc>
        <w:tc>
          <w:tcPr>
            <w:tcW w:w="980" w:type="dxa"/>
            <w:tcBorders>
              <w:top w:val="single" w:color="auto" w:sz="12" w:space="0"/>
            </w:tcBorders>
            <w:shd w:val="clear" w:color="auto" w:fill="auto"/>
            <w:noWrap/>
            <w:tcMar>
              <w:top w:w="15" w:type="dxa"/>
              <w:left w:w="15" w:type="dxa"/>
              <w:right w:w="15" w:type="dxa"/>
            </w:tcMar>
            <w:vAlign w:val="center"/>
          </w:tcPr>
          <w:p w14:paraId="4F4D12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21.3</w:t>
            </w:r>
          </w:p>
        </w:tc>
        <w:tc>
          <w:tcPr>
            <w:tcW w:w="1730" w:type="dxa"/>
            <w:tcBorders>
              <w:top w:val="single" w:color="auto" w:sz="12" w:space="0"/>
            </w:tcBorders>
            <w:shd w:val="clear" w:color="auto" w:fill="auto"/>
            <w:noWrap/>
            <w:tcMar>
              <w:top w:w="15" w:type="dxa"/>
              <w:left w:w="15" w:type="dxa"/>
              <w:right w:w="15" w:type="dxa"/>
            </w:tcMar>
            <w:vAlign w:val="center"/>
          </w:tcPr>
          <w:p w14:paraId="1F0501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20.9</w:t>
            </w:r>
          </w:p>
        </w:tc>
        <w:tc>
          <w:tcPr>
            <w:tcW w:w="1817" w:type="dxa"/>
            <w:tcBorders>
              <w:top w:val="single" w:color="auto" w:sz="12" w:space="0"/>
            </w:tcBorders>
            <w:shd w:val="clear" w:color="auto" w:fill="auto"/>
            <w:noWrap/>
            <w:tcMar>
              <w:top w:w="15" w:type="dxa"/>
              <w:left w:w="15" w:type="dxa"/>
              <w:right w:w="15" w:type="dxa"/>
            </w:tcMar>
            <w:vAlign w:val="center"/>
          </w:tcPr>
          <w:p w14:paraId="5B6FEB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0.95%</w:t>
            </w:r>
          </w:p>
        </w:tc>
        <w:tc>
          <w:tcPr>
            <w:tcW w:w="1080" w:type="dxa"/>
            <w:tcBorders>
              <w:top w:val="single" w:color="auto" w:sz="12" w:space="0"/>
            </w:tcBorders>
            <w:shd w:val="clear" w:color="auto" w:fill="auto"/>
            <w:noWrap/>
            <w:tcMar>
              <w:top w:w="15" w:type="dxa"/>
              <w:left w:w="15" w:type="dxa"/>
              <w:right w:w="15" w:type="dxa"/>
            </w:tcMar>
            <w:vAlign w:val="center"/>
          </w:tcPr>
          <w:p w14:paraId="6BDA669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1080" w:type="dxa"/>
            <w:tcBorders>
              <w:top w:val="single" w:color="auto" w:sz="12" w:space="0"/>
            </w:tcBorders>
            <w:shd w:val="clear" w:color="auto" w:fill="auto"/>
            <w:noWrap/>
            <w:tcMar>
              <w:top w:w="15" w:type="dxa"/>
              <w:left w:w="15" w:type="dxa"/>
              <w:right w:w="15" w:type="dxa"/>
            </w:tcMar>
            <w:vAlign w:val="center"/>
          </w:tcPr>
          <w:p w14:paraId="3CD28D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62"/>
                <w:rFonts w:hint="default" w:ascii="Times New Roman" w:hAnsi="Times New Roman" w:cs="Times New Roman"/>
                <w:color w:val="auto"/>
                <w:sz w:val="21"/>
                <w:szCs w:val="21"/>
                <w:highlight w:val="none"/>
                <w:lang w:val="en-US" w:eastAsia="zh-CN" w:bidi="ar"/>
              </w:rPr>
              <w:t>合格</w:t>
            </w:r>
          </w:p>
        </w:tc>
      </w:tr>
      <w:tr w14:paraId="555154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53C6765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208AF4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62"/>
                <w:rFonts w:hint="eastAsia" w:cs="Times New Roman"/>
                <w:color w:val="auto"/>
                <w:sz w:val="21"/>
                <w:szCs w:val="21"/>
                <w:highlight w:val="none"/>
                <w:lang w:val="en-US" w:eastAsia="zh-CN" w:bidi="ar"/>
              </w:rPr>
              <w:t>总氟化物</w:t>
            </w:r>
          </w:p>
        </w:tc>
        <w:tc>
          <w:tcPr>
            <w:tcW w:w="980" w:type="dxa"/>
            <w:tcBorders>
              <w:tl2br w:val="nil"/>
              <w:tr2bl w:val="nil"/>
            </w:tcBorders>
            <w:shd w:val="clear" w:color="auto" w:fill="auto"/>
            <w:noWrap/>
            <w:tcMar>
              <w:top w:w="15" w:type="dxa"/>
              <w:left w:w="15" w:type="dxa"/>
              <w:right w:w="15" w:type="dxa"/>
            </w:tcMar>
            <w:vAlign w:val="center"/>
          </w:tcPr>
          <w:p w14:paraId="39D9D5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598</w:t>
            </w:r>
          </w:p>
        </w:tc>
        <w:tc>
          <w:tcPr>
            <w:tcW w:w="1730" w:type="dxa"/>
            <w:tcBorders>
              <w:tl2br w:val="nil"/>
              <w:tr2bl w:val="nil"/>
            </w:tcBorders>
            <w:shd w:val="clear" w:color="auto" w:fill="auto"/>
            <w:noWrap/>
            <w:tcMar>
              <w:top w:w="15" w:type="dxa"/>
              <w:left w:w="15" w:type="dxa"/>
              <w:right w:w="15" w:type="dxa"/>
            </w:tcMar>
            <w:vAlign w:val="center"/>
          </w:tcPr>
          <w:p w14:paraId="43ADC2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603</w:t>
            </w:r>
          </w:p>
        </w:tc>
        <w:tc>
          <w:tcPr>
            <w:tcW w:w="1817" w:type="dxa"/>
            <w:tcBorders>
              <w:tl2br w:val="nil"/>
              <w:tr2bl w:val="nil"/>
            </w:tcBorders>
            <w:shd w:val="clear" w:color="auto" w:fill="auto"/>
            <w:noWrap/>
            <w:tcMar>
              <w:top w:w="15" w:type="dxa"/>
              <w:left w:w="15" w:type="dxa"/>
              <w:right w:w="15" w:type="dxa"/>
            </w:tcMar>
            <w:vAlign w:val="center"/>
          </w:tcPr>
          <w:p w14:paraId="482223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0.42%</w:t>
            </w:r>
          </w:p>
        </w:tc>
        <w:tc>
          <w:tcPr>
            <w:tcW w:w="1080" w:type="dxa"/>
            <w:tcBorders>
              <w:tl2br w:val="nil"/>
              <w:tr2bl w:val="nil"/>
            </w:tcBorders>
            <w:shd w:val="clear" w:color="auto" w:fill="auto"/>
            <w:noWrap/>
            <w:tcMar>
              <w:top w:w="15" w:type="dxa"/>
              <w:left w:w="15" w:type="dxa"/>
              <w:right w:w="15" w:type="dxa"/>
            </w:tcMar>
            <w:vAlign w:val="center"/>
          </w:tcPr>
          <w:p w14:paraId="3F721F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33E029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62"/>
                <w:rFonts w:hint="default" w:ascii="Times New Roman" w:hAnsi="Times New Roman" w:cs="Times New Roman"/>
                <w:color w:val="auto"/>
                <w:sz w:val="21"/>
                <w:szCs w:val="21"/>
                <w:highlight w:val="none"/>
                <w:lang w:val="en-US" w:eastAsia="zh-CN" w:bidi="ar"/>
              </w:rPr>
              <w:t>合格</w:t>
            </w:r>
          </w:p>
        </w:tc>
      </w:tr>
      <w:tr w14:paraId="580F09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7AE91DF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1F9489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62"/>
                <w:rFonts w:hint="default" w:ascii="Times New Roman" w:hAnsi="Times New Roman" w:cs="Times New Roman"/>
                <w:color w:val="auto"/>
                <w:sz w:val="21"/>
                <w:szCs w:val="21"/>
                <w:highlight w:val="none"/>
                <w:lang w:val="en-US" w:eastAsia="zh-CN" w:bidi="ar"/>
              </w:rPr>
              <w:t>铅</w:t>
            </w:r>
          </w:p>
        </w:tc>
        <w:tc>
          <w:tcPr>
            <w:tcW w:w="980" w:type="dxa"/>
            <w:tcBorders>
              <w:tl2br w:val="nil"/>
              <w:tr2bl w:val="nil"/>
            </w:tcBorders>
            <w:shd w:val="clear" w:color="auto" w:fill="auto"/>
            <w:noWrap/>
            <w:tcMar>
              <w:top w:w="15" w:type="dxa"/>
              <w:left w:w="15" w:type="dxa"/>
              <w:right w:w="15" w:type="dxa"/>
            </w:tcMar>
            <w:vAlign w:val="center"/>
          </w:tcPr>
          <w:p w14:paraId="071644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19.5</w:t>
            </w:r>
          </w:p>
        </w:tc>
        <w:tc>
          <w:tcPr>
            <w:tcW w:w="1730" w:type="dxa"/>
            <w:tcBorders>
              <w:tl2br w:val="nil"/>
              <w:tr2bl w:val="nil"/>
            </w:tcBorders>
            <w:shd w:val="clear" w:color="auto" w:fill="auto"/>
            <w:noWrap/>
            <w:tcMar>
              <w:top w:w="15" w:type="dxa"/>
              <w:left w:w="15" w:type="dxa"/>
              <w:right w:w="15" w:type="dxa"/>
            </w:tcMar>
            <w:vAlign w:val="center"/>
          </w:tcPr>
          <w:p w14:paraId="40F69C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17.9</w:t>
            </w:r>
          </w:p>
        </w:tc>
        <w:tc>
          <w:tcPr>
            <w:tcW w:w="1817" w:type="dxa"/>
            <w:tcBorders>
              <w:tl2br w:val="nil"/>
              <w:tr2bl w:val="nil"/>
            </w:tcBorders>
            <w:shd w:val="clear" w:color="auto" w:fill="auto"/>
            <w:noWrap/>
            <w:tcMar>
              <w:top w:w="15" w:type="dxa"/>
              <w:left w:w="15" w:type="dxa"/>
              <w:right w:w="15" w:type="dxa"/>
            </w:tcMar>
            <w:vAlign w:val="center"/>
          </w:tcPr>
          <w:p w14:paraId="39D8C1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4.28%</w:t>
            </w:r>
          </w:p>
        </w:tc>
        <w:tc>
          <w:tcPr>
            <w:tcW w:w="1080" w:type="dxa"/>
            <w:tcBorders>
              <w:tl2br w:val="nil"/>
              <w:tr2bl w:val="nil"/>
            </w:tcBorders>
            <w:shd w:val="clear" w:color="auto" w:fill="auto"/>
            <w:noWrap/>
            <w:tcMar>
              <w:top w:w="15" w:type="dxa"/>
              <w:left w:w="15" w:type="dxa"/>
              <w:right w:w="15" w:type="dxa"/>
            </w:tcMar>
            <w:vAlign w:val="center"/>
          </w:tcPr>
          <w:p w14:paraId="449D4E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w:t>
            </w:r>
          </w:p>
        </w:tc>
        <w:tc>
          <w:tcPr>
            <w:tcW w:w="1080" w:type="dxa"/>
            <w:tcBorders>
              <w:tl2br w:val="nil"/>
              <w:tr2bl w:val="nil"/>
            </w:tcBorders>
            <w:shd w:val="clear" w:color="auto" w:fill="auto"/>
            <w:noWrap/>
            <w:tcMar>
              <w:top w:w="15" w:type="dxa"/>
              <w:left w:w="15" w:type="dxa"/>
              <w:right w:w="15" w:type="dxa"/>
            </w:tcMar>
            <w:vAlign w:val="center"/>
          </w:tcPr>
          <w:p w14:paraId="585BFB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62"/>
                <w:rFonts w:hint="default" w:ascii="Times New Roman" w:hAnsi="Times New Roman" w:cs="Times New Roman"/>
                <w:color w:val="auto"/>
                <w:sz w:val="21"/>
                <w:szCs w:val="21"/>
                <w:highlight w:val="none"/>
                <w:lang w:val="en-US" w:eastAsia="zh-CN" w:bidi="ar"/>
              </w:rPr>
              <w:t>合格</w:t>
            </w:r>
          </w:p>
        </w:tc>
      </w:tr>
      <w:tr w14:paraId="21399E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166E7AB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51465A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62"/>
                <w:rFonts w:hint="default" w:ascii="Times New Roman" w:hAnsi="Times New Roman" w:cs="Times New Roman"/>
                <w:color w:val="auto"/>
                <w:sz w:val="21"/>
                <w:szCs w:val="21"/>
                <w:highlight w:val="none"/>
                <w:lang w:val="en-US" w:eastAsia="zh-CN" w:bidi="ar"/>
              </w:rPr>
              <w:t>汞</w:t>
            </w:r>
          </w:p>
        </w:tc>
        <w:tc>
          <w:tcPr>
            <w:tcW w:w="980" w:type="dxa"/>
            <w:tcBorders>
              <w:tl2br w:val="nil"/>
              <w:tr2bl w:val="nil"/>
            </w:tcBorders>
            <w:shd w:val="clear" w:color="auto" w:fill="auto"/>
            <w:noWrap/>
            <w:tcMar>
              <w:top w:w="15" w:type="dxa"/>
              <w:left w:w="15" w:type="dxa"/>
              <w:right w:w="15" w:type="dxa"/>
            </w:tcMar>
            <w:vAlign w:val="center"/>
          </w:tcPr>
          <w:p w14:paraId="5946D4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0.08</w:t>
            </w:r>
          </w:p>
        </w:tc>
        <w:tc>
          <w:tcPr>
            <w:tcW w:w="1730" w:type="dxa"/>
            <w:tcBorders>
              <w:tl2br w:val="nil"/>
              <w:tr2bl w:val="nil"/>
            </w:tcBorders>
            <w:shd w:val="clear" w:color="auto" w:fill="auto"/>
            <w:noWrap/>
            <w:tcMar>
              <w:top w:w="15" w:type="dxa"/>
              <w:left w:w="15" w:type="dxa"/>
              <w:right w:w="15" w:type="dxa"/>
            </w:tcMar>
            <w:vAlign w:val="center"/>
          </w:tcPr>
          <w:p w14:paraId="20FE68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0.07</w:t>
            </w:r>
          </w:p>
        </w:tc>
        <w:tc>
          <w:tcPr>
            <w:tcW w:w="1817" w:type="dxa"/>
            <w:tcBorders>
              <w:tl2br w:val="nil"/>
              <w:tr2bl w:val="nil"/>
            </w:tcBorders>
            <w:shd w:val="clear" w:color="auto" w:fill="auto"/>
            <w:noWrap/>
            <w:tcMar>
              <w:top w:w="15" w:type="dxa"/>
              <w:left w:w="15" w:type="dxa"/>
              <w:right w:w="15" w:type="dxa"/>
            </w:tcMar>
            <w:vAlign w:val="center"/>
          </w:tcPr>
          <w:p w14:paraId="7EDB4E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6.67%</w:t>
            </w:r>
          </w:p>
        </w:tc>
        <w:tc>
          <w:tcPr>
            <w:tcW w:w="1080" w:type="dxa"/>
            <w:tcBorders>
              <w:tl2br w:val="nil"/>
              <w:tr2bl w:val="nil"/>
            </w:tcBorders>
            <w:shd w:val="clear" w:color="auto" w:fill="auto"/>
            <w:noWrap/>
            <w:tcMar>
              <w:top w:w="15" w:type="dxa"/>
              <w:left w:w="15" w:type="dxa"/>
              <w:right w:w="15" w:type="dxa"/>
            </w:tcMar>
            <w:vAlign w:val="center"/>
          </w:tcPr>
          <w:p w14:paraId="08B158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≤35%</w:t>
            </w:r>
          </w:p>
        </w:tc>
        <w:tc>
          <w:tcPr>
            <w:tcW w:w="1080" w:type="dxa"/>
            <w:tcBorders>
              <w:tl2br w:val="nil"/>
              <w:tr2bl w:val="nil"/>
            </w:tcBorders>
            <w:shd w:val="clear" w:color="auto" w:fill="auto"/>
            <w:noWrap/>
            <w:tcMar>
              <w:top w:w="15" w:type="dxa"/>
              <w:left w:w="15" w:type="dxa"/>
              <w:right w:w="15" w:type="dxa"/>
            </w:tcMar>
            <w:vAlign w:val="center"/>
          </w:tcPr>
          <w:p w14:paraId="38A032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62"/>
                <w:rFonts w:hint="default" w:ascii="Times New Roman" w:hAnsi="Times New Roman" w:cs="Times New Roman"/>
                <w:color w:val="auto"/>
                <w:sz w:val="21"/>
                <w:szCs w:val="21"/>
                <w:highlight w:val="none"/>
                <w:lang w:val="en-US" w:eastAsia="zh-CN" w:bidi="ar"/>
              </w:rPr>
              <w:t>合格</w:t>
            </w:r>
          </w:p>
        </w:tc>
      </w:tr>
      <w:tr w14:paraId="7AFD94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434BEBD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393851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62"/>
                <w:rFonts w:hint="default" w:ascii="Times New Roman" w:hAnsi="Times New Roman" w:cs="Times New Roman"/>
                <w:color w:val="auto"/>
                <w:sz w:val="21"/>
                <w:szCs w:val="21"/>
                <w:highlight w:val="none"/>
                <w:lang w:val="en-US" w:eastAsia="zh-CN" w:bidi="ar"/>
              </w:rPr>
              <w:t>钴</w:t>
            </w:r>
          </w:p>
        </w:tc>
        <w:tc>
          <w:tcPr>
            <w:tcW w:w="980" w:type="dxa"/>
            <w:tcBorders>
              <w:tl2br w:val="nil"/>
              <w:tr2bl w:val="nil"/>
            </w:tcBorders>
            <w:shd w:val="clear" w:color="auto" w:fill="auto"/>
            <w:noWrap/>
            <w:tcMar>
              <w:top w:w="15" w:type="dxa"/>
              <w:left w:w="15" w:type="dxa"/>
              <w:right w:w="15" w:type="dxa"/>
            </w:tcMar>
            <w:vAlign w:val="center"/>
          </w:tcPr>
          <w:p w14:paraId="7B1C8F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11.2</w:t>
            </w:r>
          </w:p>
        </w:tc>
        <w:tc>
          <w:tcPr>
            <w:tcW w:w="1730" w:type="dxa"/>
            <w:tcBorders>
              <w:tl2br w:val="nil"/>
              <w:tr2bl w:val="nil"/>
            </w:tcBorders>
            <w:shd w:val="clear" w:color="auto" w:fill="auto"/>
            <w:noWrap/>
            <w:tcMar>
              <w:top w:w="15" w:type="dxa"/>
              <w:left w:w="15" w:type="dxa"/>
              <w:right w:w="15" w:type="dxa"/>
            </w:tcMar>
            <w:vAlign w:val="center"/>
          </w:tcPr>
          <w:p w14:paraId="41CBBC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11.4</w:t>
            </w:r>
          </w:p>
        </w:tc>
        <w:tc>
          <w:tcPr>
            <w:tcW w:w="1817" w:type="dxa"/>
            <w:tcBorders>
              <w:tl2br w:val="nil"/>
              <w:tr2bl w:val="nil"/>
            </w:tcBorders>
            <w:shd w:val="clear" w:color="auto" w:fill="auto"/>
            <w:noWrap/>
            <w:tcMar>
              <w:top w:w="15" w:type="dxa"/>
              <w:left w:w="15" w:type="dxa"/>
              <w:right w:w="15" w:type="dxa"/>
            </w:tcMar>
            <w:vAlign w:val="center"/>
          </w:tcPr>
          <w:p w14:paraId="1F3D59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0.88%</w:t>
            </w:r>
          </w:p>
        </w:tc>
        <w:tc>
          <w:tcPr>
            <w:tcW w:w="1080" w:type="dxa"/>
            <w:tcBorders>
              <w:tl2br w:val="nil"/>
              <w:tr2bl w:val="nil"/>
            </w:tcBorders>
            <w:shd w:val="clear" w:color="auto" w:fill="auto"/>
            <w:noWrap/>
            <w:tcMar>
              <w:top w:w="15" w:type="dxa"/>
              <w:left w:w="15" w:type="dxa"/>
              <w:right w:w="15" w:type="dxa"/>
            </w:tcMar>
            <w:vAlign w:val="center"/>
          </w:tcPr>
          <w:p w14:paraId="1A268B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w:t>
            </w:r>
          </w:p>
        </w:tc>
        <w:tc>
          <w:tcPr>
            <w:tcW w:w="1080" w:type="dxa"/>
            <w:tcBorders>
              <w:tl2br w:val="nil"/>
              <w:tr2bl w:val="nil"/>
            </w:tcBorders>
            <w:shd w:val="clear" w:color="auto" w:fill="auto"/>
            <w:noWrap/>
            <w:tcMar>
              <w:top w:w="15" w:type="dxa"/>
              <w:left w:w="15" w:type="dxa"/>
              <w:right w:w="15" w:type="dxa"/>
            </w:tcMar>
            <w:vAlign w:val="center"/>
          </w:tcPr>
          <w:p w14:paraId="6E6030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62"/>
                <w:rFonts w:hint="default" w:ascii="Times New Roman" w:hAnsi="Times New Roman" w:cs="Times New Roman"/>
                <w:color w:val="auto"/>
                <w:sz w:val="21"/>
                <w:szCs w:val="21"/>
                <w:highlight w:val="none"/>
                <w:lang w:val="en-US" w:eastAsia="zh-CN" w:bidi="ar"/>
              </w:rPr>
              <w:t>合格</w:t>
            </w:r>
          </w:p>
        </w:tc>
      </w:tr>
      <w:tr w14:paraId="53A433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7C0FFAF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5B04DA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62"/>
                <w:rFonts w:hint="default" w:ascii="Times New Roman" w:hAnsi="Times New Roman" w:cs="Times New Roman"/>
                <w:color w:val="auto"/>
                <w:sz w:val="21"/>
                <w:szCs w:val="21"/>
                <w:highlight w:val="none"/>
                <w:lang w:val="en-US" w:eastAsia="zh-CN" w:bidi="ar"/>
              </w:rPr>
              <w:t>镉</w:t>
            </w:r>
          </w:p>
        </w:tc>
        <w:tc>
          <w:tcPr>
            <w:tcW w:w="980" w:type="dxa"/>
            <w:tcBorders>
              <w:tl2br w:val="nil"/>
              <w:tr2bl w:val="nil"/>
            </w:tcBorders>
            <w:shd w:val="clear" w:color="auto" w:fill="auto"/>
            <w:noWrap/>
            <w:tcMar>
              <w:top w:w="15" w:type="dxa"/>
              <w:left w:w="15" w:type="dxa"/>
              <w:right w:w="15" w:type="dxa"/>
            </w:tcMar>
            <w:vAlign w:val="center"/>
          </w:tcPr>
          <w:p w14:paraId="4145FAF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w:t>
            </w:r>
          </w:p>
        </w:tc>
        <w:tc>
          <w:tcPr>
            <w:tcW w:w="1730" w:type="dxa"/>
            <w:tcBorders>
              <w:tl2br w:val="nil"/>
              <w:tr2bl w:val="nil"/>
            </w:tcBorders>
            <w:shd w:val="clear" w:color="auto" w:fill="auto"/>
            <w:noWrap/>
            <w:tcMar>
              <w:top w:w="15" w:type="dxa"/>
              <w:left w:w="15" w:type="dxa"/>
              <w:right w:w="15" w:type="dxa"/>
            </w:tcMar>
            <w:vAlign w:val="center"/>
          </w:tcPr>
          <w:p w14:paraId="1248FB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0.01</w:t>
            </w:r>
          </w:p>
        </w:tc>
        <w:tc>
          <w:tcPr>
            <w:tcW w:w="1817" w:type="dxa"/>
            <w:tcBorders>
              <w:tl2br w:val="nil"/>
              <w:tr2bl w:val="nil"/>
            </w:tcBorders>
            <w:shd w:val="clear" w:color="auto" w:fill="auto"/>
            <w:noWrap/>
            <w:tcMar>
              <w:top w:w="15" w:type="dxa"/>
              <w:left w:w="15" w:type="dxa"/>
              <w:right w:w="15" w:type="dxa"/>
            </w:tcMar>
            <w:vAlign w:val="center"/>
          </w:tcPr>
          <w:p w14:paraId="01D63C6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w:t>
            </w:r>
          </w:p>
        </w:tc>
        <w:tc>
          <w:tcPr>
            <w:tcW w:w="1080" w:type="dxa"/>
            <w:tcBorders>
              <w:tl2br w:val="nil"/>
              <w:tr2bl w:val="nil"/>
            </w:tcBorders>
            <w:shd w:val="clear" w:color="auto" w:fill="auto"/>
            <w:noWrap/>
            <w:tcMar>
              <w:top w:w="15" w:type="dxa"/>
              <w:left w:w="15" w:type="dxa"/>
              <w:right w:w="15" w:type="dxa"/>
            </w:tcMar>
            <w:vAlign w:val="center"/>
          </w:tcPr>
          <w:p w14:paraId="15E388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≤35%</w:t>
            </w:r>
          </w:p>
        </w:tc>
        <w:tc>
          <w:tcPr>
            <w:tcW w:w="1080" w:type="dxa"/>
            <w:tcBorders>
              <w:tl2br w:val="nil"/>
              <w:tr2bl w:val="nil"/>
            </w:tcBorders>
            <w:shd w:val="clear" w:color="auto" w:fill="auto"/>
            <w:noWrap/>
            <w:tcMar>
              <w:top w:w="15" w:type="dxa"/>
              <w:left w:w="15" w:type="dxa"/>
              <w:right w:w="15" w:type="dxa"/>
            </w:tcMar>
            <w:vAlign w:val="center"/>
          </w:tcPr>
          <w:p w14:paraId="310098F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62"/>
                <w:rFonts w:hint="default" w:ascii="Times New Roman" w:hAnsi="Times New Roman" w:cs="Times New Roman"/>
                <w:color w:val="auto"/>
                <w:sz w:val="21"/>
                <w:szCs w:val="21"/>
                <w:highlight w:val="none"/>
                <w:lang w:val="en-US" w:eastAsia="zh-CN" w:bidi="ar"/>
              </w:rPr>
              <w:t>合格</w:t>
            </w:r>
          </w:p>
        </w:tc>
      </w:tr>
      <w:tr w14:paraId="328E96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46A681F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6582EE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62"/>
                <w:rFonts w:hint="default" w:ascii="Times New Roman" w:hAnsi="Times New Roman" w:cs="Times New Roman"/>
                <w:color w:val="auto"/>
                <w:sz w:val="21"/>
                <w:szCs w:val="21"/>
                <w:highlight w:val="none"/>
                <w:lang w:val="en-US" w:eastAsia="zh-CN" w:bidi="ar"/>
              </w:rPr>
              <w:t>铜</w:t>
            </w:r>
          </w:p>
        </w:tc>
        <w:tc>
          <w:tcPr>
            <w:tcW w:w="980" w:type="dxa"/>
            <w:tcBorders>
              <w:tl2br w:val="nil"/>
              <w:tr2bl w:val="nil"/>
            </w:tcBorders>
            <w:shd w:val="clear" w:color="auto" w:fill="auto"/>
            <w:noWrap/>
            <w:tcMar>
              <w:top w:w="15" w:type="dxa"/>
              <w:left w:w="15" w:type="dxa"/>
              <w:right w:w="15" w:type="dxa"/>
            </w:tcMar>
            <w:vAlign w:val="center"/>
          </w:tcPr>
          <w:p w14:paraId="034D84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29</w:t>
            </w:r>
          </w:p>
        </w:tc>
        <w:tc>
          <w:tcPr>
            <w:tcW w:w="1730" w:type="dxa"/>
            <w:tcBorders>
              <w:tl2br w:val="nil"/>
              <w:tr2bl w:val="nil"/>
            </w:tcBorders>
            <w:shd w:val="clear" w:color="auto" w:fill="auto"/>
            <w:noWrap/>
            <w:tcMar>
              <w:top w:w="15" w:type="dxa"/>
              <w:left w:w="15" w:type="dxa"/>
              <w:right w:w="15" w:type="dxa"/>
            </w:tcMar>
            <w:vAlign w:val="center"/>
          </w:tcPr>
          <w:p w14:paraId="1F4EDF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29</w:t>
            </w:r>
          </w:p>
        </w:tc>
        <w:tc>
          <w:tcPr>
            <w:tcW w:w="1817" w:type="dxa"/>
            <w:tcBorders>
              <w:tl2br w:val="nil"/>
              <w:tr2bl w:val="nil"/>
            </w:tcBorders>
            <w:shd w:val="clear" w:color="auto" w:fill="auto"/>
            <w:noWrap/>
            <w:tcMar>
              <w:top w:w="15" w:type="dxa"/>
              <w:left w:w="15" w:type="dxa"/>
              <w:right w:w="15" w:type="dxa"/>
            </w:tcMar>
            <w:vAlign w:val="center"/>
          </w:tcPr>
          <w:p w14:paraId="7EDCFF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w:t>
            </w:r>
          </w:p>
        </w:tc>
        <w:tc>
          <w:tcPr>
            <w:tcW w:w="1080" w:type="dxa"/>
            <w:tcBorders>
              <w:tl2br w:val="nil"/>
              <w:tr2bl w:val="nil"/>
            </w:tcBorders>
            <w:shd w:val="clear" w:color="auto" w:fill="auto"/>
            <w:noWrap/>
            <w:tcMar>
              <w:top w:w="15" w:type="dxa"/>
              <w:left w:w="15" w:type="dxa"/>
              <w:right w:w="15" w:type="dxa"/>
            </w:tcMar>
            <w:vAlign w:val="center"/>
          </w:tcPr>
          <w:p w14:paraId="525193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09948A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62"/>
                <w:rFonts w:hint="default" w:ascii="Times New Roman" w:hAnsi="Times New Roman" w:cs="Times New Roman"/>
                <w:color w:val="auto"/>
                <w:sz w:val="21"/>
                <w:szCs w:val="21"/>
                <w:highlight w:val="none"/>
                <w:lang w:val="en-US" w:eastAsia="zh-CN" w:bidi="ar"/>
              </w:rPr>
              <w:t>合格</w:t>
            </w:r>
          </w:p>
        </w:tc>
      </w:tr>
      <w:tr w14:paraId="704A88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07A469F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62BC2D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62"/>
                <w:rFonts w:hint="default" w:ascii="Times New Roman" w:hAnsi="Times New Roman" w:cs="Times New Roman"/>
                <w:color w:val="auto"/>
                <w:sz w:val="21"/>
                <w:szCs w:val="21"/>
                <w:highlight w:val="none"/>
                <w:lang w:val="en-US" w:eastAsia="zh-CN" w:bidi="ar"/>
              </w:rPr>
              <w:t>镍</w:t>
            </w:r>
          </w:p>
        </w:tc>
        <w:tc>
          <w:tcPr>
            <w:tcW w:w="980" w:type="dxa"/>
            <w:tcBorders>
              <w:tl2br w:val="nil"/>
              <w:tr2bl w:val="nil"/>
            </w:tcBorders>
            <w:shd w:val="clear" w:color="auto" w:fill="auto"/>
            <w:noWrap/>
            <w:tcMar>
              <w:top w:w="15" w:type="dxa"/>
              <w:left w:w="15" w:type="dxa"/>
              <w:right w:w="15" w:type="dxa"/>
            </w:tcMar>
            <w:vAlign w:val="center"/>
          </w:tcPr>
          <w:p w14:paraId="6FC26AD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38</w:t>
            </w:r>
          </w:p>
        </w:tc>
        <w:tc>
          <w:tcPr>
            <w:tcW w:w="1730" w:type="dxa"/>
            <w:tcBorders>
              <w:tl2br w:val="nil"/>
              <w:tr2bl w:val="nil"/>
            </w:tcBorders>
            <w:shd w:val="clear" w:color="auto" w:fill="auto"/>
            <w:noWrap/>
            <w:tcMar>
              <w:top w:w="15" w:type="dxa"/>
              <w:left w:w="15" w:type="dxa"/>
              <w:right w:w="15" w:type="dxa"/>
            </w:tcMar>
            <w:vAlign w:val="center"/>
          </w:tcPr>
          <w:p w14:paraId="3F41F6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35</w:t>
            </w:r>
          </w:p>
        </w:tc>
        <w:tc>
          <w:tcPr>
            <w:tcW w:w="1817" w:type="dxa"/>
            <w:tcBorders>
              <w:tl2br w:val="nil"/>
              <w:tr2bl w:val="nil"/>
            </w:tcBorders>
            <w:shd w:val="clear" w:color="auto" w:fill="auto"/>
            <w:noWrap/>
            <w:tcMar>
              <w:top w:w="15" w:type="dxa"/>
              <w:left w:w="15" w:type="dxa"/>
              <w:right w:w="15" w:type="dxa"/>
            </w:tcMar>
            <w:vAlign w:val="center"/>
          </w:tcPr>
          <w:p w14:paraId="7EF1A3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4.11%</w:t>
            </w:r>
          </w:p>
        </w:tc>
        <w:tc>
          <w:tcPr>
            <w:tcW w:w="1080" w:type="dxa"/>
            <w:tcBorders>
              <w:tl2br w:val="nil"/>
              <w:tr2bl w:val="nil"/>
            </w:tcBorders>
            <w:shd w:val="clear" w:color="auto" w:fill="auto"/>
            <w:noWrap/>
            <w:tcMar>
              <w:top w:w="15" w:type="dxa"/>
              <w:left w:w="15" w:type="dxa"/>
              <w:right w:w="15" w:type="dxa"/>
            </w:tcMar>
            <w:vAlign w:val="center"/>
          </w:tcPr>
          <w:p w14:paraId="27E48C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0F69BD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62"/>
                <w:rFonts w:hint="default" w:ascii="Times New Roman" w:hAnsi="Times New Roman" w:cs="Times New Roman"/>
                <w:color w:val="auto"/>
                <w:sz w:val="21"/>
                <w:szCs w:val="21"/>
                <w:highlight w:val="none"/>
                <w:lang w:val="en-US" w:eastAsia="zh-CN" w:bidi="ar"/>
              </w:rPr>
              <w:t>合格</w:t>
            </w:r>
          </w:p>
        </w:tc>
      </w:tr>
      <w:tr w14:paraId="5C941C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12BC9FF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3FBF50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62"/>
                <w:rFonts w:hint="default" w:ascii="Times New Roman" w:hAnsi="Times New Roman" w:cs="Times New Roman"/>
                <w:color w:val="auto"/>
                <w:sz w:val="21"/>
                <w:szCs w:val="21"/>
                <w:highlight w:val="none"/>
                <w:lang w:val="en-US" w:eastAsia="zh-CN" w:bidi="ar"/>
              </w:rPr>
              <w:t>铬</w:t>
            </w:r>
          </w:p>
        </w:tc>
        <w:tc>
          <w:tcPr>
            <w:tcW w:w="980" w:type="dxa"/>
            <w:tcBorders>
              <w:tl2br w:val="nil"/>
              <w:tr2bl w:val="nil"/>
            </w:tcBorders>
            <w:shd w:val="clear" w:color="auto" w:fill="auto"/>
            <w:noWrap/>
            <w:tcMar>
              <w:top w:w="15" w:type="dxa"/>
              <w:left w:w="15" w:type="dxa"/>
              <w:right w:w="15" w:type="dxa"/>
            </w:tcMar>
            <w:vAlign w:val="center"/>
          </w:tcPr>
          <w:p w14:paraId="37B3A4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43</w:t>
            </w:r>
          </w:p>
        </w:tc>
        <w:tc>
          <w:tcPr>
            <w:tcW w:w="1730" w:type="dxa"/>
            <w:tcBorders>
              <w:tl2br w:val="nil"/>
              <w:tr2bl w:val="nil"/>
            </w:tcBorders>
            <w:shd w:val="clear" w:color="auto" w:fill="auto"/>
            <w:noWrap/>
            <w:tcMar>
              <w:top w:w="15" w:type="dxa"/>
              <w:left w:w="15" w:type="dxa"/>
              <w:right w:w="15" w:type="dxa"/>
            </w:tcMar>
            <w:vAlign w:val="center"/>
          </w:tcPr>
          <w:p w14:paraId="658290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63</w:t>
            </w:r>
          </w:p>
        </w:tc>
        <w:tc>
          <w:tcPr>
            <w:tcW w:w="1817" w:type="dxa"/>
            <w:tcBorders>
              <w:tl2br w:val="nil"/>
              <w:tr2bl w:val="nil"/>
            </w:tcBorders>
            <w:shd w:val="clear" w:color="auto" w:fill="auto"/>
            <w:noWrap/>
            <w:tcMar>
              <w:top w:w="15" w:type="dxa"/>
              <w:left w:w="15" w:type="dxa"/>
              <w:right w:w="15" w:type="dxa"/>
            </w:tcMar>
            <w:vAlign w:val="center"/>
          </w:tcPr>
          <w:p w14:paraId="6A075B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18.87%</w:t>
            </w:r>
          </w:p>
        </w:tc>
        <w:tc>
          <w:tcPr>
            <w:tcW w:w="1080" w:type="dxa"/>
            <w:tcBorders>
              <w:tl2br w:val="nil"/>
              <w:tr2bl w:val="nil"/>
            </w:tcBorders>
            <w:shd w:val="clear" w:color="auto" w:fill="auto"/>
            <w:noWrap/>
            <w:tcMar>
              <w:top w:w="15" w:type="dxa"/>
              <w:left w:w="15" w:type="dxa"/>
              <w:right w:w="15" w:type="dxa"/>
            </w:tcMar>
            <w:vAlign w:val="center"/>
          </w:tcPr>
          <w:p w14:paraId="3C6E9F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51B282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62"/>
                <w:rFonts w:hint="default" w:ascii="Times New Roman" w:hAnsi="Times New Roman" w:cs="Times New Roman"/>
                <w:color w:val="auto"/>
                <w:sz w:val="21"/>
                <w:szCs w:val="21"/>
                <w:highlight w:val="none"/>
                <w:lang w:val="en-US" w:eastAsia="zh-CN" w:bidi="ar"/>
              </w:rPr>
              <w:t>合格</w:t>
            </w:r>
          </w:p>
        </w:tc>
      </w:tr>
      <w:tr w14:paraId="0DC8A7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05688E9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4374EF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62"/>
                <w:rFonts w:hint="default" w:ascii="Times New Roman" w:hAnsi="Times New Roman" w:cs="Times New Roman"/>
                <w:color w:val="auto"/>
                <w:sz w:val="21"/>
                <w:szCs w:val="21"/>
                <w:highlight w:val="none"/>
                <w:lang w:val="en-US" w:eastAsia="zh-CN" w:bidi="ar"/>
              </w:rPr>
              <w:t>锌</w:t>
            </w:r>
          </w:p>
        </w:tc>
        <w:tc>
          <w:tcPr>
            <w:tcW w:w="980" w:type="dxa"/>
            <w:tcBorders>
              <w:tl2br w:val="nil"/>
              <w:tr2bl w:val="nil"/>
            </w:tcBorders>
            <w:shd w:val="clear" w:color="auto" w:fill="auto"/>
            <w:noWrap/>
            <w:tcMar>
              <w:top w:w="15" w:type="dxa"/>
              <w:left w:w="15" w:type="dxa"/>
              <w:right w:w="15" w:type="dxa"/>
            </w:tcMar>
            <w:vAlign w:val="center"/>
          </w:tcPr>
          <w:p w14:paraId="0A3809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w:t>
            </w:r>
          </w:p>
        </w:tc>
        <w:tc>
          <w:tcPr>
            <w:tcW w:w="1730" w:type="dxa"/>
            <w:tcBorders>
              <w:tl2br w:val="nil"/>
              <w:tr2bl w:val="nil"/>
            </w:tcBorders>
            <w:shd w:val="clear" w:color="auto" w:fill="auto"/>
            <w:noWrap/>
            <w:tcMar>
              <w:top w:w="15" w:type="dxa"/>
              <w:left w:w="15" w:type="dxa"/>
              <w:right w:w="15" w:type="dxa"/>
            </w:tcMar>
            <w:vAlign w:val="center"/>
          </w:tcPr>
          <w:p w14:paraId="021F00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73</w:t>
            </w:r>
          </w:p>
        </w:tc>
        <w:tc>
          <w:tcPr>
            <w:tcW w:w="1817" w:type="dxa"/>
            <w:tcBorders>
              <w:tl2br w:val="nil"/>
              <w:tr2bl w:val="nil"/>
            </w:tcBorders>
            <w:shd w:val="clear" w:color="auto" w:fill="auto"/>
            <w:noWrap/>
            <w:tcMar>
              <w:top w:w="15" w:type="dxa"/>
              <w:left w:w="15" w:type="dxa"/>
              <w:right w:w="15" w:type="dxa"/>
            </w:tcMar>
            <w:vAlign w:val="center"/>
          </w:tcPr>
          <w:p w14:paraId="067735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0.68%</w:t>
            </w:r>
          </w:p>
        </w:tc>
        <w:tc>
          <w:tcPr>
            <w:tcW w:w="1080" w:type="dxa"/>
            <w:tcBorders>
              <w:tl2br w:val="nil"/>
              <w:tr2bl w:val="nil"/>
            </w:tcBorders>
            <w:shd w:val="clear" w:color="auto" w:fill="auto"/>
            <w:noWrap/>
            <w:tcMar>
              <w:top w:w="15" w:type="dxa"/>
              <w:left w:w="15" w:type="dxa"/>
              <w:right w:w="15" w:type="dxa"/>
            </w:tcMar>
            <w:vAlign w:val="center"/>
          </w:tcPr>
          <w:p w14:paraId="5544CF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05C8CF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62"/>
                <w:rFonts w:hint="default" w:ascii="Times New Roman" w:hAnsi="Times New Roman" w:cs="Times New Roman"/>
                <w:color w:val="auto"/>
                <w:sz w:val="21"/>
                <w:szCs w:val="21"/>
                <w:highlight w:val="none"/>
                <w:lang w:val="en-US" w:eastAsia="zh-CN" w:bidi="ar"/>
              </w:rPr>
              <w:t>合格</w:t>
            </w:r>
          </w:p>
        </w:tc>
      </w:tr>
      <w:tr w14:paraId="6BA11D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685AECD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40C42E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62"/>
                <w:rFonts w:hint="default" w:ascii="Times New Roman" w:hAnsi="Times New Roman" w:cs="Times New Roman"/>
                <w:color w:val="auto"/>
                <w:sz w:val="21"/>
                <w:szCs w:val="21"/>
                <w:highlight w:val="none"/>
                <w:lang w:val="en-US" w:eastAsia="zh-CN" w:bidi="ar"/>
              </w:rPr>
              <w:t>砷</w:t>
            </w:r>
          </w:p>
        </w:tc>
        <w:tc>
          <w:tcPr>
            <w:tcW w:w="980" w:type="dxa"/>
            <w:tcBorders>
              <w:tl2br w:val="nil"/>
              <w:tr2bl w:val="nil"/>
            </w:tcBorders>
            <w:shd w:val="clear" w:color="auto" w:fill="auto"/>
            <w:noWrap/>
            <w:tcMar>
              <w:top w:w="15" w:type="dxa"/>
              <w:left w:w="15" w:type="dxa"/>
              <w:right w:w="15" w:type="dxa"/>
            </w:tcMar>
            <w:vAlign w:val="center"/>
          </w:tcPr>
          <w:p w14:paraId="113A98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10.9</w:t>
            </w:r>
          </w:p>
        </w:tc>
        <w:tc>
          <w:tcPr>
            <w:tcW w:w="1730" w:type="dxa"/>
            <w:tcBorders>
              <w:tl2br w:val="nil"/>
              <w:tr2bl w:val="nil"/>
            </w:tcBorders>
            <w:shd w:val="clear" w:color="auto" w:fill="auto"/>
            <w:noWrap/>
            <w:tcMar>
              <w:top w:w="15" w:type="dxa"/>
              <w:left w:w="15" w:type="dxa"/>
              <w:right w:w="15" w:type="dxa"/>
            </w:tcMar>
            <w:vAlign w:val="center"/>
          </w:tcPr>
          <w:p w14:paraId="26FDE6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1817" w:type="dxa"/>
            <w:tcBorders>
              <w:tl2br w:val="nil"/>
              <w:tr2bl w:val="nil"/>
            </w:tcBorders>
            <w:shd w:val="clear" w:color="auto" w:fill="auto"/>
            <w:noWrap/>
            <w:tcMar>
              <w:top w:w="15" w:type="dxa"/>
              <w:left w:w="15" w:type="dxa"/>
              <w:right w:w="15" w:type="dxa"/>
            </w:tcMar>
            <w:vAlign w:val="center"/>
          </w:tcPr>
          <w:p w14:paraId="3DACCF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0.46%</w:t>
            </w:r>
          </w:p>
        </w:tc>
        <w:tc>
          <w:tcPr>
            <w:tcW w:w="1080" w:type="dxa"/>
            <w:tcBorders>
              <w:tl2br w:val="nil"/>
              <w:tr2bl w:val="nil"/>
            </w:tcBorders>
            <w:shd w:val="clear" w:color="auto" w:fill="auto"/>
            <w:noWrap/>
            <w:tcMar>
              <w:top w:w="15" w:type="dxa"/>
              <w:left w:w="15" w:type="dxa"/>
              <w:right w:w="15" w:type="dxa"/>
            </w:tcMar>
            <w:vAlign w:val="center"/>
          </w:tcPr>
          <w:p w14:paraId="1221E7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w:t>
            </w:r>
          </w:p>
        </w:tc>
        <w:tc>
          <w:tcPr>
            <w:tcW w:w="1080" w:type="dxa"/>
            <w:tcBorders>
              <w:tl2br w:val="nil"/>
              <w:tr2bl w:val="nil"/>
            </w:tcBorders>
            <w:shd w:val="clear" w:color="auto" w:fill="auto"/>
            <w:noWrap/>
            <w:tcMar>
              <w:top w:w="15" w:type="dxa"/>
              <w:left w:w="15" w:type="dxa"/>
              <w:right w:w="15" w:type="dxa"/>
            </w:tcMar>
            <w:vAlign w:val="center"/>
          </w:tcPr>
          <w:p w14:paraId="1D23FA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62"/>
                <w:rFonts w:hint="default" w:ascii="Times New Roman" w:hAnsi="Times New Roman" w:cs="Times New Roman"/>
                <w:color w:val="auto"/>
                <w:sz w:val="21"/>
                <w:szCs w:val="21"/>
                <w:highlight w:val="none"/>
                <w:lang w:val="en-US" w:eastAsia="zh-CN" w:bidi="ar"/>
              </w:rPr>
              <w:t>合格</w:t>
            </w:r>
          </w:p>
        </w:tc>
      </w:tr>
      <w:tr w14:paraId="280B83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2ACF665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5932FE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石油烃（</w:t>
            </w:r>
            <w:r>
              <w:rPr>
                <w:rFonts w:hint="default" w:ascii="Times New Roman" w:hAnsi="Times New Roman" w:eastAsia="宋体" w:cs="Times New Roman"/>
                <w:i w:val="0"/>
                <w:color w:val="auto"/>
                <w:kern w:val="0"/>
                <w:sz w:val="21"/>
                <w:szCs w:val="21"/>
                <w:highlight w:val="none"/>
                <w:u w:val="none"/>
                <w:lang w:val="en-US" w:eastAsia="zh-CN" w:bidi="ar"/>
              </w:rPr>
              <w:t>C</w:t>
            </w:r>
            <w:r>
              <w:rPr>
                <w:rFonts w:hint="default" w:ascii="Times New Roman" w:hAnsi="Times New Roman" w:eastAsia="宋体" w:cs="Times New Roman"/>
                <w:i w:val="0"/>
                <w:color w:val="auto"/>
                <w:kern w:val="0"/>
                <w:sz w:val="21"/>
                <w:szCs w:val="21"/>
                <w:highlight w:val="none"/>
                <w:u w:val="none"/>
                <w:vertAlign w:val="subscript"/>
                <w:lang w:val="en-US" w:eastAsia="zh-CN" w:bidi="ar"/>
              </w:rPr>
              <w:t>10</w:t>
            </w:r>
            <w:r>
              <w:rPr>
                <w:rFonts w:hint="default" w:ascii="Times New Roman" w:hAnsi="Times New Roman" w:eastAsia="宋体" w:cs="Times New Roman"/>
                <w:i w:val="0"/>
                <w:color w:val="auto"/>
                <w:kern w:val="0"/>
                <w:sz w:val="21"/>
                <w:szCs w:val="21"/>
                <w:highlight w:val="none"/>
                <w:u w:val="none"/>
                <w:lang w:val="en-US" w:eastAsia="zh-CN" w:bidi="ar"/>
              </w:rPr>
              <w:t xml:space="preserve"> - C</w:t>
            </w:r>
            <w:r>
              <w:rPr>
                <w:rFonts w:hint="default" w:ascii="Times New Roman" w:hAnsi="Times New Roman" w:eastAsia="宋体" w:cs="Times New Roman"/>
                <w:i w:val="0"/>
                <w:color w:val="auto"/>
                <w:kern w:val="0"/>
                <w:sz w:val="21"/>
                <w:szCs w:val="21"/>
                <w:highlight w:val="none"/>
                <w:u w:val="none"/>
                <w:vertAlign w:val="subscript"/>
                <w:lang w:val="en-US" w:eastAsia="zh-CN" w:bidi="ar"/>
              </w:rPr>
              <w:t>40</w:t>
            </w:r>
            <w:r>
              <w:rPr>
                <w:rFonts w:hint="eastAsia" w:cs="Times New Roman"/>
                <w:i w:val="0"/>
                <w:color w:val="auto"/>
                <w:kern w:val="0"/>
                <w:sz w:val="21"/>
                <w:szCs w:val="21"/>
                <w:highlight w:val="none"/>
                <w:u w:val="none"/>
                <w:lang w:val="en-US" w:eastAsia="zh-CN" w:bidi="ar"/>
              </w:rPr>
              <w:t>）</w:t>
            </w:r>
          </w:p>
        </w:tc>
        <w:tc>
          <w:tcPr>
            <w:tcW w:w="980" w:type="dxa"/>
            <w:tcBorders>
              <w:tl2br w:val="nil"/>
              <w:tr2bl w:val="nil"/>
            </w:tcBorders>
            <w:shd w:val="clear" w:color="auto" w:fill="auto"/>
            <w:noWrap/>
            <w:tcMar>
              <w:top w:w="15" w:type="dxa"/>
              <w:left w:w="15" w:type="dxa"/>
              <w:right w:w="15" w:type="dxa"/>
            </w:tcMar>
            <w:vAlign w:val="center"/>
          </w:tcPr>
          <w:p w14:paraId="6625F8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1730" w:type="dxa"/>
            <w:tcBorders>
              <w:tl2br w:val="nil"/>
              <w:tr2bl w:val="nil"/>
            </w:tcBorders>
            <w:shd w:val="clear" w:color="auto" w:fill="auto"/>
            <w:noWrap/>
            <w:tcMar>
              <w:top w:w="15" w:type="dxa"/>
              <w:left w:w="15" w:type="dxa"/>
              <w:right w:w="15" w:type="dxa"/>
            </w:tcMar>
            <w:vAlign w:val="center"/>
          </w:tcPr>
          <w:p w14:paraId="2B26BB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18</w:t>
            </w:r>
          </w:p>
        </w:tc>
        <w:tc>
          <w:tcPr>
            <w:tcW w:w="1817" w:type="dxa"/>
            <w:tcBorders>
              <w:tl2br w:val="nil"/>
              <w:tr2bl w:val="nil"/>
            </w:tcBorders>
            <w:shd w:val="clear" w:color="auto" w:fill="auto"/>
            <w:noWrap/>
            <w:tcMar>
              <w:top w:w="15" w:type="dxa"/>
              <w:left w:w="15" w:type="dxa"/>
              <w:right w:w="15" w:type="dxa"/>
            </w:tcMar>
            <w:vAlign w:val="center"/>
          </w:tcPr>
          <w:p w14:paraId="5E93B0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9.09%</w:t>
            </w:r>
          </w:p>
        </w:tc>
        <w:tc>
          <w:tcPr>
            <w:tcW w:w="1080" w:type="dxa"/>
            <w:tcBorders>
              <w:tl2br w:val="nil"/>
              <w:tr2bl w:val="nil"/>
            </w:tcBorders>
            <w:shd w:val="clear" w:color="auto" w:fill="auto"/>
            <w:noWrap/>
            <w:tcMar>
              <w:top w:w="15" w:type="dxa"/>
              <w:left w:w="15" w:type="dxa"/>
              <w:right w:w="15" w:type="dxa"/>
            </w:tcMar>
            <w:vAlign w:val="center"/>
          </w:tcPr>
          <w:p w14:paraId="4AE585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≤25%</w:t>
            </w:r>
          </w:p>
        </w:tc>
        <w:tc>
          <w:tcPr>
            <w:tcW w:w="1080" w:type="dxa"/>
            <w:tcBorders>
              <w:tl2br w:val="nil"/>
              <w:tr2bl w:val="nil"/>
            </w:tcBorders>
            <w:shd w:val="clear" w:color="auto" w:fill="auto"/>
            <w:noWrap/>
            <w:tcMar>
              <w:top w:w="15" w:type="dxa"/>
              <w:left w:w="15" w:type="dxa"/>
              <w:right w:w="15" w:type="dxa"/>
            </w:tcMar>
            <w:vAlign w:val="center"/>
          </w:tcPr>
          <w:p w14:paraId="35493F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Style w:val="62"/>
                <w:rFonts w:hint="default" w:ascii="Times New Roman" w:hAnsi="Times New Roman" w:cs="Times New Roman"/>
                <w:color w:val="auto"/>
                <w:sz w:val="21"/>
                <w:szCs w:val="21"/>
                <w:highlight w:val="none"/>
                <w:lang w:val="en-US" w:eastAsia="zh-CN" w:bidi="ar"/>
              </w:rPr>
              <w:t>合格</w:t>
            </w:r>
          </w:p>
        </w:tc>
      </w:tr>
    </w:tbl>
    <w:p w14:paraId="12A12A0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bCs/>
          <w:color w:val="000000"/>
          <w:sz w:val="24"/>
          <w:highlight w:val="none"/>
        </w:rPr>
      </w:pPr>
      <w:r>
        <w:rPr>
          <w:rFonts w:hint="default" w:ascii="Times New Roman" w:hAnsi="Times New Roman" w:eastAsia="黑体" w:cs="Times New Roman"/>
          <w:b/>
          <w:bCs/>
          <w:color w:val="000000"/>
          <w:sz w:val="24"/>
          <w:highlight w:val="none"/>
        </w:rPr>
        <w:t>表</w:t>
      </w:r>
      <w:r>
        <w:rPr>
          <w:rFonts w:hint="default" w:ascii="Times New Roman" w:hAnsi="Times New Roman" w:eastAsia="黑体" w:cs="Times New Roman"/>
          <w:b/>
          <w:bCs/>
          <w:color w:val="000000"/>
          <w:sz w:val="24"/>
          <w:highlight w:val="none"/>
          <w:lang w:eastAsia="zh-CN"/>
        </w:rPr>
        <w:t>4-5</w:t>
      </w:r>
      <w:r>
        <w:rPr>
          <w:rFonts w:hint="default" w:ascii="Times New Roman" w:hAnsi="Times New Roman" w:eastAsia="黑体" w:cs="Times New Roman"/>
          <w:b/>
          <w:bCs/>
          <w:color w:val="000000"/>
          <w:sz w:val="24"/>
          <w:highlight w:val="none"/>
        </w:rPr>
        <w:t>-</w:t>
      </w:r>
      <w:r>
        <w:rPr>
          <w:rFonts w:hint="default" w:ascii="Times New Roman" w:hAnsi="Times New Roman" w:eastAsia="黑体" w:cs="Times New Roman"/>
          <w:b/>
          <w:bCs/>
          <w:color w:val="000000"/>
          <w:sz w:val="24"/>
          <w:highlight w:val="none"/>
          <w:lang w:val="en-US" w:eastAsia="zh-CN"/>
        </w:rPr>
        <w:t>2</w:t>
      </w:r>
      <w:r>
        <w:rPr>
          <w:rFonts w:hint="default" w:ascii="Times New Roman" w:hAnsi="Times New Roman" w:eastAsia="黑体" w:cs="Times New Roman"/>
          <w:b/>
          <w:bCs/>
          <w:color w:val="000000"/>
          <w:sz w:val="24"/>
          <w:highlight w:val="none"/>
        </w:rPr>
        <w:t xml:space="preserve"> 土壤平行盲样质控结果分析</w:t>
      </w:r>
      <w:r>
        <w:rPr>
          <w:rFonts w:hint="default" w:ascii="Times New Roman" w:hAnsi="Times New Roman" w:eastAsia="黑体" w:cs="Times New Roman"/>
          <w:b/>
          <w:bCs/>
          <w:color w:val="000000"/>
          <w:sz w:val="24"/>
          <w:highlight w:val="none"/>
          <w:lang w:eastAsia="zh-CN"/>
        </w:rPr>
        <w:t>（</w:t>
      </w:r>
      <w:r>
        <w:rPr>
          <w:rFonts w:hint="default" w:ascii="Times New Roman" w:hAnsi="Times New Roman" w:eastAsia="黑体" w:cs="Times New Roman"/>
          <w:b/>
          <w:bCs/>
          <w:color w:val="000000"/>
          <w:sz w:val="24"/>
          <w:highlight w:val="none"/>
          <w:lang w:val="en-US" w:eastAsia="zh-CN"/>
        </w:rPr>
        <w:t>QC-2</w:t>
      </w:r>
      <w:r>
        <w:rPr>
          <w:rFonts w:hint="default" w:ascii="Times New Roman" w:hAnsi="Times New Roman" w:eastAsia="黑体" w:cs="Times New Roman"/>
          <w:b/>
          <w:bCs/>
          <w:color w:val="000000"/>
          <w:sz w:val="24"/>
          <w:highlight w:val="none"/>
          <w:lang w:eastAsia="zh-CN"/>
        </w:rPr>
        <w:t>）</w:t>
      </w:r>
    </w:p>
    <w:tbl>
      <w:tblPr>
        <w:tblStyle w:val="21"/>
        <w:tblW w:w="961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80"/>
        <w:gridCol w:w="1845"/>
        <w:gridCol w:w="975"/>
        <w:gridCol w:w="1735"/>
        <w:gridCol w:w="1817"/>
        <w:gridCol w:w="1080"/>
        <w:gridCol w:w="1080"/>
      </w:tblGrid>
      <w:tr w14:paraId="7A1A4C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27" w:hRule="atLeast"/>
          <w:jc w:val="center"/>
        </w:trPr>
        <w:tc>
          <w:tcPr>
            <w:tcW w:w="1080" w:type="dxa"/>
            <w:vMerge w:val="restart"/>
            <w:tcBorders>
              <w:bottom w:val="single" w:color="auto" w:sz="12" w:space="0"/>
            </w:tcBorders>
            <w:shd w:val="clear" w:color="auto" w:fill="auto"/>
            <w:noWrap/>
            <w:tcMar>
              <w:top w:w="15" w:type="dxa"/>
              <w:left w:w="15" w:type="dxa"/>
              <w:right w:w="15" w:type="dxa"/>
            </w:tcMar>
            <w:vAlign w:val="center"/>
          </w:tcPr>
          <w:p w14:paraId="6908F2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样品类型</w:t>
            </w:r>
          </w:p>
        </w:tc>
        <w:tc>
          <w:tcPr>
            <w:tcW w:w="1845" w:type="dxa"/>
            <w:vMerge w:val="restart"/>
            <w:tcBorders>
              <w:bottom w:val="single" w:color="auto" w:sz="12" w:space="0"/>
            </w:tcBorders>
            <w:shd w:val="clear" w:color="auto" w:fill="auto"/>
            <w:noWrap/>
            <w:tcMar>
              <w:top w:w="15" w:type="dxa"/>
              <w:left w:w="15" w:type="dxa"/>
              <w:right w:w="15" w:type="dxa"/>
            </w:tcMar>
            <w:vAlign w:val="center"/>
          </w:tcPr>
          <w:p w14:paraId="40DFEF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监测项目</w:t>
            </w:r>
          </w:p>
        </w:tc>
        <w:tc>
          <w:tcPr>
            <w:tcW w:w="2710" w:type="dxa"/>
            <w:gridSpan w:val="2"/>
            <w:tcBorders>
              <w:bottom w:val="single" w:color="auto" w:sz="4" w:space="0"/>
            </w:tcBorders>
            <w:shd w:val="clear" w:color="auto" w:fill="auto"/>
            <w:noWrap/>
            <w:tcMar>
              <w:top w:w="15" w:type="dxa"/>
              <w:left w:w="15" w:type="dxa"/>
              <w:right w:w="15" w:type="dxa"/>
            </w:tcMar>
            <w:vAlign w:val="center"/>
          </w:tcPr>
          <w:p w14:paraId="3536A8D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测试结果</w:t>
            </w:r>
          </w:p>
        </w:tc>
        <w:tc>
          <w:tcPr>
            <w:tcW w:w="1817" w:type="dxa"/>
            <w:vMerge w:val="restart"/>
            <w:tcBorders>
              <w:bottom w:val="single" w:color="auto" w:sz="12" w:space="0"/>
            </w:tcBorders>
            <w:shd w:val="clear" w:color="auto" w:fill="auto"/>
            <w:noWrap/>
            <w:tcMar>
              <w:top w:w="15" w:type="dxa"/>
              <w:left w:w="15" w:type="dxa"/>
              <w:right w:w="15" w:type="dxa"/>
            </w:tcMar>
            <w:vAlign w:val="center"/>
          </w:tcPr>
          <w:p w14:paraId="708D7B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相对偏差</w:t>
            </w:r>
          </w:p>
        </w:tc>
        <w:tc>
          <w:tcPr>
            <w:tcW w:w="1080" w:type="dxa"/>
            <w:vMerge w:val="restart"/>
            <w:tcBorders>
              <w:bottom w:val="single" w:color="auto" w:sz="12" w:space="0"/>
            </w:tcBorders>
            <w:shd w:val="clear" w:color="auto" w:fill="auto"/>
            <w:noWrap/>
            <w:tcMar>
              <w:top w:w="15" w:type="dxa"/>
              <w:left w:w="15" w:type="dxa"/>
              <w:right w:w="15" w:type="dxa"/>
            </w:tcMar>
            <w:vAlign w:val="center"/>
          </w:tcPr>
          <w:p w14:paraId="0FB343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质控要求</w:t>
            </w:r>
          </w:p>
        </w:tc>
        <w:tc>
          <w:tcPr>
            <w:tcW w:w="1080" w:type="dxa"/>
            <w:vMerge w:val="restart"/>
            <w:tcBorders>
              <w:bottom w:val="single" w:color="auto" w:sz="12" w:space="0"/>
            </w:tcBorders>
            <w:shd w:val="clear" w:color="auto" w:fill="auto"/>
            <w:noWrap/>
            <w:tcMar>
              <w:top w:w="15" w:type="dxa"/>
              <w:left w:w="15" w:type="dxa"/>
              <w:right w:w="15" w:type="dxa"/>
            </w:tcMar>
            <w:vAlign w:val="center"/>
          </w:tcPr>
          <w:p w14:paraId="7BEF0A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结果判定</w:t>
            </w:r>
          </w:p>
        </w:tc>
      </w:tr>
      <w:tr w14:paraId="657673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27" w:hRule="atLeast"/>
          <w:jc w:val="center"/>
        </w:trPr>
        <w:tc>
          <w:tcPr>
            <w:tcW w:w="1080" w:type="dxa"/>
            <w:vMerge w:val="continue"/>
            <w:tcBorders>
              <w:top w:val="single" w:color="auto" w:sz="12" w:space="0"/>
              <w:bottom w:val="single" w:color="auto" w:sz="12" w:space="0"/>
            </w:tcBorders>
            <w:shd w:val="clear" w:color="auto" w:fill="auto"/>
            <w:noWrap/>
            <w:tcMar>
              <w:top w:w="15" w:type="dxa"/>
              <w:left w:w="15" w:type="dxa"/>
              <w:right w:w="15" w:type="dxa"/>
            </w:tcMar>
            <w:vAlign w:val="center"/>
          </w:tcPr>
          <w:p w14:paraId="3183280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vMerge w:val="continue"/>
            <w:tcBorders>
              <w:top w:val="single" w:color="auto" w:sz="12" w:space="0"/>
              <w:bottom w:val="single" w:color="auto" w:sz="12" w:space="0"/>
            </w:tcBorders>
            <w:shd w:val="clear" w:color="auto" w:fill="auto"/>
            <w:noWrap/>
            <w:tcMar>
              <w:top w:w="15" w:type="dxa"/>
              <w:left w:w="15" w:type="dxa"/>
              <w:right w:w="15" w:type="dxa"/>
            </w:tcMar>
            <w:vAlign w:val="center"/>
          </w:tcPr>
          <w:p w14:paraId="174A0F7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975" w:type="dxa"/>
            <w:tcBorders>
              <w:top w:val="single" w:color="auto" w:sz="4" w:space="0"/>
              <w:bottom w:val="single" w:color="auto" w:sz="12" w:space="0"/>
            </w:tcBorders>
            <w:shd w:val="clear" w:color="auto" w:fill="auto"/>
            <w:noWrap/>
            <w:tcMar>
              <w:top w:w="15" w:type="dxa"/>
              <w:left w:w="15" w:type="dxa"/>
              <w:right w:w="15" w:type="dxa"/>
            </w:tcMar>
            <w:vAlign w:val="center"/>
          </w:tcPr>
          <w:p w14:paraId="185F99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QC-2</w:t>
            </w:r>
          </w:p>
        </w:tc>
        <w:tc>
          <w:tcPr>
            <w:tcW w:w="1735" w:type="dxa"/>
            <w:tcBorders>
              <w:top w:val="single" w:color="auto" w:sz="4" w:space="0"/>
              <w:bottom w:val="single" w:color="auto" w:sz="12" w:space="0"/>
            </w:tcBorders>
            <w:shd w:val="clear" w:color="auto" w:fill="auto"/>
            <w:noWrap/>
            <w:tcMar>
              <w:top w:w="15" w:type="dxa"/>
              <w:left w:w="15" w:type="dxa"/>
              <w:right w:w="15" w:type="dxa"/>
            </w:tcMar>
            <w:vAlign w:val="center"/>
          </w:tcPr>
          <w:p w14:paraId="77AD42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HR-JJ-1</w:t>
            </w:r>
          </w:p>
        </w:tc>
        <w:tc>
          <w:tcPr>
            <w:tcW w:w="1817" w:type="dxa"/>
            <w:vMerge w:val="continue"/>
            <w:tcBorders>
              <w:top w:val="single" w:color="auto" w:sz="12" w:space="0"/>
              <w:bottom w:val="single" w:color="auto" w:sz="12" w:space="0"/>
              <w:tl2br w:val="nil"/>
              <w:tr2bl w:val="nil"/>
            </w:tcBorders>
            <w:shd w:val="clear" w:color="auto" w:fill="auto"/>
            <w:noWrap/>
            <w:tcMar>
              <w:top w:w="15" w:type="dxa"/>
              <w:left w:w="15" w:type="dxa"/>
              <w:right w:w="15" w:type="dxa"/>
            </w:tcMar>
            <w:vAlign w:val="center"/>
          </w:tcPr>
          <w:p w14:paraId="2E0B0DE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080" w:type="dxa"/>
            <w:vMerge w:val="continue"/>
            <w:tcBorders>
              <w:top w:val="single" w:color="auto" w:sz="12" w:space="0"/>
              <w:bottom w:val="single" w:color="auto" w:sz="12" w:space="0"/>
              <w:tl2br w:val="nil"/>
              <w:tr2bl w:val="nil"/>
            </w:tcBorders>
            <w:shd w:val="clear" w:color="auto" w:fill="auto"/>
            <w:noWrap/>
            <w:tcMar>
              <w:top w:w="15" w:type="dxa"/>
              <w:left w:w="15" w:type="dxa"/>
              <w:right w:w="15" w:type="dxa"/>
            </w:tcMar>
            <w:vAlign w:val="center"/>
          </w:tcPr>
          <w:p w14:paraId="514ABD0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080" w:type="dxa"/>
            <w:vMerge w:val="continue"/>
            <w:tcBorders>
              <w:top w:val="single" w:color="auto" w:sz="12" w:space="0"/>
              <w:bottom w:val="single" w:color="auto" w:sz="12" w:space="0"/>
              <w:tl2br w:val="nil"/>
              <w:tr2bl w:val="nil"/>
            </w:tcBorders>
            <w:shd w:val="clear" w:color="auto" w:fill="auto"/>
            <w:noWrap/>
            <w:tcMar>
              <w:top w:w="15" w:type="dxa"/>
              <w:left w:w="15" w:type="dxa"/>
              <w:right w:w="15" w:type="dxa"/>
            </w:tcMar>
            <w:vAlign w:val="center"/>
          </w:tcPr>
          <w:p w14:paraId="3FC8B3B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02376D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080" w:type="dxa"/>
            <w:vMerge w:val="restart"/>
            <w:tcBorders>
              <w:top w:val="single" w:color="auto" w:sz="12" w:space="0"/>
              <w:tl2br w:val="nil"/>
              <w:tr2bl w:val="nil"/>
            </w:tcBorders>
            <w:shd w:val="clear" w:color="auto" w:fill="auto"/>
            <w:noWrap/>
            <w:tcMar>
              <w:top w:w="15" w:type="dxa"/>
              <w:left w:w="15" w:type="dxa"/>
              <w:right w:w="15" w:type="dxa"/>
            </w:tcMar>
            <w:vAlign w:val="center"/>
          </w:tcPr>
          <w:p w14:paraId="4613F6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土壤</w:t>
            </w:r>
          </w:p>
        </w:tc>
        <w:tc>
          <w:tcPr>
            <w:tcW w:w="1845" w:type="dxa"/>
            <w:tcBorders>
              <w:top w:val="single" w:color="auto" w:sz="12" w:space="0"/>
              <w:tl2br w:val="nil"/>
              <w:tr2bl w:val="nil"/>
            </w:tcBorders>
            <w:shd w:val="clear" w:color="auto" w:fill="auto"/>
            <w:noWrap/>
            <w:tcMar>
              <w:top w:w="15" w:type="dxa"/>
              <w:left w:w="15" w:type="dxa"/>
              <w:right w:w="15" w:type="dxa"/>
            </w:tcMar>
            <w:vAlign w:val="center"/>
          </w:tcPr>
          <w:p w14:paraId="5E2D37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水分(以干基计)</w:t>
            </w:r>
          </w:p>
        </w:tc>
        <w:tc>
          <w:tcPr>
            <w:tcW w:w="975" w:type="dxa"/>
            <w:tcBorders>
              <w:top w:val="single" w:color="auto" w:sz="12" w:space="0"/>
              <w:tl2br w:val="nil"/>
              <w:tr2bl w:val="nil"/>
            </w:tcBorders>
            <w:shd w:val="clear" w:color="auto" w:fill="auto"/>
            <w:noWrap/>
            <w:tcMar>
              <w:top w:w="15" w:type="dxa"/>
              <w:left w:w="15" w:type="dxa"/>
              <w:right w:w="15" w:type="dxa"/>
            </w:tcMar>
            <w:vAlign w:val="center"/>
          </w:tcPr>
          <w:p w14:paraId="2ED389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24.8</w:t>
            </w:r>
          </w:p>
        </w:tc>
        <w:tc>
          <w:tcPr>
            <w:tcW w:w="1735" w:type="dxa"/>
            <w:tcBorders>
              <w:top w:val="single" w:color="auto" w:sz="12" w:space="0"/>
              <w:tl2br w:val="nil"/>
              <w:tr2bl w:val="nil"/>
            </w:tcBorders>
            <w:shd w:val="clear" w:color="auto" w:fill="auto"/>
            <w:noWrap/>
            <w:tcMar>
              <w:top w:w="15" w:type="dxa"/>
              <w:left w:w="15" w:type="dxa"/>
              <w:right w:w="15" w:type="dxa"/>
            </w:tcMar>
            <w:vAlign w:val="center"/>
          </w:tcPr>
          <w:p w14:paraId="59B4E3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23.7</w:t>
            </w:r>
          </w:p>
        </w:tc>
        <w:tc>
          <w:tcPr>
            <w:tcW w:w="1817" w:type="dxa"/>
            <w:tcBorders>
              <w:top w:val="single" w:color="auto" w:sz="12" w:space="0"/>
            </w:tcBorders>
            <w:shd w:val="clear" w:color="auto" w:fill="auto"/>
            <w:noWrap/>
            <w:tcMar>
              <w:top w:w="15" w:type="dxa"/>
              <w:left w:w="15" w:type="dxa"/>
              <w:right w:w="15" w:type="dxa"/>
            </w:tcMar>
            <w:vAlign w:val="center"/>
          </w:tcPr>
          <w:p w14:paraId="669B22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2.27%</w:t>
            </w:r>
          </w:p>
        </w:tc>
        <w:tc>
          <w:tcPr>
            <w:tcW w:w="1080" w:type="dxa"/>
            <w:tcBorders>
              <w:top w:val="single" w:color="auto" w:sz="12" w:space="0"/>
            </w:tcBorders>
            <w:shd w:val="clear" w:color="auto" w:fill="auto"/>
            <w:noWrap/>
            <w:tcMar>
              <w:top w:w="15" w:type="dxa"/>
              <w:left w:w="15" w:type="dxa"/>
              <w:right w:w="15" w:type="dxa"/>
            </w:tcMar>
            <w:vAlign w:val="center"/>
          </w:tcPr>
          <w:p w14:paraId="6F2685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1080" w:type="dxa"/>
            <w:tcBorders>
              <w:top w:val="single" w:color="auto" w:sz="12" w:space="0"/>
            </w:tcBorders>
            <w:shd w:val="clear" w:color="auto" w:fill="auto"/>
            <w:noWrap/>
            <w:tcMar>
              <w:top w:w="15" w:type="dxa"/>
              <w:left w:w="15" w:type="dxa"/>
              <w:right w:w="15" w:type="dxa"/>
            </w:tcMar>
            <w:vAlign w:val="center"/>
          </w:tcPr>
          <w:p w14:paraId="64A329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062AAB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004B86F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1C98BA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总氟化物</w:t>
            </w:r>
          </w:p>
        </w:tc>
        <w:tc>
          <w:tcPr>
            <w:tcW w:w="975" w:type="dxa"/>
            <w:tcBorders>
              <w:tl2br w:val="nil"/>
              <w:tr2bl w:val="nil"/>
            </w:tcBorders>
            <w:shd w:val="clear" w:color="auto" w:fill="auto"/>
            <w:noWrap/>
            <w:tcMar>
              <w:top w:w="15" w:type="dxa"/>
              <w:left w:w="15" w:type="dxa"/>
              <w:right w:w="15" w:type="dxa"/>
            </w:tcMar>
            <w:vAlign w:val="center"/>
          </w:tcPr>
          <w:p w14:paraId="579FAA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524</w:t>
            </w:r>
          </w:p>
        </w:tc>
        <w:tc>
          <w:tcPr>
            <w:tcW w:w="1735" w:type="dxa"/>
            <w:tcBorders>
              <w:tl2br w:val="nil"/>
              <w:tr2bl w:val="nil"/>
            </w:tcBorders>
            <w:shd w:val="clear" w:color="auto" w:fill="auto"/>
            <w:noWrap/>
            <w:tcMar>
              <w:top w:w="15" w:type="dxa"/>
              <w:left w:w="15" w:type="dxa"/>
              <w:right w:w="15" w:type="dxa"/>
            </w:tcMar>
            <w:vAlign w:val="center"/>
          </w:tcPr>
          <w:p w14:paraId="0ECC9F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528</w:t>
            </w:r>
          </w:p>
        </w:tc>
        <w:tc>
          <w:tcPr>
            <w:tcW w:w="1817" w:type="dxa"/>
            <w:tcBorders>
              <w:tl2br w:val="nil"/>
              <w:tr2bl w:val="nil"/>
            </w:tcBorders>
            <w:shd w:val="clear" w:color="auto" w:fill="auto"/>
            <w:noWrap/>
            <w:tcMar>
              <w:top w:w="15" w:type="dxa"/>
              <w:left w:w="15" w:type="dxa"/>
              <w:right w:w="15" w:type="dxa"/>
            </w:tcMar>
            <w:vAlign w:val="center"/>
          </w:tcPr>
          <w:p w14:paraId="4B95E9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0.38%</w:t>
            </w:r>
          </w:p>
        </w:tc>
        <w:tc>
          <w:tcPr>
            <w:tcW w:w="1080" w:type="dxa"/>
            <w:tcBorders>
              <w:tl2br w:val="nil"/>
              <w:tr2bl w:val="nil"/>
            </w:tcBorders>
            <w:shd w:val="clear" w:color="auto" w:fill="auto"/>
            <w:noWrap/>
            <w:tcMar>
              <w:top w:w="15" w:type="dxa"/>
              <w:left w:w="15" w:type="dxa"/>
              <w:right w:w="15" w:type="dxa"/>
            </w:tcMar>
            <w:vAlign w:val="center"/>
          </w:tcPr>
          <w:p w14:paraId="5B0C10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5EA177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00B6AD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72863CF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573A7B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铅</w:t>
            </w:r>
          </w:p>
        </w:tc>
        <w:tc>
          <w:tcPr>
            <w:tcW w:w="975" w:type="dxa"/>
            <w:tcBorders>
              <w:tl2br w:val="nil"/>
              <w:tr2bl w:val="nil"/>
            </w:tcBorders>
            <w:shd w:val="clear" w:color="auto" w:fill="auto"/>
            <w:noWrap/>
            <w:tcMar>
              <w:top w:w="15" w:type="dxa"/>
              <w:left w:w="15" w:type="dxa"/>
              <w:right w:w="15" w:type="dxa"/>
            </w:tcMar>
            <w:vAlign w:val="center"/>
          </w:tcPr>
          <w:p w14:paraId="33C513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22.9</w:t>
            </w:r>
          </w:p>
        </w:tc>
        <w:tc>
          <w:tcPr>
            <w:tcW w:w="1735" w:type="dxa"/>
            <w:tcBorders>
              <w:tl2br w:val="nil"/>
              <w:tr2bl w:val="nil"/>
            </w:tcBorders>
            <w:shd w:val="clear" w:color="auto" w:fill="auto"/>
            <w:noWrap/>
            <w:tcMar>
              <w:top w:w="15" w:type="dxa"/>
              <w:left w:w="15" w:type="dxa"/>
              <w:right w:w="15" w:type="dxa"/>
            </w:tcMar>
            <w:vAlign w:val="center"/>
          </w:tcPr>
          <w:p w14:paraId="300511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25.5</w:t>
            </w:r>
          </w:p>
        </w:tc>
        <w:tc>
          <w:tcPr>
            <w:tcW w:w="1817" w:type="dxa"/>
            <w:tcBorders>
              <w:tl2br w:val="nil"/>
              <w:tr2bl w:val="nil"/>
            </w:tcBorders>
            <w:shd w:val="clear" w:color="auto" w:fill="auto"/>
            <w:noWrap/>
            <w:tcMar>
              <w:top w:w="15" w:type="dxa"/>
              <w:left w:w="15" w:type="dxa"/>
              <w:right w:w="15" w:type="dxa"/>
            </w:tcMar>
            <w:vAlign w:val="center"/>
          </w:tcPr>
          <w:p w14:paraId="7F3B68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5.37%</w:t>
            </w:r>
          </w:p>
        </w:tc>
        <w:tc>
          <w:tcPr>
            <w:tcW w:w="1080" w:type="dxa"/>
            <w:tcBorders>
              <w:tl2br w:val="nil"/>
              <w:tr2bl w:val="nil"/>
            </w:tcBorders>
            <w:shd w:val="clear" w:color="auto" w:fill="auto"/>
            <w:noWrap/>
            <w:tcMar>
              <w:top w:w="15" w:type="dxa"/>
              <w:left w:w="15" w:type="dxa"/>
              <w:right w:w="15" w:type="dxa"/>
            </w:tcMar>
            <w:vAlign w:val="center"/>
          </w:tcPr>
          <w:p w14:paraId="7151D2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w:t>
            </w:r>
          </w:p>
        </w:tc>
        <w:tc>
          <w:tcPr>
            <w:tcW w:w="1080" w:type="dxa"/>
            <w:tcBorders>
              <w:tl2br w:val="nil"/>
              <w:tr2bl w:val="nil"/>
            </w:tcBorders>
            <w:shd w:val="clear" w:color="auto" w:fill="auto"/>
            <w:noWrap/>
            <w:tcMar>
              <w:top w:w="15" w:type="dxa"/>
              <w:left w:w="15" w:type="dxa"/>
              <w:right w:w="15" w:type="dxa"/>
            </w:tcMar>
            <w:vAlign w:val="center"/>
          </w:tcPr>
          <w:p w14:paraId="5308CC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1B8B13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7F61D53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3B5A12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汞</w:t>
            </w:r>
          </w:p>
        </w:tc>
        <w:tc>
          <w:tcPr>
            <w:tcW w:w="975" w:type="dxa"/>
            <w:tcBorders>
              <w:tl2br w:val="nil"/>
              <w:tr2bl w:val="nil"/>
            </w:tcBorders>
            <w:shd w:val="clear" w:color="auto" w:fill="auto"/>
            <w:noWrap/>
            <w:tcMar>
              <w:top w:w="15" w:type="dxa"/>
              <w:left w:w="15" w:type="dxa"/>
              <w:right w:w="15" w:type="dxa"/>
            </w:tcMar>
            <w:vAlign w:val="center"/>
          </w:tcPr>
          <w:p w14:paraId="26F7C8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0.12</w:t>
            </w:r>
          </w:p>
        </w:tc>
        <w:tc>
          <w:tcPr>
            <w:tcW w:w="1735" w:type="dxa"/>
            <w:tcBorders>
              <w:tl2br w:val="nil"/>
              <w:tr2bl w:val="nil"/>
            </w:tcBorders>
            <w:shd w:val="clear" w:color="auto" w:fill="auto"/>
            <w:noWrap/>
            <w:tcMar>
              <w:top w:w="15" w:type="dxa"/>
              <w:left w:w="15" w:type="dxa"/>
              <w:right w:w="15" w:type="dxa"/>
            </w:tcMar>
            <w:vAlign w:val="center"/>
          </w:tcPr>
          <w:p w14:paraId="1B4F62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0.12</w:t>
            </w:r>
          </w:p>
        </w:tc>
        <w:tc>
          <w:tcPr>
            <w:tcW w:w="1817" w:type="dxa"/>
            <w:tcBorders>
              <w:tl2br w:val="nil"/>
              <w:tr2bl w:val="nil"/>
            </w:tcBorders>
            <w:shd w:val="clear" w:color="auto" w:fill="auto"/>
            <w:noWrap/>
            <w:tcMar>
              <w:top w:w="15" w:type="dxa"/>
              <w:left w:w="15" w:type="dxa"/>
              <w:right w:w="15" w:type="dxa"/>
            </w:tcMar>
            <w:vAlign w:val="center"/>
          </w:tcPr>
          <w:p w14:paraId="4ED469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w:t>
            </w:r>
          </w:p>
        </w:tc>
        <w:tc>
          <w:tcPr>
            <w:tcW w:w="1080" w:type="dxa"/>
            <w:tcBorders>
              <w:tl2br w:val="nil"/>
              <w:tr2bl w:val="nil"/>
            </w:tcBorders>
            <w:shd w:val="clear" w:color="auto" w:fill="auto"/>
            <w:noWrap/>
            <w:tcMar>
              <w:top w:w="15" w:type="dxa"/>
              <w:left w:w="15" w:type="dxa"/>
              <w:right w:w="15" w:type="dxa"/>
            </w:tcMar>
            <w:vAlign w:val="center"/>
          </w:tcPr>
          <w:p w14:paraId="39A8C0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≤35%</w:t>
            </w:r>
          </w:p>
        </w:tc>
        <w:tc>
          <w:tcPr>
            <w:tcW w:w="1080" w:type="dxa"/>
            <w:tcBorders>
              <w:tl2br w:val="nil"/>
              <w:tr2bl w:val="nil"/>
            </w:tcBorders>
            <w:shd w:val="clear" w:color="auto" w:fill="auto"/>
            <w:noWrap/>
            <w:tcMar>
              <w:top w:w="15" w:type="dxa"/>
              <w:left w:w="15" w:type="dxa"/>
              <w:right w:w="15" w:type="dxa"/>
            </w:tcMar>
            <w:vAlign w:val="center"/>
          </w:tcPr>
          <w:p w14:paraId="5EA899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46080D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50EE6B8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371711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钴</w:t>
            </w:r>
          </w:p>
        </w:tc>
        <w:tc>
          <w:tcPr>
            <w:tcW w:w="975" w:type="dxa"/>
            <w:tcBorders>
              <w:tl2br w:val="nil"/>
              <w:tr2bl w:val="nil"/>
            </w:tcBorders>
            <w:shd w:val="clear" w:color="auto" w:fill="auto"/>
            <w:noWrap/>
            <w:tcMar>
              <w:top w:w="15" w:type="dxa"/>
              <w:left w:w="15" w:type="dxa"/>
              <w:right w:w="15" w:type="dxa"/>
            </w:tcMar>
            <w:vAlign w:val="center"/>
          </w:tcPr>
          <w:p w14:paraId="139E6C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13.1</w:t>
            </w:r>
          </w:p>
        </w:tc>
        <w:tc>
          <w:tcPr>
            <w:tcW w:w="1735" w:type="dxa"/>
            <w:tcBorders>
              <w:tl2br w:val="nil"/>
              <w:tr2bl w:val="nil"/>
            </w:tcBorders>
            <w:shd w:val="clear" w:color="auto" w:fill="auto"/>
            <w:noWrap/>
            <w:tcMar>
              <w:top w:w="15" w:type="dxa"/>
              <w:left w:w="15" w:type="dxa"/>
              <w:right w:w="15" w:type="dxa"/>
            </w:tcMar>
            <w:vAlign w:val="center"/>
          </w:tcPr>
          <w:p w14:paraId="7374B7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13.2</w:t>
            </w:r>
          </w:p>
        </w:tc>
        <w:tc>
          <w:tcPr>
            <w:tcW w:w="1817" w:type="dxa"/>
            <w:tcBorders>
              <w:tl2br w:val="nil"/>
              <w:tr2bl w:val="nil"/>
            </w:tcBorders>
            <w:shd w:val="clear" w:color="auto" w:fill="auto"/>
            <w:noWrap/>
            <w:tcMar>
              <w:top w:w="15" w:type="dxa"/>
              <w:left w:w="15" w:type="dxa"/>
              <w:right w:w="15" w:type="dxa"/>
            </w:tcMar>
            <w:vAlign w:val="center"/>
          </w:tcPr>
          <w:p w14:paraId="09193E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0.38%</w:t>
            </w:r>
          </w:p>
        </w:tc>
        <w:tc>
          <w:tcPr>
            <w:tcW w:w="1080" w:type="dxa"/>
            <w:tcBorders>
              <w:tl2br w:val="nil"/>
              <w:tr2bl w:val="nil"/>
            </w:tcBorders>
            <w:shd w:val="clear" w:color="auto" w:fill="auto"/>
            <w:noWrap/>
            <w:tcMar>
              <w:top w:w="15" w:type="dxa"/>
              <w:left w:w="15" w:type="dxa"/>
              <w:right w:w="15" w:type="dxa"/>
            </w:tcMar>
            <w:vAlign w:val="center"/>
          </w:tcPr>
          <w:p w14:paraId="242359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w:t>
            </w:r>
          </w:p>
        </w:tc>
        <w:tc>
          <w:tcPr>
            <w:tcW w:w="1080" w:type="dxa"/>
            <w:tcBorders>
              <w:tl2br w:val="nil"/>
              <w:tr2bl w:val="nil"/>
            </w:tcBorders>
            <w:shd w:val="clear" w:color="auto" w:fill="auto"/>
            <w:noWrap/>
            <w:tcMar>
              <w:top w:w="15" w:type="dxa"/>
              <w:left w:w="15" w:type="dxa"/>
              <w:right w:w="15" w:type="dxa"/>
            </w:tcMar>
            <w:vAlign w:val="center"/>
          </w:tcPr>
          <w:p w14:paraId="51FB9E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77D26C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3564F28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78002F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镉</w:t>
            </w:r>
          </w:p>
        </w:tc>
        <w:tc>
          <w:tcPr>
            <w:tcW w:w="975" w:type="dxa"/>
            <w:tcBorders>
              <w:tl2br w:val="nil"/>
              <w:tr2bl w:val="nil"/>
            </w:tcBorders>
            <w:shd w:val="clear" w:color="auto" w:fill="auto"/>
            <w:noWrap/>
            <w:tcMar>
              <w:top w:w="15" w:type="dxa"/>
              <w:left w:w="15" w:type="dxa"/>
              <w:right w:w="15" w:type="dxa"/>
            </w:tcMar>
            <w:vAlign w:val="center"/>
          </w:tcPr>
          <w:p w14:paraId="744585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0.07</w:t>
            </w:r>
          </w:p>
        </w:tc>
        <w:tc>
          <w:tcPr>
            <w:tcW w:w="1735" w:type="dxa"/>
            <w:tcBorders>
              <w:tl2br w:val="nil"/>
              <w:tr2bl w:val="nil"/>
            </w:tcBorders>
            <w:shd w:val="clear" w:color="auto" w:fill="auto"/>
            <w:noWrap/>
            <w:tcMar>
              <w:top w:w="15" w:type="dxa"/>
              <w:left w:w="15" w:type="dxa"/>
              <w:right w:w="15" w:type="dxa"/>
            </w:tcMar>
            <w:vAlign w:val="center"/>
          </w:tcPr>
          <w:p w14:paraId="3B27BF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0.09</w:t>
            </w:r>
          </w:p>
        </w:tc>
        <w:tc>
          <w:tcPr>
            <w:tcW w:w="1817" w:type="dxa"/>
            <w:tcBorders>
              <w:tl2br w:val="nil"/>
              <w:tr2bl w:val="nil"/>
            </w:tcBorders>
            <w:shd w:val="clear" w:color="auto" w:fill="auto"/>
            <w:noWrap/>
            <w:tcMar>
              <w:top w:w="15" w:type="dxa"/>
              <w:left w:w="15" w:type="dxa"/>
              <w:right w:w="15" w:type="dxa"/>
            </w:tcMar>
            <w:vAlign w:val="center"/>
          </w:tcPr>
          <w:p w14:paraId="752E4E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12.50%</w:t>
            </w:r>
          </w:p>
        </w:tc>
        <w:tc>
          <w:tcPr>
            <w:tcW w:w="1080" w:type="dxa"/>
            <w:tcBorders>
              <w:tl2br w:val="nil"/>
              <w:tr2bl w:val="nil"/>
            </w:tcBorders>
            <w:shd w:val="clear" w:color="auto" w:fill="auto"/>
            <w:noWrap/>
            <w:tcMar>
              <w:top w:w="15" w:type="dxa"/>
              <w:left w:w="15" w:type="dxa"/>
              <w:right w:w="15" w:type="dxa"/>
            </w:tcMar>
            <w:vAlign w:val="center"/>
          </w:tcPr>
          <w:p w14:paraId="2A1D14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≤35%</w:t>
            </w:r>
          </w:p>
        </w:tc>
        <w:tc>
          <w:tcPr>
            <w:tcW w:w="1080" w:type="dxa"/>
            <w:tcBorders>
              <w:tl2br w:val="nil"/>
              <w:tr2bl w:val="nil"/>
            </w:tcBorders>
            <w:shd w:val="clear" w:color="auto" w:fill="auto"/>
            <w:noWrap/>
            <w:tcMar>
              <w:top w:w="15" w:type="dxa"/>
              <w:left w:w="15" w:type="dxa"/>
              <w:right w:w="15" w:type="dxa"/>
            </w:tcMar>
            <w:vAlign w:val="center"/>
          </w:tcPr>
          <w:p w14:paraId="587591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1C0A63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7D8C7C7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6D8038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铜</w:t>
            </w:r>
          </w:p>
        </w:tc>
        <w:tc>
          <w:tcPr>
            <w:tcW w:w="975" w:type="dxa"/>
            <w:tcBorders>
              <w:tl2br w:val="nil"/>
              <w:tr2bl w:val="nil"/>
            </w:tcBorders>
            <w:shd w:val="clear" w:color="auto" w:fill="auto"/>
            <w:noWrap/>
            <w:tcMar>
              <w:top w:w="15" w:type="dxa"/>
              <w:left w:w="15" w:type="dxa"/>
              <w:right w:w="15" w:type="dxa"/>
            </w:tcMar>
            <w:vAlign w:val="center"/>
          </w:tcPr>
          <w:p w14:paraId="498BCD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25</w:t>
            </w:r>
          </w:p>
        </w:tc>
        <w:tc>
          <w:tcPr>
            <w:tcW w:w="1735" w:type="dxa"/>
            <w:tcBorders>
              <w:tl2br w:val="nil"/>
              <w:tr2bl w:val="nil"/>
            </w:tcBorders>
            <w:shd w:val="clear" w:color="auto" w:fill="auto"/>
            <w:noWrap/>
            <w:tcMar>
              <w:top w:w="15" w:type="dxa"/>
              <w:left w:w="15" w:type="dxa"/>
              <w:right w:w="15" w:type="dxa"/>
            </w:tcMar>
            <w:vAlign w:val="center"/>
          </w:tcPr>
          <w:p w14:paraId="355C37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25</w:t>
            </w:r>
          </w:p>
        </w:tc>
        <w:tc>
          <w:tcPr>
            <w:tcW w:w="1817" w:type="dxa"/>
            <w:tcBorders>
              <w:tl2br w:val="nil"/>
              <w:tr2bl w:val="nil"/>
            </w:tcBorders>
            <w:shd w:val="clear" w:color="auto" w:fill="auto"/>
            <w:noWrap/>
            <w:tcMar>
              <w:top w:w="15" w:type="dxa"/>
              <w:left w:w="15" w:type="dxa"/>
              <w:right w:w="15" w:type="dxa"/>
            </w:tcMar>
            <w:vAlign w:val="center"/>
          </w:tcPr>
          <w:p w14:paraId="1D5EB5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w:t>
            </w:r>
          </w:p>
        </w:tc>
        <w:tc>
          <w:tcPr>
            <w:tcW w:w="1080" w:type="dxa"/>
            <w:tcBorders>
              <w:tl2br w:val="nil"/>
              <w:tr2bl w:val="nil"/>
            </w:tcBorders>
            <w:shd w:val="clear" w:color="auto" w:fill="auto"/>
            <w:noWrap/>
            <w:tcMar>
              <w:top w:w="15" w:type="dxa"/>
              <w:left w:w="15" w:type="dxa"/>
              <w:right w:w="15" w:type="dxa"/>
            </w:tcMar>
            <w:vAlign w:val="center"/>
          </w:tcPr>
          <w:p w14:paraId="190CED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27D736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0D9A5A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46B9B49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7DA4A1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镍</w:t>
            </w:r>
          </w:p>
        </w:tc>
        <w:tc>
          <w:tcPr>
            <w:tcW w:w="975" w:type="dxa"/>
            <w:tcBorders>
              <w:tl2br w:val="nil"/>
              <w:tr2bl w:val="nil"/>
            </w:tcBorders>
            <w:shd w:val="clear" w:color="auto" w:fill="auto"/>
            <w:noWrap/>
            <w:tcMar>
              <w:top w:w="15" w:type="dxa"/>
              <w:left w:w="15" w:type="dxa"/>
              <w:right w:w="15" w:type="dxa"/>
            </w:tcMar>
            <w:vAlign w:val="center"/>
          </w:tcPr>
          <w:p w14:paraId="54221C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34</w:t>
            </w:r>
          </w:p>
        </w:tc>
        <w:tc>
          <w:tcPr>
            <w:tcW w:w="1735" w:type="dxa"/>
            <w:tcBorders>
              <w:tl2br w:val="nil"/>
              <w:tr2bl w:val="nil"/>
            </w:tcBorders>
            <w:shd w:val="clear" w:color="auto" w:fill="auto"/>
            <w:noWrap/>
            <w:tcMar>
              <w:top w:w="15" w:type="dxa"/>
              <w:left w:w="15" w:type="dxa"/>
              <w:right w:w="15" w:type="dxa"/>
            </w:tcMar>
            <w:vAlign w:val="center"/>
          </w:tcPr>
          <w:p w14:paraId="4F2273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42</w:t>
            </w:r>
          </w:p>
        </w:tc>
        <w:tc>
          <w:tcPr>
            <w:tcW w:w="1817" w:type="dxa"/>
            <w:tcBorders>
              <w:tl2br w:val="nil"/>
              <w:tr2bl w:val="nil"/>
            </w:tcBorders>
            <w:shd w:val="clear" w:color="auto" w:fill="auto"/>
            <w:noWrap/>
            <w:tcMar>
              <w:top w:w="15" w:type="dxa"/>
              <w:left w:w="15" w:type="dxa"/>
              <w:right w:w="15" w:type="dxa"/>
            </w:tcMar>
            <w:vAlign w:val="center"/>
          </w:tcPr>
          <w:p w14:paraId="54E810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10.53%</w:t>
            </w:r>
          </w:p>
        </w:tc>
        <w:tc>
          <w:tcPr>
            <w:tcW w:w="1080" w:type="dxa"/>
            <w:tcBorders>
              <w:tl2br w:val="nil"/>
              <w:tr2bl w:val="nil"/>
            </w:tcBorders>
            <w:shd w:val="clear" w:color="auto" w:fill="auto"/>
            <w:noWrap/>
            <w:tcMar>
              <w:top w:w="15" w:type="dxa"/>
              <w:left w:w="15" w:type="dxa"/>
              <w:right w:w="15" w:type="dxa"/>
            </w:tcMar>
            <w:vAlign w:val="center"/>
          </w:tcPr>
          <w:p w14:paraId="41DE739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2FAFC3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764C8B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3456F1E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074AC4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铬</w:t>
            </w:r>
          </w:p>
        </w:tc>
        <w:tc>
          <w:tcPr>
            <w:tcW w:w="975" w:type="dxa"/>
            <w:tcBorders>
              <w:tl2br w:val="nil"/>
              <w:tr2bl w:val="nil"/>
            </w:tcBorders>
            <w:shd w:val="clear" w:color="auto" w:fill="auto"/>
            <w:noWrap/>
            <w:tcMar>
              <w:top w:w="15" w:type="dxa"/>
              <w:left w:w="15" w:type="dxa"/>
              <w:right w:w="15" w:type="dxa"/>
            </w:tcMar>
            <w:vAlign w:val="center"/>
          </w:tcPr>
          <w:p w14:paraId="34076E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56</w:t>
            </w:r>
          </w:p>
        </w:tc>
        <w:tc>
          <w:tcPr>
            <w:tcW w:w="1735" w:type="dxa"/>
            <w:tcBorders>
              <w:tl2br w:val="nil"/>
              <w:tr2bl w:val="nil"/>
            </w:tcBorders>
            <w:shd w:val="clear" w:color="auto" w:fill="auto"/>
            <w:noWrap/>
            <w:tcMar>
              <w:top w:w="15" w:type="dxa"/>
              <w:left w:w="15" w:type="dxa"/>
              <w:right w:w="15" w:type="dxa"/>
            </w:tcMar>
            <w:vAlign w:val="center"/>
          </w:tcPr>
          <w:p w14:paraId="66F0F1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79</w:t>
            </w:r>
          </w:p>
        </w:tc>
        <w:tc>
          <w:tcPr>
            <w:tcW w:w="1817" w:type="dxa"/>
            <w:tcBorders>
              <w:tl2br w:val="nil"/>
              <w:tr2bl w:val="nil"/>
            </w:tcBorders>
            <w:shd w:val="clear" w:color="auto" w:fill="auto"/>
            <w:noWrap/>
            <w:tcMar>
              <w:top w:w="15" w:type="dxa"/>
              <w:left w:w="15" w:type="dxa"/>
              <w:right w:w="15" w:type="dxa"/>
            </w:tcMar>
            <w:vAlign w:val="center"/>
          </w:tcPr>
          <w:p w14:paraId="083EC0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17.04%</w:t>
            </w:r>
          </w:p>
        </w:tc>
        <w:tc>
          <w:tcPr>
            <w:tcW w:w="1080" w:type="dxa"/>
            <w:tcBorders>
              <w:tl2br w:val="nil"/>
              <w:tr2bl w:val="nil"/>
            </w:tcBorders>
            <w:shd w:val="clear" w:color="auto" w:fill="auto"/>
            <w:noWrap/>
            <w:tcMar>
              <w:top w:w="15" w:type="dxa"/>
              <w:left w:w="15" w:type="dxa"/>
              <w:right w:w="15" w:type="dxa"/>
            </w:tcMar>
            <w:vAlign w:val="center"/>
          </w:tcPr>
          <w:p w14:paraId="07301D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0D266D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4FDCDC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50F1F50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7E20A6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锌</w:t>
            </w:r>
          </w:p>
        </w:tc>
        <w:tc>
          <w:tcPr>
            <w:tcW w:w="975" w:type="dxa"/>
            <w:tcBorders>
              <w:tl2br w:val="nil"/>
              <w:tr2bl w:val="nil"/>
            </w:tcBorders>
            <w:shd w:val="clear" w:color="auto" w:fill="auto"/>
            <w:noWrap/>
            <w:tcMar>
              <w:top w:w="15" w:type="dxa"/>
              <w:left w:w="15" w:type="dxa"/>
              <w:right w:w="15" w:type="dxa"/>
            </w:tcMar>
            <w:vAlign w:val="center"/>
          </w:tcPr>
          <w:p w14:paraId="2491E0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62</w:t>
            </w:r>
          </w:p>
        </w:tc>
        <w:tc>
          <w:tcPr>
            <w:tcW w:w="1735" w:type="dxa"/>
            <w:tcBorders>
              <w:tl2br w:val="nil"/>
              <w:tr2bl w:val="nil"/>
            </w:tcBorders>
            <w:shd w:val="clear" w:color="auto" w:fill="auto"/>
            <w:noWrap/>
            <w:tcMar>
              <w:top w:w="15" w:type="dxa"/>
              <w:left w:w="15" w:type="dxa"/>
              <w:right w:w="15" w:type="dxa"/>
            </w:tcMar>
            <w:vAlign w:val="center"/>
          </w:tcPr>
          <w:p w14:paraId="7F1583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65</w:t>
            </w:r>
          </w:p>
        </w:tc>
        <w:tc>
          <w:tcPr>
            <w:tcW w:w="1817" w:type="dxa"/>
            <w:tcBorders>
              <w:tl2br w:val="nil"/>
              <w:tr2bl w:val="nil"/>
            </w:tcBorders>
            <w:shd w:val="clear" w:color="auto" w:fill="auto"/>
            <w:noWrap/>
            <w:tcMar>
              <w:top w:w="15" w:type="dxa"/>
              <w:left w:w="15" w:type="dxa"/>
              <w:right w:w="15" w:type="dxa"/>
            </w:tcMar>
            <w:vAlign w:val="center"/>
          </w:tcPr>
          <w:p w14:paraId="237A86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2.36%</w:t>
            </w:r>
          </w:p>
        </w:tc>
        <w:tc>
          <w:tcPr>
            <w:tcW w:w="1080" w:type="dxa"/>
            <w:tcBorders>
              <w:tl2br w:val="nil"/>
              <w:tr2bl w:val="nil"/>
            </w:tcBorders>
            <w:shd w:val="clear" w:color="auto" w:fill="auto"/>
            <w:noWrap/>
            <w:tcMar>
              <w:top w:w="15" w:type="dxa"/>
              <w:left w:w="15" w:type="dxa"/>
              <w:right w:w="15" w:type="dxa"/>
            </w:tcMar>
            <w:vAlign w:val="center"/>
          </w:tcPr>
          <w:p w14:paraId="28AAA1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1BAA0B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2E8619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27"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1E4105E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116CDD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砷</w:t>
            </w:r>
          </w:p>
        </w:tc>
        <w:tc>
          <w:tcPr>
            <w:tcW w:w="975" w:type="dxa"/>
            <w:tcBorders>
              <w:tl2br w:val="nil"/>
              <w:tr2bl w:val="nil"/>
            </w:tcBorders>
            <w:shd w:val="clear" w:color="auto" w:fill="auto"/>
            <w:noWrap/>
            <w:tcMar>
              <w:top w:w="15" w:type="dxa"/>
              <w:left w:w="15" w:type="dxa"/>
              <w:right w:w="15" w:type="dxa"/>
            </w:tcMar>
            <w:vAlign w:val="center"/>
          </w:tcPr>
          <w:p w14:paraId="466982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10.4</w:t>
            </w:r>
          </w:p>
        </w:tc>
        <w:tc>
          <w:tcPr>
            <w:tcW w:w="1735" w:type="dxa"/>
            <w:tcBorders>
              <w:tl2br w:val="nil"/>
              <w:tr2bl w:val="nil"/>
            </w:tcBorders>
            <w:shd w:val="clear" w:color="auto" w:fill="auto"/>
            <w:noWrap/>
            <w:tcMar>
              <w:top w:w="15" w:type="dxa"/>
              <w:left w:w="15" w:type="dxa"/>
              <w:right w:w="15" w:type="dxa"/>
            </w:tcMar>
            <w:vAlign w:val="center"/>
          </w:tcPr>
          <w:p w14:paraId="00E62B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10.4</w:t>
            </w:r>
          </w:p>
        </w:tc>
        <w:tc>
          <w:tcPr>
            <w:tcW w:w="1817" w:type="dxa"/>
            <w:tcBorders>
              <w:tl2br w:val="nil"/>
              <w:tr2bl w:val="nil"/>
            </w:tcBorders>
            <w:shd w:val="clear" w:color="auto" w:fill="auto"/>
            <w:noWrap/>
            <w:tcMar>
              <w:top w:w="15" w:type="dxa"/>
              <w:left w:w="15" w:type="dxa"/>
              <w:right w:w="15" w:type="dxa"/>
            </w:tcMar>
            <w:vAlign w:val="center"/>
          </w:tcPr>
          <w:p w14:paraId="35978B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w:t>
            </w:r>
          </w:p>
        </w:tc>
        <w:tc>
          <w:tcPr>
            <w:tcW w:w="1080" w:type="dxa"/>
            <w:tcBorders>
              <w:tl2br w:val="nil"/>
              <w:tr2bl w:val="nil"/>
            </w:tcBorders>
            <w:shd w:val="clear" w:color="auto" w:fill="auto"/>
            <w:noWrap/>
            <w:tcMar>
              <w:top w:w="15" w:type="dxa"/>
              <w:left w:w="15" w:type="dxa"/>
              <w:right w:w="15" w:type="dxa"/>
            </w:tcMar>
            <w:vAlign w:val="center"/>
          </w:tcPr>
          <w:p w14:paraId="4E2B64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w:t>
            </w:r>
          </w:p>
        </w:tc>
        <w:tc>
          <w:tcPr>
            <w:tcW w:w="1080" w:type="dxa"/>
            <w:tcBorders>
              <w:tl2br w:val="nil"/>
              <w:tr2bl w:val="nil"/>
            </w:tcBorders>
            <w:shd w:val="clear" w:color="auto" w:fill="auto"/>
            <w:noWrap/>
            <w:tcMar>
              <w:top w:w="15" w:type="dxa"/>
              <w:left w:w="15" w:type="dxa"/>
              <w:right w:w="15" w:type="dxa"/>
            </w:tcMar>
            <w:vAlign w:val="center"/>
          </w:tcPr>
          <w:p w14:paraId="005B67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bl>
    <w:p w14:paraId="71AF95D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bCs/>
          <w:color w:val="000000"/>
          <w:sz w:val="24"/>
          <w:highlight w:val="none"/>
        </w:rPr>
      </w:pPr>
      <w:r>
        <w:rPr>
          <w:rFonts w:hint="default" w:ascii="Times New Roman" w:hAnsi="Times New Roman" w:eastAsia="黑体" w:cs="Times New Roman"/>
          <w:b/>
          <w:bCs/>
          <w:color w:val="000000"/>
          <w:sz w:val="24"/>
          <w:highlight w:val="none"/>
        </w:rPr>
        <w:t>表</w:t>
      </w:r>
      <w:r>
        <w:rPr>
          <w:rFonts w:hint="default" w:ascii="Times New Roman" w:hAnsi="Times New Roman" w:eastAsia="黑体" w:cs="Times New Roman"/>
          <w:b/>
          <w:bCs/>
          <w:color w:val="000000"/>
          <w:sz w:val="24"/>
          <w:highlight w:val="none"/>
          <w:lang w:eastAsia="zh-CN"/>
        </w:rPr>
        <w:t>4-5</w:t>
      </w:r>
      <w:r>
        <w:rPr>
          <w:rFonts w:hint="default" w:ascii="Times New Roman" w:hAnsi="Times New Roman" w:eastAsia="黑体" w:cs="Times New Roman"/>
          <w:b/>
          <w:bCs/>
          <w:color w:val="000000"/>
          <w:sz w:val="24"/>
          <w:highlight w:val="none"/>
        </w:rPr>
        <w:t>-</w:t>
      </w:r>
      <w:r>
        <w:rPr>
          <w:rFonts w:hint="default" w:ascii="Times New Roman" w:hAnsi="Times New Roman" w:eastAsia="黑体" w:cs="Times New Roman"/>
          <w:b/>
          <w:bCs/>
          <w:color w:val="000000"/>
          <w:sz w:val="24"/>
          <w:highlight w:val="none"/>
          <w:lang w:val="en-US" w:eastAsia="zh-CN"/>
        </w:rPr>
        <w:t>3</w:t>
      </w:r>
      <w:r>
        <w:rPr>
          <w:rFonts w:hint="default" w:ascii="Times New Roman" w:hAnsi="Times New Roman" w:eastAsia="黑体" w:cs="Times New Roman"/>
          <w:b/>
          <w:bCs/>
          <w:color w:val="000000"/>
          <w:sz w:val="24"/>
          <w:highlight w:val="none"/>
        </w:rPr>
        <w:t xml:space="preserve"> 土壤平行盲样质控结果分析</w:t>
      </w:r>
      <w:r>
        <w:rPr>
          <w:rFonts w:hint="default" w:ascii="Times New Roman" w:hAnsi="Times New Roman" w:eastAsia="黑体" w:cs="Times New Roman"/>
          <w:b/>
          <w:bCs/>
          <w:color w:val="000000"/>
          <w:sz w:val="24"/>
          <w:highlight w:val="none"/>
          <w:lang w:eastAsia="zh-CN"/>
        </w:rPr>
        <w:t>（</w:t>
      </w:r>
      <w:r>
        <w:rPr>
          <w:rFonts w:hint="default" w:ascii="Times New Roman" w:hAnsi="Times New Roman" w:eastAsia="黑体" w:cs="Times New Roman"/>
          <w:b/>
          <w:bCs/>
          <w:color w:val="000000"/>
          <w:sz w:val="24"/>
          <w:highlight w:val="none"/>
          <w:lang w:val="en-US" w:eastAsia="zh-CN"/>
        </w:rPr>
        <w:t>QC-9</w:t>
      </w:r>
      <w:r>
        <w:rPr>
          <w:rFonts w:hint="default" w:ascii="Times New Roman" w:hAnsi="Times New Roman" w:eastAsia="黑体" w:cs="Times New Roman"/>
          <w:b/>
          <w:bCs/>
          <w:color w:val="000000"/>
          <w:sz w:val="24"/>
          <w:highlight w:val="none"/>
          <w:lang w:eastAsia="zh-CN"/>
        </w:rPr>
        <w:t>）</w:t>
      </w:r>
    </w:p>
    <w:tbl>
      <w:tblPr>
        <w:tblStyle w:val="21"/>
        <w:tblW w:w="961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80"/>
        <w:gridCol w:w="1845"/>
        <w:gridCol w:w="975"/>
        <w:gridCol w:w="1735"/>
        <w:gridCol w:w="1817"/>
        <w:gridCol w:w="1080"/>
        <w:gridCol w:w="1080"/>
      </w:tblGrid>
      <w:tr w14:paraId="4C13BF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jc w:val="center"/>
        </w:trPr>
        <w:tc>
          <w:tcPr>
            <w:tcW w:w="1080" w:type="dxa"/>
            <w:vMerge w:val="restart"/>
            <w:tcBorders>
              <w:bottom w:val="single" w:color="auto" w:sz="12" w:space="0"/>
            </w:tcBorders>
            <w:shd w:val="clear" w:color="auto" w:fill="auto"/>
            <w:noWrap/>
            <w:tcMar>
              <w:top w:w="15" w:type="dxa"/>
              <w:left w:w="15" w:type="dxa"/>
              <w:right w:w="15" w:type="dxa"/>
            </w:tcMar>
            <w:vAlign w:val="center"/>
          </w:tcPr>
          <w:p w14:paraId="3C1E8A0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样品类型</w:t>
            </w:r>
          </w:p>
        </w:tc>
        <w:tc>
          <w:tcPr>
            <w:tcW w:w="1845" w:type="dxa"/>
            <w:vMerge w:val="restart"/>
            <w:tcBorders>
              <w:bottom w:val="single" w:color="auto" w:sz="12" w:space="0"/>
            </w:tcBorders>
            <w:shd w:val="clear" w:color="auto" w:fill="auto"/>
            <w:noWrap/>
            <w:tcMar>
              <w:top w:w="15" w:type="dxa"/>
              <w:left w:w="15" w:type="dxa"/>
              <w:right w:w="15" w:type="dxa"/>
            </w:tcMar>
            <w:vAlign w:val="center"/>
          </w:tcPr>
          <w:p w14:paraId="614CD2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监测项目</w:t>
            </w:r>
          </w:p>
        </w:tc>
        <w:tc>
          <w:tcPr>
            <w:tcW w:w="2710" w:type="dxa"/>
            <w:gridSpan w:val="2"/>
            <w:tcBorders>
              <w:bottom w:val="single" w:color="auto" w:sz="4" w:space="0"/>
            </w:tcBorders>
            <w:shd w:val="clear" w:color="auto" w:fill="auto"/>
            <w:noWrap/>
            <w:tcMar>
              <w:top w:w="15" w:type="dxa"/>
              <w:left w:w="15" w:type="dxa"/>
              <w:right w:w="15" w:type="dxa"/>
            </w:tcMar>
            <w:vAlign w:val="center"/>
          </w:tcPr>
          <w:p w14:paraId="4B8E06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测试结果</w:t>
            </w:r>
          </w:p>
        </w:tc>
        <w:tc>
          <w:tcPr>
            <w:tcW w:w="1817" w:type="dxa"/>
            <w:vMerge w:val="restart"/>
            <w:tcBorders>
              <w:bottom w:val="single" w:color="auto" w:sz="12" w:space="0"/>
            </w:tcBorders>
            <w:shd w:val="clear" w:color="auto" w:fill="auto"/>
            <w:noWrap/>
            <w:tcMar>
              <w:top w:w="15" w:type="dxa"/>
              <w:left w:w="15" w:type="dxa"/>
              <w:right w:w="15" w:type="dxa"/>
            </w:tcMar>
            <w:vAlign w:val="center"/>
          </w:tcPr>
          <w:p w14:paraId="7DDFAD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相对偏差</w:t>
            </w:r>
          </w:p>
        </w:tc>
        <w:tc>
          <w:tcPr>
            <w:tcW w:w="1080" w:type="dxa"/>
            <w:vMerge w:val="restart"/>
            <w:tcBorders>
              <w:bottom w:val="single" w:color="auto" w:sz="12" w:space="0"/>
            </w:tcBorders>
            <w:shd w:val="clear" w:color="auto" w:fill="auto"/>
            <w:noWrap/>
            <w:tcMar>
              <w:top w:w="15" w:type="dxa"/>
              <w:left w:w="15" w:type="dxa"/>
              <w:right w:w="15" w:type="dxa"/>
            </w:tcMar>
            <w:vAlign w:val="center"/>
          </w:tcPr>
          <w:p w14:paraId="5622F7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质控要求</w:t>
            </w:r>
          </w:p>
        </w:tc>
        <w:tc>
          <w:tcPr>
            <w:tcW w:w="1080" w:type="dxa"/>
            <w:vMerge w:val="restart"/>
            <w:tcBorders>
              <w:bottom w:val="single" w:color="auto" w:sz="12" w:space="0"/>
            </w:tcBorders>
            <w:shd w:val="clear" w:color="auto" w:fill="auto"/>
            <w:noWrap/>
            <w:tcMar>
              <w:top w:w="15" w:type="dxa"/>
              <w:left w:w="15" w:type="dxa"/>
              <w:right w:w="15" w:type="dxa"/>
            </w:tcMar>
            <w:vAlign w:val="center"/>
          </w:tcPr>
          <w:p w14:paraId="702C18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sz w:val="21"/>
                <w:szCs w:val="21"/>
                <w:highlight w:val="none"/>
                <w:u w:val="none"/>
              </w:rPr>
            </w:pPr>
            <w:r>
              <w:rPr>
                <w:rFonts w:hint="default" w:ascii="Times New Roman" w:hAnsi="Times New Roman" w:eastAsia="宋体" w:cs="Times New Roman"/>
                <w:b/>
                <w:bCs/>
                <w:i w:val="0"/>
                <w:color w:val="auto"/>
                <w:kern w:val="0"/>
                <w:sz w:val="21"/>
                <w:szCs w:val="21"/>
                <w:highlight w:val="none"/>
                <w:u w:val="none"/>
                <w:lang w:val="en-US" w:eastAsia="zh-CN" w:bidi="ar"/>
              </w:rPr>
              <w:t>结果判定</w:t>
            </w:r>
          </w:p>
        </w:tc>
      </w:tr>
      <w:tr w14:paraId="3C3DF5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jc w:val="center"/>
        </w:trPr>
        <w:tc>
          <w:tcPr>
            <w:tcW w:w="1080" w:type="dxa"/>
            <w:vMerge w:val="continue"/>
            <w:tcBorders>
              <w:top w:val="single" w:color="auto" w:sz="12" w:space="0"/>
              <w:bottom w:val="single" w:color="auto" w:sz="12" w:space="0"/>
            </w:tcBorders>
            <w:shd w:val="clear" w:color="auto" w:fill="auto"/>
            <w:noWrap/>
            <w:tcMar>
              <w:top w:w="15" w:type="dxa"/>
              <w:left w:w="15" w:type="dxa"/>
              <w:right w:w="15" w:type="dxa"/>
            </w:tcMar>
            <w:vAlign w:val="center"/>
          </w:tcPr>
          <w:p w14:paraId="16AB1CD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vMerge w:val="continue"/>
            <w:tcBorders>
              <w:top w:val="single" w:color="auto" w:sz="12" w:space="0"/>
              <w:bottom w:val="single" w:color="auto" w:sz="12" w:space="0"/>
            </w:tcBorders>
            <w:shd w:val="clear" w:color="auto" w:fill="auto"/>
            <w:noWrap/>
            <w:tcMar>
              <w:top w:w="15" w:type="dxa"/>
              <w:left w:w="15" w:type="dxa"/>
              <w:right w:w="15" w:type="dxa"/>
            </w:tcMar>
            <w:vAlign w:val="center"/>
          </w:tcPr>
          <w:p w14:paraId="1C1A8AF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975" w:type="dxa"/>
            <w:tcBorders>
              <w:top w:val="single" w:color="auto" w:sz="4" w:space="0"/>
              <w:bottom w:val="single" w:color="auto" w:sz="12" w:space="0"/>
            </w:tcBorders>
            <w:shd w:val="clear" w:color="auto" w:fill="auto"/>
            <w:noWrap/>
            <w:tcMar>
              <w:top w:w="15" w:type="dxa"/>
              <w:left w:w="15" w:type="dxa"/>
              <w:right w:w="15" w:type="dxa"/>
            </w:tcMar>
            <w:vAlign w:val="center"/>
          </w:tcPr>
          <w:p w14:paraId="6D675D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QC-9</w:t>
            </w:r>
          </w:p>
        </w:tc>
        <w:tc>
          <w:tcPr>
            <w:tcW w:w="1735" w:type="dxa"/>
            <w:tcBorders>
              <w:top w:val="single" w:color="auto" w:sz="4" w:space="0"/>
              <w:bottom w:val="single" w:color="auto" w:sz="12" w:space="0"/>
            </w:tcBorders>
            <w:shd w:val="clear" w:color="auto" w:fill="auto"/>
            <w:noWrap/>
            <w:tcMar>
              <w:top w:w="15" w:type="dxa"/>
              <w:left w:w="15" w:type="dxa"/>
              <w:right w:w="15" w:type="dxa"/>
            </w:tcMar>
            <w:vAlign w:val="center"/>
          </w:tcPr>
          <w:p w14:paraId="64C5D6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HR-JJ-6</w:t>
            </w:r>
          </w:p>
        </w:tc>
        <w:tc>
          <w:tcPr>
            <w:tcW w:w="1817" w:type="dxa"/>
            <w:vMerge w:val="continue"/>
            <w:tcBorders>
              <w:top w:val="single" w:color="auto" w:sz="12" w:space="0"/>
              <w:bottom w:val="single" w:color="auto" w:sz="12" w:space="0"/>
              <w:tl2br w:val="nil"/>
              <w:tr2bl w:val="nil"/>
            </w:tcBorders>
            <w:shd w:val="clear" w:color="auto" w:fill="auto"/>
            <w:noWrap/>
            <w:tcMar>
              <w:top w:w="15" w:type="dxa"/>
              <w:left w:w="15" w:type="dxa"/>
              <w:right w:w="15" w:type="dxa"/>
            </w:tcMar>
            <w:vAlign w:val="center"/>
          </w:tcPr>
          <w:p w14:paraId="0A90B6E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080" w:type="dxa"/>
            <w:vMerge w:val="continue"/>
            <w:tcBorders>
              <w:top w:val="single" w:color="auto" w:sz="12" w:space="0"/>
              <w:bottom w:val="single" w:color="auto" w:sz="12" w:space="0"/>
              <w:tl2br w:val="nil"/>
              <w:tr2bl w:val="nil"/>
            </w:tcBorders>
            <w:shd w:val="clear" w:color="auto" w:fill="auto"/>
            <w:noWrap/>
            <w:tcMar>
              <w:top w:w="15" w:type="dxa"/>
              <w:left w:w="15" w:type="dxa"/>
              <w:right w:w="15" w:type="dxa"/>
            </w:tcMar>
            <w:vAlign w:val="center"/>
          </w:tcPr>
          <w:p w14:paraId="7AFAED8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080" w:type="dxa"/>
            <w:vMerge w:val="continue"/>
            <w:tcBorders>
              <w:top w:val="single" w:color="auto" w:sz="12" w:space="0"/>
              <w:bottom w:val="single" w:color="auto" w:sz="12" w:space="0"/>
              <w:tl2br w:val="nil"/>
              <w:tr2bl w:val="nil"/>
            </w:tcBorders>
            <w:shd w:val="clear" w:color="auto" w:fill="auto"/>
            <w:noWrap/>
            <w:tcMar>
              <w:top w:w="15" w:type="dxa"/>
              <w:left w:w="15" w:type="dxa"/>
              <w:right w:w="15" w:type="dxa"/>
            </w:tcMar>
            <w:vAlign w:val="center"/>
          </w:tcPr>
          <w:p w14:paraId="682E53E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r>
      <w:tr w14:paraId="08DB5E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jc w:val="center"/>
        </w:trPr>
        <w:tc>
          <w:tcPr>
            <w:tcW w:w="1080" w:type="dxa"/>
            <w:vMerge w:val="restart"/>
            <w:tcBorders>
              <w:top w:val="single" w:color="auto" w:sz="12" w:space="0"/>
              <w:tl2br w:val="nil"/>
              <w:tr2bl w:val="nil"/>
            </w:tcBorders>
            <w:shd w:val="clear" w:color="auto" w:fill="auto"/>
            <w:noWrap/>
            <w:tcMar>
              <w:top w:w="15" w:type="dxa"/>
              <w:left w:w="15" w:type="dxa"/>
              <w:right w:w="15" w:type="dxa"/>
            </w:tcMar>
            <w:vAlign w:val="center"/>
          </w:tcPr>
          <w:p w14:paraId="490E48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土壤</w:t>
            </w:r>
          </w:p>
        </w:tc>
        <w:tc>
          <w:tcPr>
            <w:tcW w:w="1845" w:type="dxa"/>
            <w:tcBorders>
              <w:top w:val="single" w:color="auto" w:sz="12" w:space="0"/>
              <w:tl2br w:val="nil"/>
              <w:tr2bl w:val="nil"/>
            </w:tcBorders>
            <w:shd w:val="clear" w:color="auto" w:fill="auto"/>
            <w:noWrap/>
            <w:tcMar>
              <w:top w:w="15" w:type="dxa"/>
              <w:left w:w="15" w:type="dxa"/>
              <w:right w:w="15" w:type="dxa"/>
            </w:tcMar>
            <w:vAlign w:val="center"/>
          </w:tcPr>
          <w:p w14:paraId="60F152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水分(以干基计)</w:t>
            </w:r>
          </w:p>
        </w:tc>
        <w:tc>
          <w:tcPr>
            <w:tcW w:w="975" w:type="dxa"/>
            <w:tcBorders>
              <w:top w:val="single" w:color="auto" w:sz="12" w:space="0"/>
              <w:tl2br w:val="nil"/>
              <w:tr2bl w:val="nil"/>
            </w:tcBorders>
            <w:shd w:val="clear" w:color="auto" w:fill="auto"/>
            <w:noWrap/>
            <w:tcMar>
              <w:top w:w="15" w:type="dxa"/>
              <w:left w:w="15" w:type="dxa"/>
              <w:right w:w="15" w:type="dxa"/>
            </w:tcMar>
            <w:vAlign w:val="center"/>
          </w:tcPr>
          <w:p w14:paraId="43DDAE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23.6</w:t>
            </w:r>
          </w:p>
        </w:tc>
        <w:tc>
          <w:tcPr>
            <w:tcW w:w="1735" w:type="dxa"/>
            <w:tcBorders>
              <w:top w:val="single" w:color="auto" w:sz="12" w:space="0"/>
              <w:tl2br w:val="nil"/>
              <w:tr2bl w:val="nil"/>
            </w:tcBorders>
            <w:shd w:val="clear" w:color="auto" w:fill="auto"/>
            <w:noWrap/>
            <w:tcMar>
              <w:top w:w="15" w:type="dxa"/>
              <w:left w:w="15" w:type="dxa"/>
              <w:right w:w="15" w:type="dxa"/>
            </w:tcMar>
            <w:vAlign w:val="center"/>
          </w:tcPr>
          <w:p w14:paraId="761AA8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23.1</w:t>
            </w:r>
          </w:p>
        </w:tc>
        <w:tc>
          <w:tcPr>
            <w:tcW w:w="1817" w:type="dxa"/>
            <w:tcBorders>
              <w:top w:val="single" w:color="auto" w:sz="12" w:space="0"/>
            </w:tcBorders>
            <w:shd w:val="clear" w:color="auto" w:fill="auto"/>
            <w:noWrap/>
            <w:tcMar>
              <w:top w:w="15" w:type="dxa"/>
              <w:left w:w="15" w:type="dxa"/>
              <w:right w:w="15" w:type="dxa"/>
            </w:tcMar>
            <w:vAlign w:val="center"/>
          </w:tcPr>
          <w:p w14:paraId="61344C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1.07%</w:t>
            </w:r>
          </w:p>
        </w:tc>
        <w:tc>
          <w:tcPr>
            <w:tcW w:w="1080" w:type="dxa"/>
            <w:tcBorders>
              <w:top w:val="single" w:color="auto" w:sz="12" w:space="0"/>
            </w:tcBorders>
            <w:shd w:val="clear" w:color="auto" w:fill="auto"/>
            <w:noWrap/>
            <w:tcMar>
              <w:top w:w="15" w:type="dxa"/>
              <w:left w:w="15" w:type="dxa"/>
              <w:right w:w="15" w:type="dxa"/>
            </w:tcMar>
            <w:vAlign w:val="center"/>
          </w:tcPr>
          <w:p w14:paraId="1C4ACA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1080" w:type="dxa"/>
            <w:tcBorders>
              <w:top w:val="single" w:color="auto" w:sz="12" w:space="0"/>
            </w:tcBorders>
            <w:shd w:val="clear" w:color="auto" w:fill="auto"/>
            <w:noWrap/>
            <w:tcMar>
              <w:top w:w="15" w:type="dxa"/>
              <w:left w:w="15" w:type="dxa"/>
              <w:right w:w="15" w:type="dxa"/>
            </w:tcMar>
            <w:vAlign w:val="center"/>
          </w:tcPr>
          <w:p w14:paraId="33DB80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6794FA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7F97639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10799C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总氟化物</w:t>
            </w:r>
          </w:p>
        </w:tc>
        <w:tc>
          <w:tcPr>
            <w:tcW w:w="975" w:type="dxa"/>
            <w:tcBorders>
              <w:tl2br w:val="nil"/>
              <w:tr2bl w:val="nil"/>
            </w:tcBorders>
            <w:shd w:val="clear" w:color="auto" w:fill="auto"/>
            <w:noWrap/>
            <w:tcMar>
              <w:top w:w="15" w:type="dxa"/>
              <w:left w:w="15" w:type="dxa"/>
              <w:right w:w="15" w:type="dxa"/>
            </w:tcMar>
            <w:vAlign w:val="center"/>
          </w:tcPr>
          <w:p w14:paraId="4B1DA8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648</w:t>
            </w:r>
          </w:p>
        </w:tc>
        <w:tc>
          <w:tcPr>
            <w:tcW w:w="1735" w:type="dxa"/>
            <w:tcBorders>
              <w:tl2br w:val="nil"/>
              <w:tr2bl w:val="nil"/>
            </w:tcBorders>
            <w:shd w:val="clear" w:color="auto" w:fill="auto"/>
            <w:noWrap/>
            <w:tcMar>
              <w:top w:w="15" w:type="dxa"/>
              <w:left w:w="15" w:type="dxa"/>
              <w:right w:w="15" w:type="dxa"/>
            </w:tcMar>
            <w:vAlign w:val="center"/>
          </w:tcPr>
          <w:p w14:paraId="2A2628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663</w:t>
            </w:r>
          </w:p>
        </w:tc>
        <w:tc>
          <w:tcPr>
            <w:tcW w:w="1817" w:type="dxa"/>
            <w:tcBorders>
              <w:tl2br w:val="nil"/>
              <w:tr2bl w:val="nil"/>
            </w:tcBorders>
            <w:shd w:val="clear" w:color="auto" w:fill="auto"/>
            <w:noWrap/>
            <w:tcMar>
              <w:top w:w="15" w:type="dxa"/>
              <w:left w:w="15" w:type="dxa"/>
              <w:right w:w="15" w:type="dxa"/>
            </w:tcMar>
            <w:vAlign w:val="center"/>
          </w:tcPr>
          <w:p w14:paraId="05038F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1.14%</w:t>
            </w:r>
          </w:p>
        </w:tc>
        <w:tc>
          <w:tcPr>
            <w:tcW w:w="1080" w:type="dxa"/>
            <w:tcBorders>
              <w:tl2br w:val="nil"/>
              <w:tr2bl w:val="nil"/>
            </w:tcBorders>
            <w:shd w:val="clear" w:color="auto" w:fill="auto"/>
            <w:noWrap/>
            <w:tcMar>
              <w:top w:w="15" w:type="dxa"/>
              <w:left w:w="15" w:type="dxa"/>
              <w:right w:w="15" w:type="dxa"/>
            </w:tcMar>
            <w:vAlign w:val="center"/>
          </w:tcPr>
          <w:p w14:paraId="10A62F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4AF605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2D5DBA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7B43BF5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4A2A6D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铅</w:t>
            </w:r>
          </w:p>
        </w:tc>
        <w:tc>
          <w:tcPr>
            <w:tcW w:w="975" w:type="dxa"/>
            <w:tcBorders>
              <w:tl2br w:val="nil"/>
              <w:tr2bl w:val="nil"/>
            </w:tcBorders>
            <w:shd w:val="clear" w:color="auto" w:fill="auto"/>
            <w:noWrap/>
            <w:tcMar>
              <w:top w:w="15" w:type="dxa"/>
              <w:left w:w="15" w:type="dxa"/>
              <w:right w:w="15" w:type="dxa"/>
            </w:tcMar>
            <w:vAlign w:val="center"/>
          </w:tcPr>
          <w:p w14:paraId="707E40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17.0</w:t>
            </w:r>
          </w:p>
        </w:tc>
        <w:tc>
          <w:tcPr>
            <w:tcW w:w="1735" w:type="dxa"/>
            <w:tcBorders>
              <w:tl2br w:val="nil"/>
              <w:tr2bl w:val="nil"/>
            </w:tcBorders>
            <w:shd w:val="clear" w:color="auto" w:fill="auto"/>
            <w:noWrap/>
            <w:tcMar>
              <w:top w:w="15" w:type="dxa"/>
              <w:left w:w="15" w:type="dxa"/>
              <w:right w:w="15" w:type="dxa"/>
            </w:tcMar>
            <w:vAlign w:val="center"/>
          </w:tcPr>
          <w:p w14:paraId="22DFA7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19.2</w:t>
            </w:r>
          </w:p>
        </w:tc>
        <w:tc>
          <w:tcPr>
            <w:tcW w:w="1817" w:type="dxa"/>
            <w:tcBorders>
              <w:tl2br w:val="nil"/>
              <w:tr2bl w:val="nil"/>
            </w:tcBorders>
            <w:shd w:val="clear" w:color="auto" w:fill="auto"/>
            <w:noWrap/>
            <w:tcMar>
              <w:top w:w="15" w:type="dxa"/>
              <w:left w:w="15" w:type="dxa"/>
              <w:right w:w="15" w:type="dxa"/>
            </w:tcMar>
            <w:vAlign w:val="center"/>
          </w:tcPr>
          <w:p w14:paraId="4D1FD5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6.08%</w:t>
            </w:r>
          </w:p>
        </w:tc>
        <w:tc>
          <w:tcPr>
            <w:tcW w:w="1080" w:type="dxa"/>
            <w:tcBorders>
              <w:tl2br w:val="nil"/>
              <w:tr2bl w:val="nil"/>
            </w:tcBorders>
            <w:shd w:val="clear" w:color="auto" w:fill="auto"/>
            <w:noWrap/>
            <w:tcMar>
              <w:top w:w="15" w:type="dxa"/>
              <w:left w:w="15" w:type="dxa"/>
              <w:right w:w="15" w:type="dxa"/>
            </w:tcMar>
            <w:vAlign w:val="center"/>
          </w:tcPr>
          <w:p w14:paraId="245A90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w:t>
            </w:r>
          </w:p>
        </w:tc>
        <w:tc>
          <w:tcPr>
            <w:tcW w:w="1080" w:type="dxa"/>
            <w:tcBorders>
              <w:tl2br w:val="nil"/>
              <w:tr2bl w:val="nil"/>
            </w:tcBorders>
            <w:shd w:val="clear" w:color="auto" w:fill="auto"/>
            <w:noWrap/>
            <w:tcMar>
              <w:top w:w="15" w:type="dxa"/>
              <w:left w:w="15" w:type="dxa"/>
              <w:right w:w="15" w:type="dxa"/>
            </w:tcMar>
            <w:vAlign w:val="center"/>
          </w:tcPr>
          <w:p w14:paraId="1700F3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25988C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3E07A22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0267FB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汞</w:t>
            </w:r>
          </w:p>
        </w:tc>
        <w:tc>
          <w:tcPr>
            <w:tcW w:w="975" w:type="dxa"/>
            <w:tcBorders>
              <w:tl2br w:val="nil"/>
              <w:tr2bl w:val="nil"/>
            </w:tcBorders>
            <w:shd w:val="clear" w:color="auto" w:fill="auto"/>
            <w:noWrap/>
            <w:tcMar>
              <w:top w:w="15" w:type="dxa"/>
              <w:left w:w="15" w:type="dxa"/>
              <w:right w:w="15" w:type="dxa"/>
            </w:tcMar>
            <w:vAlign w:val="center"/>
          </w:tcPr>
          <w:p w14:paraId="380D35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0.09</w:t>
            </w:r>
          </w:p>
        </w:tc>
        <w:tc>
          <w:tcPr>
            <w:tcW w:w="1735" w:type="dxa"/>
            <w:tcBorders>
              <w:tl2br w:val="nil"/>
              <w:tr2bl w:val="nil"/>
            </w:tcBorders>
            <w:shd w:val="clear" w:color="auto" w:fill="auto"/>
            <w:noWrap/>
            <w:tcMar>
              <w:top w:w="15" w:type="dxa"/>
              <w:left w:w="15" w:type="dxa"/>
              <w:right w:w="15" w:type="dxa"/>
            </w:tcMar>
            <w:vAlign w:val="center"/>
          </w:tcPr>
          <w:p w14:paraId="7059EB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0.09</w:t>
            </w:r>
          </w:p>
        </w:tc>
        <w:tc>
          <w:tcPr>
            <w:tcW w:w="1817" w:type="dxa"/>
            <w:tcBorders>
              <w:tl2br w:val="nil"/>
              <w:tr2bl w:val="nil"/>
            </w:tcBorders>
            <w:shd w:val="clear" w:color="auto" w:fill="auto"/>
            <w:noWrap/>
            <w:tcMar>
              <w:top w:w="15" w:type="dxa"/>
              <w:left w:w="15" w:type="dxa"/>
              <w:right w:w="15" w:type="dxa"/>
            </w:tcMar>
            <w:vAlign w:val="center"/>
          </w:tcPr>
          <w:p w14:paraId="0C6841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w:t>
            </w:r>
          </w:p>
        </w:tc>
        <w:tc>
          <w:tcPr>
            <w:tcW w:w="1080" w:type="dxa"/>
            <w:tcBorders>
              <w:tl2br w:val="nil"/>
              <w:tr2bl w:val="nil"/>
            </w:tcBorders>
            <w:shd w:val="clear" w:color="auto" w:fill="auto"/>
            <w:noWrap/>
            <w:tcMar>
              <w:top w:w="15" w:type="dxa"/>
              <w:left w:w="15" w:type="dxa"/>
              <w:right w:w="15" w:type="dxa"/>
            </w:tcMar>
            <w:vAlign w:val="center"/>
          </w:tcPr>
          <w:p w14:paraId="765FB7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≤35%</w:t>
            </w:r>
          </w:p>
        </w:tc>
        <w:tc>
          <w:tcPr>
            <w:tcW w:w="1080" w:type="dxa"/>
            <w:tcBorders>
              <w:tl2br w:val="nil"/>
              <w:tr2bl w:val="nil"/>
            </w:tcBorders>
            <w:shd w:val="clear" w:color="auto" w:fill="auto"/>
            <w:noWrap/>
            <w:tcMar>
              <w:top w:w="15" w:type="dxa"/>
              <w:left w:w="15" w:type="dxa"/>
              <w:right w:w="15" w:type="dxa"/>
            </w:tcMar>
            <w:vAlign w:val="center"/>
          </w:tcPr>
          <w:p w14:paraId="5A11CE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533A16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0027514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1A18D5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钴</w:t>
            </w:r>
          </w:p>
        </w:tc>
        <w:tc>
          <w:tcPr>
            <w:tcW w:w="975" w:type="dxa"/>
            <w:tcBorders>
              <w:tl2br w:val="nil"/>
              <w:tr2bl w:val="nil"/>
            </w:tcBorders>
            <w:shd w:val="clear" w:color="auto" w:fill="auto"/>
            <w:noWrap/>
            <w:tcMar>
              <w:top w:w="15" w:type="dxa"/>
              <w:left w:w="15" w:type="dxa"/>
              <w:right w:w="15" w:type="dxa"/>
            </w:tcMar>
            <w:vAlign w:val="center"/>
          </w:tcPr>
          <w:p w14:paraId="38BC66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12.8</w:t>
            </w:r>
          </w:p>
        </w:tc>
        <w:tc>
          <w:tcPr>
            <w:tcW w:w="1735" w:type="dxa"/>
            <w:tcBorders>
              <w:tl2br w:val="nil"/>
              <w:tr2bl w:val="nil"/>
            </w:tcBorders>
            <w:shd w:val="clear" w:color="auto" w:fill="auto"/>
            <w:noWrap/>
            <w:tcMar>
              <w:top w:w="15" w:type="dxa"/>
              <w:left w:w="15" w:type="dxa"/>
              <w:right w:w="15" w:type="dxa"/>
            </w:tcMar>
            <w:vAlign w:val="center"/>
          </w:tcPr>
          <w:p w14:paraId="33F8B1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13.3</w:t>
            </w:r>
          </w:p>
        </w:tc>
        <w:tc>
          <w:tcPr>
            <w:tcW w:w="1817" w:type="dxa"/>
            <w:tcBorders>
              <w:tl2br w:val="nil"/>
              <w:tr2bl w:val="nil"/>
            </w:tcBorders>
            <w:shd w:val="clear" w:color="auto" w:fill="auto"/>
            <w:noWrap/>
            <w:tcMar>
              <w:top w:w="15" w:type="dxa"/>
              <w:left w:w="15" w:type="dxa"/>
              <w:right w:w="15" w:type="dxa"/>
            </w:tcMar>
            <w:vAlign w:val="center"/>
          </w:tcPr>
          <w:p w14:paraId="590840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1.92%</w:t>
            </w:r>
          </w:p>
        </w:tc>
        <w:tc>
          <w:tcPr>
            <w:tcW w:w="1080" w:type="dxa"/>
            <w:tcBorders>
              <w:tl2br w:val="nil"/>
              <w:tr2bl w:val="nil"/>
            </w:tcBorders>
            <w:shd w:val="clear" w:color="auto" w:fill="auto"/>
            <w:noWrap/>
            <w:tcMar>
              <w:top w:w="15" w:type="dxa"/>
              <w:left w:w="15" w:type="dxa"/>
              <w:right w:w="15" w:type="dxa"/>
            </w:tcMar>
            <w:vAlign w:val="center"/>
          </w:tcPr>
          <w:p w14:paraId="405855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w:t>
            </w:r>
          </w:p>
        </w:tc>
        <w:tc>
          <w:tcPr>
            <w:tcW w:w="1080" w:type="dxa"/>
            <w:tcBorders>
              <w:tl2br w:val="nil"/>
              <w:tr2bl w:val="nil"/>
            </w:tcBorders>
            <w:shd w:val="clear" w:color="auto" w:fill="auto"/>
            <w:noWrap/>
            <w:tcMar>
              <w:top w:w="15" w:type="dxa"/>
              <w:left w:w="15" w:type="dxa"/>
              <w:right w:w="15" w:type="dxa"/>
            </w:tcMar>
            <w:vAlign w:val="center"/>
          </w:tcPr>
          <w:p w14:paraId="09D1E9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2181A6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78228B7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003CF9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镉</w:t>
            </w:r>
          </w:p>
        </w:tc>
        <w:tc>
          <w:tcPr>
            <w:tcW w:w="975" w:type="dxa"/>
            <w:tcBorders>
              <w:tl2br w:val="nil"/>
              <w:tr2bl w:val="nil"/>
            </w:tcBorders>
            <w:shd w:val="clear" w:color="auto" w:fill="auto"/>
            <w:noWrap/>
            <w:tcMar>
              <w:top w:w="15" w:type="dxa"/>
              <w:left w:w="15" w:type="dxa"/>
              <w:right w:w="15" w:type="dxa"/>
            </w:tcMar>
            <w:vAlign w:val="center"/>
          </w:tcPr>
          <w:p w14:paraId="44B292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&lt;0.01</w:t>
            </w:r>
          </w:p>
        </w:tc>
        <w:tc>
          <w:tcPr>
            <w:tcW w:w="1735" w:type="dxa"/>
            <w:tcBorders>
              <w:tl2br w:val="nil"/>
              <w:tr2bl w:val="nil"/>
            </w:tcBorders>
            <w:shd w:val="clear" w:color="auto" w:fill="auto"/>
            <w:noWrap/>
            <w:tcMar>
              <w:top w:w="15" w:type="dxa"/>
              <w:left w:w="15" w:type="dxa"/>
              <w:right w:w="15" w:type="dxa"/>
            </w:tcMar>
            <w:vAlign w:val="center"/>
          </w:tcPr>
          <w:p w14:paraId="525BBB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&lt;0.01</w:t>
            </w:r>
          </w:p>
        </w:tc>
        <w:tc>
          <w:tcPr>
            <w:tcW w:w="1817" w:type="dxa"/>
            <w:tcBorders>
              <w:tl2br w:val="nil"/>
              <w:tr2bl w:val="nil"/>
            </w:tcBorders>
            <w:shd w:val="clear" w:color="auto" w:fill="auto"/>
            <w:noWrap/>
            <w:tcMar>
              <w:top w:w="15" w:type="dxa"/>
              <w:left w:w="15" w:type="dxa"/>
              <w:right w:w="15" w:type="dxa"/>
            </w:tcMar>
            <w:vAlign w:val="center"/>
          </w:tcPr>
          <w:p w14:paraId="14BF0D6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w:t>
            </w:r>
          </w:p>
        </w:tc>
        <w:tc>
          <w:tcPr>
            <w:tcW w:w="1080" w:type="dxa"/>
            <w:tcBorders>
              <w:tl2br w:val="nil"/>
              <w:tr2bl w:val="nil"/>
            </w:tcBorders>
            <w:shd w:val="clear" w:color="auto" w:fill="auto"/>
            <w:noWrap/>
            <w:tcMar>
              <w:top w:w="15" w:type="dxa"/>
              <w:left w:w="15" w:type="dxa"/>
              <w:right w:w="15" w:type="dxa"/>
            </w:tcMar>
            <w:vAlign w:val="center"/>
          </w:tcPr>
          <w:p w14:paraId="22DB34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≤35%</w:t>
            </w:r>
          </w:p>
        </w:tc>
        <w:tc>
          <w:tcPr>
            <w:tcW w:w="1080" w:type="dxa"/>
            <w:tcBorders>
              <w:tl2br w:val="nil"/>
              <w:tr2bl w:val="nil"/>
            </w:tcBorders>
            <w:shd w:val="clear" w:color="auto" w:fill="auto"/>
            <w:noWrap/>
            <w:tcMar>
              <w:top w:w="15" w:type="dxa"/>
              <w:left w:w="15" w:type="dxa"/>
              <w:right w:w="15" w:type="dxa"/>
            </w:tcMar>
            <w:vAlign w:val="center"/>
          </w:tcPr>
          <w:p w14:paraId="18C099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6ED341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224F6DE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7AF768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铜</w:t>
            </w:r>
          </w:p>
        </w:tc>
        <w:tc>
          <w:tcPr>
            <w:tcW w:w="975" w:type="dxa"/>
            <w:tcBorders>
              <w:tl2br w:val="nil"/>
              <w:tr2bl w:val="nil"/>
            </w:tcBorders>
            <w:shd w:val="clear" w:color="auto" w:fill="auto"/>
            <w:noWrap/>
            <w:tcMar>
              <w:top w:w="15" w:type="dxa"/>
              <w:left w:w="15" w:type="dxa"/>
              <w:right w:w="15" w:type="dxa"/>
            </w:tcMar>
            <w:vAlign w:val="center"/>
          </w:tcPr>
          <w:p w14:paraId="62E89D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27</w:t>
            </w:r>
          </w:p>
        </w:tc>
        <w:tc>
          <w:tcPr>
            <w:tcW w:w="1735" w:type="dxa"/>
            <w:tcBorders>
              <w:tl2br w:val="nil"/>
              <w:tr2bl w:val="nil"/>
            </w:tcBorders>
            <w:shd w:val="clear" w:color="auto" w:fill="auto"/>
            <w:noWrap/>
            <w:tcMar>
              <w:top w:w="15" w:type="dxa"/>
              <w:left w:w="15" w:type="dxa"/>
              <w:right w:w="15" w:type="dxa"/>
            </w:tcMar>
            <w:vAlign w:val="center"/>
          </w:tcPr>
          <w:p w14:paraId="46B6B2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29</w:t>
            </w:r>
          </w:p>
        </w:tc>
        <w:tc>
          <w:tcPr>
            <w:tcW w:w="1817" w:type="dxa"/>
            <w:tcBorders>
              <w:tl2br w:val="nil"/>
              <w:tr2bl w:val="nil"/>
            </w:tcBorders>
            <w:shd w:val="clear" w:color="auto" w:fill="auto"/>
            <w:noWrap/>
            <w:tcMar>
              <w:top w:w="15" w:type="dxa"/>
              <w:left w:w="15" w:type="dxa"/>
              <w:right w:w="15" w:type="dxa"/>
            </w:tcMar>
            <w:vAlign w:val="center"/>
          </w:tcPr>
          <w:p w14:paraId="3DE459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3.57%</w:t>
            </w:r>
          </w:p>
        </w:tc>
        <w:tc>
          <w:tcPr>
            <w:tcW w:w="1080" w:type="dxa"/>
            <w:tcBorders>
              <w:tl2br w:val="nil"/>
              <w:tr2bl w:val="nil"/>
            </w:tcBorders>
            <w:shd w:val="clear" w:color="auto" w:fill="auto"/>
            <w:noWrap/>
            <w:tcMar>
              <w:top w:w="15" w:type="dxa"/>
              <w:left w:w="15" w:type="dxa"/>
              <w:right w:w="15" w:type="dxa"/>
            </w:tcMar>
            <w:vAlign w:val="center"/>
          </w:tcPr>
          <w:p w14:paraId="0B37F1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5F7575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63319D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439C027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4E0338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镍</w:t>
            </w:r>
          </w:p>
        </w:tc>
        <w:tc>
          <w:tcPr>
            <w:tcW w:w="975" w:type="dxa"/>
            <w:tcBorders>
              <w:tl2br w:val="nil"/>
              <w:tr2bl w:val="nil"/>
            </w:tcBorders>
            <w:shd w:val="clear" w:color="auto" w:fill="auto"/>
            <w:noWrap/>
            <w:tcMar>
              <w:top w:w="15" w:type="dxa"/>
              <w:left w:w="15" w:type="dxa"/>
              <w:right w:w="15" w:type="dxa"/>
            </w:tcMar>
            <w:vAlign w:val="center"/>
          </w:tcPr>
          <w:p w14:paraId="4E17AD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34</w:t>
            </w:r>
          </w:p>
        </w:tc>
        <w:tc>
          <w:tcPr>
            <w:tcW w:w="1735" w:type="dxa"/>
            <w:tcBorders>
              <w:tl2br w:val="nil"/>
              <w:tr2bl w:val="nil"/>
            </w:tcBorders>
            <w:shd w:val="clear" w:color="auto" w:fill="auto"/>
            <w:noWrap/>
            <w:tcMar>
              <w:top w:w="15" w:type="dxa"/>
              <w:left w:w="15" w:type="dxa"/>
              <w:right w:w="15" w:type="dxa"/>
            </w:tcMar>
            <w:vAlign w:val="center"/>
          </w:tcPr>
          <w:p w14:paraId="7D3A59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36</w:t>
            </w:r>
          </w:p>
        </w:tc>
        <w:tc>
          <w:tcPr>
            <w:tcW w:w="1817" w:type="dxa"/>
            <w:tcBorders>
              <w:tl2br w:val="nil"/>
              <w:tr2bl w:val="nil"/>
            </w:tcBorders>
            <w:shd w:val="clear" w:color="auto" w:fill="auto"/>
            <w:noWrap/>
            <w:tcMar>
              <w:top w:w="15" w:type="dxa"/>
              <w:left w:w="15" w:type="dxa"/>
              <w:right w:w="15" w:type="dxa"/>
            </w:tcMar>
            <w:vAlign w:val="center"/>
          </w:tcPr>
          <w:p w14:paraId="6D206D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2.86%</w:t>
            </w:r>
          </w:p>
        </w:tc>
        <w:tc>
          <w:tcPr>
            <w:tcW w:w="1080" w:type="dxa"/>
            <w:tcBorders>
              <w:tl2br w:val="nil"/>
              <w:tr2bl w:val="nil"/>
            </w:tcBorders>
            <w:shd w:val="clear" w:color="auto" w:fill="auto"/>
            <w:noWrap/>
            <w:tcMar>
              <w:top w:w="15" w:type="dxa"/>
              <w:left w:w="15" w:type="dxa"/>
              <w:right w:w="15" w:type="dxa"/>
            </w:tcMar>
            <w:vAlign w:val="center"/>
          </w:tcPr>
          <w:p w14:paraId="6019F4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3FD3DDE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50D42E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08AB3C0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10A738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铬</w:t>
            </w:r>
          </w:p>
        </w:tc>
        <w:tc>
          <w:tcPr>
            <w:tcW w:w="975" w:type="dxa"/>
            <w:tcBorders>
              <w:tl2br w:val="nil"/>
              <w:tr2bl w:val="nil"/>
            </w:tcBorders>
            <w:shd w:val="clear" w:color="auto" w:fill="auto"/>
            <w:noWrap/>
            <w:tcMar>
              <w:top w:w="15" w:type="dxa"/>
              <w:left w:w="15" w:type="dxa"/>
              <w:right w:w="15" w:type="dxa"/>
            </w:tcMar>
            <w:vAlign w:val="center"/>
          </w:tcPr>
          <w:p w14:paraId="33E93E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59</w:t>
            </w:r>
          </w:p>
        </w:tc>
        <w:tc>
          <w:tcPr>
            <w:tcW w:w="1735" w:type="dxa"/>
            <w:tcBorders>
              <w:tl2br w:val="nil"/>
              <w:tr2bl w:val="nil"/>
            </w:tcBorders>
            <w:shd w:val="clear" w:color="auto" w:fill="auto"/>
            <w:noWrap/>
            <w:tcMar>
              <w:top w:w="15" w:type="dxa"/>
              <w:left w:w="15" w:type="dxa"/>
              <w:right w:w="15" w:type="dxa"/>
            </w:tcMar>
            <w:vAlign w:val="center"/>
          </w:tcPr>
          <w:p w14:paraId="7123A0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58</w:t>
            </w:r>
          </w:p>
        </w:tc>
        <w:tc>
          <w:tcPr>
            <w:tcW w:w="1817" w:type="dxa"/>
            <w:tcBorders>
              <w:tl2br w:val="nil"/>
              <w:tr2bl w:val="nil"/>
            </w:tcBorders>
            <w:shd w:val="clear" w:color="auto" w:fill="auto"/>
            <w:noWrap/>
            <w:tcMar>
              <w:top w:w="15" w:type="dxa"/>
              <w:left w:w="15" w:type="dxa"/>
              <w:right w:w="15" w:type="dxa"/>
            </w:tcMar>
            <w:vAlign w:val="center"/>
          </w:tcPr>
          <w:p w14:paraId="2947B9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0.85%</w:t>
            </w:r>
          </w:p>
        </w:tc>
        <w:tc>
          <w:tcPr>
            <w:tcW w:w="1080" w:type="dxa"/>
            <w:tcBorders>
              <w:tl2br w:val="nil"/>
              <w:tr2bl w:val="nil"/>
            </w:tcBorders>
            <w:shd w:val="clear" w:color="auto" w:fill="auto"/>
            <w:noWrap/>
            <w:tcMar>
              <w:top w:w="15" w:type="dxa"/>
              <w:left w:w="15" w:type="dxa"/>
              <w:right w:w="15" w:type="dxa"/>
            </w:tcMar>
            <w:vAlign w:val="center"/>
          </w:tcPr>
          <w:p w14:paraId="0D9CD8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768663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6FBE85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5B96474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6A467F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锌</w:t>
            </w:r>
          </w:p>
        </w:tc>
        <w:tc>
          <w:tcPr>
            <w:tcW w:w="975" w:type="dxa"/>
            <w:tcBorders>
              <w:tl2br w:val="nil"/>
              <w:tr2bl w:val="nil"/>
            </w:tcBorders>
            <w:shd w:val="clear" w:color="auto" w:fill="auto"/>
            <w:noWrap/>
            <w:tcMar>
              <w:top w:w="15" w:type="dxa"/>
              <w:left w:w="15" w:type="dxa"/>
              <w:right w:w="15" w:type="dxa"/>
            </w:tcMar>
            <w:vAlign w:val="center"/>
          </w:tcPr>
          <w:p w14:paraId="1C86FC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69</w:t>
            </w:r>
          </w:p>
        </w:tc>
        <w:tc>
          <w:tcPr>
            <w:tcW w:w="1735" w:type="dxa"/>
            <w:tcBorders>
              <w:tl2br w:val="nil"/>
              <w:tr2bl w:val="nil"/>
            </w:tcBorders>
            <w:shd w:val="clear" w:color="auto" w:fill="auto"/>
            <w:noWrap/>
            <w:tcMar>
              <w:top w:w="15" w:type="dxa"/>
              <w:left w:w="15" w:type="dxa"/>
              <w:right w:w="15" w:type="dxa"/>
            </w:tcMar>
            <w:vAlign w:val="center"/>
          </w:tcPr>
          <w:p w14:paraId="18E15A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69</w:t>
            </w:r>
          </w:p>
        </w:tc>
        <w:tc>
          <w:tcPr>
            <w:tcW w:w="1817" w:type="dxa"/>
            <w:tcBorders>
              <w:tl2br w:val="nil"/>
              <w:tr2bl w:val="nil"/>
            </w:tcBorders>
            <w:shd w:val="clear" w:color="auto" w:fill="auto"/>
            <w:noWrap/>
            <w:tcMar>
              <w:top w:w="15" w:type="dxa"/>
              <w:left w:w="15" w:type="dxa"/>
              <w:right w:w="15" w:type="dxa"/>
            </w:tcMar>
            <w:vAlign w:val="center"/>
          </w:tcPr>
          <w:p w14:paraId="42FA65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w:t>
            </w:r>
          </w:p>
        </w:tc>
        <w:tc>
          <w:tcPr>
            <w:tcW w:w="1080" w:type="dxa"/>
            <w:tcBorders>
              <w:tl2br w:val="nil"/>
              <w:tr2bl w:val="nil"/>
            </w:tcBorders>
            <w:shd w:val="clear" w:color="auto" w:fill="auto"/>
            <w:noWrap/>
            <w:tcMar>
              <w:top w:w="15" w:type="dxa"/>
              <w:left w:w="15" w:type="dxa"/>
              <w:right w:w="15" w:type="dxa"/>
            </w:tcMar>
            <w:vAlign w:val="center"/>
          </w:tcPr>
          <w:p w14:paraId="4F68A27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0D256B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r w14:paraId="25838A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jc w:val="center"/>
        </w:trPr>
        <w:tc>
          <w:tcPr>
            <w:tcW w:w="1080" w:type="dxa"/>
            <w:vMerge w:val="continue"/>
            <w:tcBorders>
              <w:tl2br w:val="nil"/>
              <w:tr2bl w:val="nil"/>
            </w:tcBorders>
            <w:shd w:val="clear" w:color="auto" w:fill="auto"/>
            <w:noWrap/>
            <w:tcMar>
              <w:top w:w="15" w:type="dxa"/>
              <w:left w:w="15" w:type="dxa"/>
              <w:right w:w="15" w:type="dxa"/>
            </w:tcMar>
            <w:vAlign w:val="center"/>
          </w:tcPr>
          <w:p w14:paraId="5E1BFB5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p>
        </w:tc>
        <w:tc>
          <w:tcPr>
            <w:tcW w:w="1845" w:type="dxa"/>
            <w:tcBorders>
              <w:tl2br w:val="nil"/>
              <w:tr2bl w:val="nil"/>
            </w:tcBorders>
            <w:shd w:val="clear" w:color="auto" w:fill="auto"/>
            <w:noWrap/>
            <w:tcMar>
              <w:top w:w="15" w:type="dxa"/>
              <w:left w:w="15" w:type="dxa"/>
              <w:right w:w="15" w:type="dxa"/>
            </w:tcMar>
            <w:vAlign w:val="center"/>
          </w:tcPr>
          <w:p w14:paraId="39255D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砷</w:t>
            </w:r>
          </w:p>
        </w:tc>
        <w:tc>
          <w:tcPr>
            <w:tcW w:w="975" w:type="dxa"/>
            <w:tcBorders>
              <w:tl2br w:val="nil"/>
              <w:tr2bl w:val="nil"/>
            </w:tcBorders>
            <w:shd w:val="clear" w:color="auto" w:fill="auto"/>
            <w:noWrap/>
            <w:tcMar>
              <w:top w:w="15" w:type="dxa"/>
              <w:left w:w="15" w:type="dxa"/>
              <w:right w:w="15" w:type="dxa"/>
            </w:tcMar>
            <w:vAlign w:val="center"/>
          </w:tcPr>
          <w:p w14:paraId="0DFAE0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13.9</w:t>
            </w:r>
          </w:p>
        </w:tc>
        <w:tc>
          <w:tcPr>
            <w:tcW w:w="1735" w:type="dxa"/>
            <w:tcBorders>
              <w:tl2br w:val="nil"/>
              <w:tr2bl w:val="nil"/>
            </w:tcBorders>
            <w:shd w:val="clear" w:color="auto" w:fill="auto"/>
            <w:noWrap/>
            <w:tcMar>
              <w:top w:w="15" w:type="dxa"/>
              <w:left w:w="15" w:type="dxa"/>
              <w:right w:w="15" w:type="dxa"/>
            </w:tcMar>
            <w:vAlign w:val="center"/>
          </w:tcPr>
          <w:p w14:paraId="3C47B6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13.4</w:t>
            </w:r>
          </w:p>
        </w:tc>
        <w:tc>
          <w:tcPr>
            <w:tcW w:w="1817" w:type="dxa"/>
            <w:tcBorders>
              <w:tl2br w:val="nil"/>
              <w:tr2bl w:val="nil"/>
            </w:tcBorders>
            <w:shd w:val="clear" w:color="auto" w:fill="auto"/>
            <w:noWrap/>
            <w:tcMar>
              <w:top w:w="15" w:type="dxa"/>
              <w:left w:w="15" w:type="dxa"/>
              <w:right w:w="15" w:type="dxa"/>
            </w:tcMar>
            <w:vAlign w:val="center"/>
          </w:tcPr>
          <w:p w14:paraId="41E407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1.83%</w:t>
            </w:r>
          </w:p>
        </w:tc>
        <w:tc>
          <w:tcPr>
            <w:tcW w:w="1080" w:type="dxa"/>
            <w:tcBorders>
              <w:tl2br w:val="nil"/>
              <w:tr2bl w:val="nil"/>
            </w:tcBorders>
            <w:shd w:val="clear" w:color="auto" w:fill="auto"/>
            <w:noWrap/>
            <w:tcMar>
              <w:top w:w="15" w:type="dxa"/>
              <w:left w:w="15" w:type="dxa"/>
              <w:right w:w="15" w:type="dxa"/>
            </w:tcMar>
            <w:vAlign w:val="center"/>
          </w:tcPr>
          <w:p w14:paraId="79DAB8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w:t>
            </w:r>
          </w:p>
        </w:tc>
        <w:tc>
          <w:tcPr>
            <w:tcW w:w="1080" w:type="dxa"/>
            <w:tcBorders>
              <w:tl2br w:val="nil"/>
              <w:tr2bl w:val="nil"/>
            </w:tcBorders>
            <w:shd w:val="clear" w:color="auto" w:fill="auto"/>
            <w:noWrap/>
            <w:tcMar>
              <w:top w:w="15" w:type="dxa"/>
              <w:left w:w="15" w:type="dxa"/>
              <w:right w:w="15" w:type="dxa"/>
            </w:tcMar>
            <w:vAlign w:val="center"/>
          </w:tcPr>
          <w:p w14:paraId="410347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合格</w:t>
            </w:r>
          </w:p>
        </w:tc>
      </w:tr>
    </w:tbl>
    <w:p w14:paraId="0D0A239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sz w:val="18"/>
          <w:szCs w:val="18"/>
          <w:highlight w:val="none"/>
          <w:lang w:eastAsia="zh-CN"/>
        </w:rPr>
      </w:pPr>
      <w:r>
        <w:rPr>
          <w:rFonts w:hint="default" w:ascii="Times New Roman" w:hAnsi="Times New Roman" w:cs="Times New Roman"/>
          <w:b/>
          <w:sz w:val="18"/>
          <w:szCs w:val="18"/>
          <w:highlight w:val="none"/>
        </w:rPr>
        <w:t>注：①其中</w:t>
      </w:r>
      <w:r>
        <w:rPr>
          <w:rFonts w:hint="default" w:ascii="Times New Roman" w:hAnsi="Times New Roman" w:cs="Times New Roman"/>
          <w:b/>
          <w:sz w:val="18"/>
          <w:szCs w:val="18"/>
          <w:highlight w:val="none"/>
          <w:lang w:eastAsia="zh-CN"/>
        </w:rPr>
        <w:t>：</w:t>
      </w:r>
      <w:r>
        <w:rPr>
          <w:rFonts w:hint="default" w:ascii="Times New Roman" w:hAnsi="Times New Roman" w:cs="Times New Roman"/>
          <w:b/>
          <w:sz w:val="18"/>
          <w:szCs w:val="18"/>
          <w:highlight w:val="none"/>
        </w:rPr>
        <w:t>“铜</w:t>
      </w:r>
      <w:r>
        <w:rPr>
          <w:rFonts w:hint="default" w:ascii="Times New Roman" w:hAnsi="Times New Roman" w:cs="Times New Roman"/>
          <w:b/>
          <w:sz w:val="18"/>
          <w:szCs w:val="18"/>
          <w:highlight w:val="none"/>
          <w:lang w:eastAsia="zh-CN"/>
        </w:rPr>
        <w:t>、铬</w:t>
      </w:r>
      <w:r>
        <w:rPr>
          <w:rFonts w:hint="default" w:ascii="Times New Roman" w:hAnsi="Times New Roman" w:cs="Times New Roman"/>
          <w:b/>
          <w:sz w:val="18"/>
          <w:szCs w:val="18"/>
          <w:highlight w:val="none"/>
        </w:rPr>
        <w:t>、镍</w:t>
      </w:r>
      <w:r>
        <w:rPr>
          <w:rFonts w:hint="default" w:ascii="Times New Roman" w:hAnsi="Times New Roman" w:cs="Times New Roman"/>
          <w:b/>
          <w:sz w:val="18"/>
          <w:szCs w:val="18"/>
          <w:highlight w:val="none"/>
          <w:lang w:eastAsia="zh-CN"/>
        </w:rPr>
        <w:t>、锌</w:t>
      </w:r>
      <w:r>
        <w:rPr>
          <w:rFonts w:hint="default" w:ascii="Times New Roman" w:hAnsi="Times New Roman" w:cs="Times New Roman"/>
          <w:b/>
          <w:sz w:val="18"/>
          <w:szCs w:val="18"/>
          <w:highlight w:val="none"/>
        </w:rPr>
        <w:t>”质控要求按照“HJ 491-2019”确定</w:t>
      </w:r>
      <w:r>
        <w:rPr>
          <w:rFonts w:hint="default" w:ascii="Times New Roman" w:hAnsi="Times New Roman" w:cs="Times New Roman"/>
          <w:b/>
          <w:sz w:val="18"/>
          <w:szCs w:val="18"/>
          <w:highlight w:val="none"/>
          <w:lang w:eastAsia="zh-CN"/>
        </w:rPr>
        <w:t>；</w:t>
      </w:r>
    </w:p>
    <w:p w14:paraId="61541F2F">
      <w:pPr>
        <w:keepNext w:val="0"/>
        <w:keepLines w:val="0"/>
        <w:pageBreakBefore w:val="0"/>
        <w:widowControl w:val="0"/>
        <w:kinsoku/>
        <w:wordWrap/>
        <w:overflowPunct/>
        <w:topLinePunct w:val="0"/>
        <w:autoSpaceDE/>
        <w:autoSpaceDN/>
        <w:bidi w:val="0"/>
        <w:adjustRightInd/>
        <w:snapToGrid/>
        <w:spacing w:line="240" w:lineRule="auto"/>
        <w:ind w:firstLine="361" w:firstLineChars="200"/>
        <w:textAlignment w:val="auto"/>
        <w:rPr>
          <w:rFonts w:hint="default" w:ascii="Times New Roman" w:hAnsi="Times New Roman" w:cs="Times New Roman"/>
          <w:b/>
          <w:sz w:val="18"/>
          <w:szCs w:val="18"/>
          <w:highlight w:val="none"/>
          <w:lang w:eastAsia="zh-CN"/>
        </w:rPr>
      </w:pPr>
      <w:r>
        <w:rPr>
          <w:rFonts w:hint="default" w:ascii="Times New Roman" w:hAnsi="Times New Roman" w:cs="Times New Roman"/>
          <w:b/>
          <w:sz w:val="18"/>
          <w:szCs w:val="18"/>
          <w:highlight w:val="none"/>
        </w:rPr>
        <w:t>“砷</w:t>
      </w:r>
      <w:r>
        <w:rPr>
          <w:rFonts w:hint="default" w:ascii="Times New Roman" w:hAnsi="Times New Roman" w:cs="Times New Roman"/>
          <w:b/>
          <w:sz w:val="18"/>
          <w:szCs w:val="18"/>
          <w:highlight w:val="none"/>
          <w:lang w:eastAsia="zh-CN"/>
        </w:rPr>
        <w:t>、钴、锑、钼</w:t>
      </w:r>
      <w:r>
        <w:rPr>
          <w:rFonts w:hint="default" w:ascii="Times New Roman" w:hAnsi="Times New Roman" w:cs="Times New Roman"/>
          <w:b/>
          <w:sz w:val="18"/>
          <w:szCs w:val="18"/>
          <w:highlight w:val="none"/>
        </w:rPr>
        <w:t>”质控要求按照“HJ 803-2016”确定</w:t>
      </w:r>
      <w:r>
        <w:rPr>
          <w:rFonts w:hint="default" w:ascii="Times New Roman" w:hAnsi="Times New Roman" w:cs="Times New Roman"/>
          <w:b/>
          <w:sz w:val="18"/>
          <w:szCs w:val="18"/>
          <w:highlight w:val="none"/>
          <w:lang w:eastAsia="zh-CN"/>
        </w:rPr>
        <w:t>；</w:t>
      </w:r>
    </w:p>
    <w:p w14:paraId="1D7909B8">
      <w:pPr>
        <w:keepNext w:val="0"/>
        <w:keepLines w:val="0"/>
        <w:pageBreakBefore w:val="0"/>
        <w:widowControl w:val="0"/>
        <w:kinsoku/>
        <w:wordWrap/>
        <w:overflowPunct/>
        <w:topLinePunct w:val="0"/>
        <w:autoSpaceDE/>
        <w:autoSpaceDN/>
        <w:bidi w:val="0"/>
        <w:adjustRightInd/>
        <w:snapToGrid/>
        <w:spacing w:line="240" w:lineRule="auto"/>
        <w:ind w:firstLine="361" w:firstLineChars="200"/>
        <w:textAlignment w:val="auto"/>
        <w:rPr>
          <w:rFonts w:hint="default" w:ascii="Times New Roman" w:hAnsi="Times New Roman" w:cs="Times New Roman"/>
          <w:b/>
          <w:sz w:val="18"/>
          <w:szCs w:val="18"/>
          <w:highlight w:val="none"/>
          <w:lang w:eastAsia="zh-CN"/>
        </w:rPr>
      </w:pPr>
      <w:r>
        <w:rPr>
          <w:rFonts w:hint="default" w:ascii="Times New Roman" w:hAnsi="Times New Roman" w:cs="Times New Roman"/>
          <w:b/>
          <w:sz w:val="18"/>
          <w:szCs w:val="18"/>
          <w:highlight w:val="none"/>
          <w:lang w:eastAsia="zh-CN"/>
        </w:rPr>
        <w:t>“</w:t>
      </w:r>
      <w:r>
        <w:rPr>
          <w:rFonts w:hint="eastAsia" w:cs="Times New Roman"/>
          <w:b/>
          <w:sz w:val="18"/>
          <w:szCs w:val="18"/>
          <w:highlight w:val="none"/>
          <w:lang w:eastAsia="zh-CN"/>
        </w:rPr>
        <w:t>总氟化物</w:t>
      </w:r>
      <w:r>
        <w:rPr>
          <w:rFonts w:hint="default" w:ascii="Times New Roman" w:hAnsi="Times New Roman" w:cs="Times New Roman"/>
          <w:b/>
          <w:sz w:val="18"/>
          <w:szCs w:val="18"/>
          <w:highlight w:val="none"/>
          <w:lang w:eastAsia="zh-CN"/>
        </w:rPr>
        <w:t>”质控要求按照“</w:t>
      </w:r>
      <w:r>
        <w:rPr>
          <w:rFonts w:hint="default" w:ascii="Times New Roman" w:hAnsi="Times New Roman" w:cs="Times New Roman"/>
          <w:b/>
          <w:sz w:val="18"/>
          <w:szCs w:val="18"/>
          <w:highlight w:val="none"/>
          <w:lang w:val="en-US" w:eastAsia="zh-CN"/>
        </w:rPr>
        <w:t>H873-2017</w:t>
      </w:r>
      <w:r>
        <w:rPr>
          <w:rFonts w:hint="default" w:ascii="Times New Roman" w:hAnsi="Times New Roman" w:cs="Times New Roman"/>
          <w:b/>
          <w:sz w:val="18"/>
          <w:szCs w:val="18"/>
          <w:highlight w:val="none"/>
          <w:lang w:eastAsia="zh-CN"/>
        </w:rPr>
        <w:t>”确定；</w:t>
      </w:r>
    </w:p>
    <w:p w14:paraId="7CE3D6AD">
      <w:pPr>
        <w:keepNext w:val="0"/>
        <w:keepLines w:val="0"/>
        <w:pageBreakBefore w:val="0"/>
        <w:widowControl w:val="0"/>
        <w:kinsoku/>
        <w:wordWrap/>
        <w:overflowPunct/>
        <w:topLinePunct w:val="0"/>
        <w:autoSpaceDE/>
        <w:autoSpaceDN/>
        <w:bidi w:val="0"/>
        <w:adjustRightInd/>
        <w:snapToGrid/>
        <w:spacing w:line="240" w:lineRule="auto"/>
        <w:ind w:firstLine="361" w:firstLineChars="200"/>
        <w:textAlignment w:val="auto"/>
        <w:rPr>
          <w:rFonts w:hint="default" w:ascii="Times New Roman" w:hAnsi="Times New Roman" w:cs="Times New Roman"/>
          <w:b/>
          <w:sz w:val="18"/>
          <w:szCs w:val="18"/>
          <w:highlight w:val="none"/>
          <w:lang w:eastAsia="zh-CN"/>
        </w:rPr>
      </w:pPr>
      <w:r>
        <w:rPr>
          <w:rFonts w:hint="default" w:ascii="Times New Roman" w:hAnsi="Times New Roman" w:cs="Times New Roman"/>
          <w:b/>
          <w:sz w:val="18"/>
          <w:szCs w:val="18"/>
          <w:highlight w:val="none"/>
          <w:lang w:eastAsia="zh-CN"/>
        </w:rPr>
        <w:t>“石油烃（C</w:t>
      </w:r>
      <w:r>
        <w:rPr>
          <w:rFonts w:hint="default" w:ascii="Times New Roman" w:hAnsi="Times New Roman" w:cs="Times New Roman"/>
          <w:b/>
          <w:sz w:val="18"/>
          <w:szCs w:val="18"/>
          <w:highlight w:val="none"/>
          <w:vertAlign w:val="subscript"/>
          <w:lang w:eastAsia="zh-CN"/>
        </w:rPr>
        <w:t>10</w:t>
      </w:r>
      <w:r>
        <w:rPr>
          <w:rFonts w:hint="default" w:ascii="Times New Roman" w:hAnsi="Times New Roman" w:cs="Times New Roman"/>
          <w:b/>
          <w:sz w:val="18"/>
          <w:szCs w:val="18"/>
          <w:highlight w:val="none"/>
          <w:lang w:eastAsia="zh-CN"/>
        </w:rPr>
        <w:t>-C</w:t>
      </w:r>
      <w:r>
        <w:rPr>
          <w:rFonts w:hint="default" w:ascii="Times New Roman" w:hAnsi="Times New Roman" w:cs="Times New Roman"/>
          <w:b/>
          <w:sz w:val="18"/>
          <w:szCs w:val="18"/>
          <w:highlight w:val="none"/>
          <w:vertAlign w:val="subscript"/>
          <w:lang w:eastAsia="zh-CN"/>
        </w:rPr>
        <w:t>40</w:t>
      </w:r>
      <w:r>
        <w:rPr>
          <w:rFonts w:hint="default" w:ascii="Times New Roman" w:hAnsi="Times New Roman" w:cs="Times New Roman"/>
          <w:b/>
          <w:sz w:val="18"/>
          <w:szCs w:val="18"/>
          <w:highlight w:val="none"/>
          <w:lang w:eastAsia="zh-CN"/>
        </w:rPr>
        <w:t>）”质控要求按照“</w:t>
      </w:r>
      <w:r>
        <w:rPr>
          <w:rFonts w:hint="default" w:ascii="Times New Roman" w:hAnsi="Times New Roman" w:cs="Times New Roman"/>
          <w:b/>
          <w:sz w:val="18"/>
          <w:szCs w:val="18"/>
          <w:highlight w:val="none"/>
          <w:lang w:val="en-US" w:eastAsia="zh-CN"/>
        </w:rPr>
        <w:t>H1021-2019</w:t>
      </w:r>
      <w:r>
        <w:rPr>
          <w:rFonts w:hint="default" w:ascii="Times New Roman" w:hAnsi="Times New Roman" w:cs="Times New Roman"/>
          <w:b/>
          <w:sz w:val="18"/>
          <w:szCs w:val="18"/>
          <w:highlight w:val="none"/>
          <w:lang w:eastAsia="zh-CN"/>
        </w:rPr>
        <w:t>”确定；</w:t>
      </w:r>
    </w:p>
    <w:p w14:paraId="5B889966">
      <w:pPr>
        <w:keepNext w:val="0"/>
        <w:keepLines w:val="0"/>
        <w:pageBreakBefore w:val="0"/>
        <w:widowControl w:val="0"/>
        <w:kinsoku/>
        <w:wordWrap/>
        <w:overflowPunct/>
        <w:topLinePunct w:val="0"/>
        <w:autoSpaceDE/>
        <w:autoSpaceDN/>
        <w:bidi w:val="0"/>
        <w:adjustRightInd/>
        <w:snapToGrid/>
        <w:spacing w:line="240" w:lineRule="auto"/>
        <w:ind w:firstLine="361" w:firstLineChars="200"/>
        <w:textAlignment w:val="auto"/>
        <w:rPr>
          <w:rFonts w:hint="default" w:ascii="Times New Roman" w:hAnsi="Times New Roman" w:eastAsia="宋体" w:cs="Times New Roman"/>
          <w:b/>
          <w:sz w:val="18"/>
          <w:szCs w:val="18"/>
          <w:highlight w:val="none"/>
          <w:lang w:eastAsia="zh-CN"/>
        </w:rPr>
      </w:pPr>
      <w:r>
        <w:rPr>
          <w:rFonts w:hint="default" w:ascii="Times New Roman" w:hAnsi="Times New Roman" w:cs="Times New Roman"/>
          <w:b/>
          <w:sz w:val="18"/>
          <w:szCs w:val="18"/>
          <w:highlight w:val="none"/>
        </w:rPr>
        <w:t>其余标准中未做规定的指标质控要求依据测试结果数据范围按照“HJ/T166-2004”确定</w:t>
      </w:r>
      <w:r>
        <w:rPr>
          <w:rFonts w:hint="default" w:ascii="Times New Roman" w:hAnsi="Times New Roman" w:cs="Times New Roman"/>
          <w:b/>
          <w:sz w:val="18"/>
          <w:szCs w:val="18"/>
          <w:highlight w:val="none"/>
          <w:lang w:eastAsia="zh-CN"/>
        </w:rPr>
        <w:t>。</w:t>
      </w:r>
    </w:p>
    <w:p w14:paraId="0BB7A3C1">
      <w:pPr>
        <w:pStyle w:val="5"/>
        <w:tabs>
          <w:tab w:val="left" w:pos="425"/>
        </w:tabs>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地下水</w:t>
      </w:r>
      <w:r>
        <w:rPr>
          <w:rFonts w:hint="default" w:ascii="Times New Roman" w:hAnsi="Times New Roman" w:cs="Times New Roman"/>
          <w:highlight w:val="none"/>
        </w:rPr>
        <w:t>平行盲样质量控制</w:t>
      </w:r>
    </w:p>
    <w:p w14:paraId="23DE0139">
      <w:pPr>
        <w:spacing w:line="360" w:lineRule="auto"/>
        <w:ind w:left="1" w:firstLine="480" w:firstLineChars="200"/>
        <w:rPr>
          <w:rFonts w:hint="default" w:ascii="Times New Roman" w:hAnsi="Times New Roman" w:cs="Times New Roman"/>
          <w:snapToGrid w:val="0"/>
          <w:color w:val="000000"/>
          <w:kern w:val="0"/>
          <w:sz w:val="24"/>
          <w:highlight w:val="none"/>
          <w:lang w:val="en-US" w:eastAsia="zh-CN"/>
        </w:rPr>
      </w:pPr>
      <w:r>
        <w:rPr>
          <w:rFonts w:hint="default" w:ascii="Times New Roman" w:hAnsi="Times New Roman" w:cs="Times New Roman"/>
          <w:snapToGrid w:val="0"/>
          <w:color w:val="000000"/>
          <w:kern w:val="0"/>
          <w:sz w:val="24"/>
          <w:highlight w:val="none"/>
        </w:rPr>
        <w:t>样品现场采集过程中，</w:t>
      </w:r>
      <w:r>
        <w:rPr>
          <w:rFonts w:hint="default" w:ascii="Times New Roman" w:hAnsi="Times New Roman" w:cs="Times New Roman"/>
          <w:snapToGrid w:val="0"/>
          <w:color w:val="000000"/>
          <w:kern w:val="0"/>
          <w:sz w:val="24"/>
          <w:highlight w:val="none"/>
          <w:lang w:eastAsia="zh-CN"/>
        </w:rPr>
        <w:t>五个工业园区（即华容创业园、三江港</w:t>
      </w:r>
      <w:r>
        <w:rPr>
          <w:rFonts w:hint="eastAsia" w:cs="Times New Roman"/>
          <w:snapToGrid w:val="0"/>
          <w:color w:val="000000"/>
          <w:kern w:val="0"/>
          <w:sz w:val="24"/>
          <w:highlight w:val="none"/>
          <w:lang w:val="en-US" w:eastAsia="zh-CN"/>
        </w:rPr>
        <w:t>经济区</w:t>
      </w:r>
      <w:r>
        <w:rPr>
          <w:rFonts w:hint="default" w:ascii="Times New Roman" w:hAnsi="Times New Roman" w:cs="Times New Roman"/>
          <w:snapToGrid w:val="0"/>
          <w:color w:val="000000"/>
          <w:kern w:val="0"/>
          <w:sz w:val="24"/>
          <w:highlight w:val="none"/>
          <w:lang w:eastAsia="zh-CN"/>
        </w:rPr>
        <w:t>、</w:t>
      </w:r>
      <w:r>
        <w:rPr>
          <w:rFonts w:hint="eastAsia" w:cs="Times New Roman"/>
          <w:snapToGrid w:val="0"/>
          <w:color w:val="000000"/>
          <w:kern w:val="0"/>
          <w:sz w:val="24"/>
          <w:highlight w:val="none"/>
          <w:lang w:val="en-US" w:eastAsia="zh-CN"/>
        </w:rPr>
        <w:t>城东产业园（鄂城新区））</w:t>
      </w:r>
      <w:r>
        <w:rPr>
          <w:rFonts w:hint="default" w:ascii="Times New Roman" w:hAnsi="Times New Roman" w:cs="Times New Roman"/>
          <w:snapToGrid w:val="0"/>
          <w:color w:val="000000"/>
          <w:kern w:val="0"/>
          <w:sz w:val="24"/>
          <w:highlight w:val="none"/>
          <w:lang w:eastAsia="zh-CN"/>
        </w:rPr>
        <w:t>、鄂州经济开发区、花湖</w:t>
      </w:r>
      <w:r>
        <w:rPr>
          <w:rFonts w:hint="eastAsia" w:cs="Times New Roman"/>
          <w:snapToGrid w:val="0"/>
          <w:color w:val="000000"/>
          <w:kern w:val="0"/>
          <w:sz w:val="24"/>
          <w:highlight w:val="none"/>
          <w:lang w:val="en-US" w:eastAsia="zh-CN"/>
        </w:rPr>
        <w:t>开发区</w:t>
      </w:r>
      <w:r>
        <w:rPr>
          <w:rFonts w:hint="default" w:ascii="Times New Roman" w:hAnsi="Times New Roman" w:cs="Times New Roman"/>
          <w:snapToGrid w:val="0"/>
          <w:color w:val="000000"/>
          <w:kern w:val="0"/>
          <w:sz w:val="24"/>
          <w:highlight w:val="none"/>
          <w:lang w:eastAsia="zh-CN"/>
        </w:rPr>
        <w:t>）共</w:t>
      </w:r>
      <w:r>
        <w:rPr>
          <w:rFonts w:hint="default" w:ascii="Times New Roman" w:hAnsi="Times New Roman" w:cs="Times New Roman"/>
          <w:snapToGrid w:val="0"/>
          <w:color w:val="000000"/>
          <w:kern w:val="0"/>
          <w:sz w:val="24"/>
          <w:highlight w:val="none"/>
          <w:lang w:val="en-US" w:eastAsia="zh-CN"/>
        </w:rPr>
        <w:t>10个地下水点位均于2020年10月28日同批次采集和送检</w:t>
      </w:r>
      <w:r>
        <w:rPr>
          <w:rFonts w:hint="default" w:ascii="Times New Roman" w:hAnsi="Times New Roman" w:cs="Times New Roman"/>
          <w:snapToGrid w:val="0"/>
          <w:color w:val="000000"/>
          <w:kern w:val="0"/>
          <w:sz w:val="24"/>
          <w:highlight w:val="none"/>
        </w:rPr>
        <w:t>。</w:t>
      </w:r>
      <w:r>
        <w:rPr>
          <w:rFonts w:hint="default" w:ascii="Times New Roman" w:hAnsi="Times New Roman" w:cs="Times New Roman"/>
          <w:snapToGrid w:val="0"/>
          <w:color w:val="000000"/>
          <w:kern w:val="0"/>
          <w:sz w:val="24"/>
          <w:highlight w:val="none"/>
          <w:lang w:eastAsia="zh-CN"/>
        </w:rPr>
        <w:t>根据《地下水环境监测技术</w:t>
      </w:r>
      <w:r>
        <w:rPr>
          <w:rFonts w:hint="default" w:ascii="Times New Roman" w:hAnsi="Times New Roman" w:cs="Times New Roman"/>
          <w:snapToGrid w:val="0"/>
          <w:color w:val="000000"/>
          <w:kern w:val="0"/>
          <w:sz w:val="24"/>
          <w:highlight w:val="none"/>
          <w:lang w:val="en-US" w:eastAsia="zh-CN"/>
        </w:rPr>
        <w:t>规范（HJT 164-2004）》要求，采集了1个地下水平行样。因此，本报告地下水平行样质量控制引用《鄂州市工业园区周边土壤质量调查评估报告</w:t>
      </w:r>
      <w:r>
        <w:rPr>
          <w:rFonts w:hint="eastAsia" w:cs="Times New Roman"/>
          <w:snapToGrid w:val="0"/>
          <w:color w:val="000000"/>
          <w:kern w:val="0"/>
          <w:sz w:val="24"/>
          <w:highlight w:val="none"/>
          <w:lang w:val="en-US" w:eastAsia="zh-CN"/>
        </w:rPr>
        <w:t>（2020年）</w:t>
      </w:r>
      <w:r>
        <w:rPr>
          <w:rFonts w:hint="default" w:ascii="Times New Roman" w:hAnsi="Times New Roman" w:cs="Times New Roman"/>
          <w:snapToGrid w:val="0"/>
          <w:color w:val="000000"/>
          <w:kern w:val="0"/>
          <w:sz w:val="24"/>
          <w:highlight w:val="none"/>
          <w:lang w:val="en-US" w:eastAsia="zh-CN"/>
        </w:rPr>
        <w:t>——鄂州经济开发区》中内容。</w:t>
      </w:r>
    </w:p>
    <w:p w14:paraId="34348A2D">
      <w:pPr>
        <w:spacing w:line="360" w:lineRule="auto"/>
        <w:ind w:left="1" w:firstLine="480" w:firstLineChars="200"/>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本次</w:t>
      </w:r>
      <w:r>
        <w:rPr>
          <w:rFonts w:hint="default" w:ascii="Times New Roman" w:hAnsi="Times New Roman" w:cs="Times New Roman"/>
          <w:color w:val="000000"/>
          <w:sz w:val="24"/>
          <w:highlight w:val="none"/>
          <w:lang w:eastAsia="zh-CN"/>
        </w:rPr>
        <w:t>地下水</w:t>
      </w:r>
      <w:r>
        <w:rPr>
          <w:rFonts w:hint="default" w:ascii="Times New Roman" w:hAnsi="Times New Roman" w:cs="Times New Roman"/>
          <w:color w:val="000000"/>
          <w:sz w:val="24"/>
          <w:highlight w:val="none"/>
        </w:rPr>
        <w:t>样测试项目中</w:t>
      </w:r>
      <w:r>
        <w:rPr>
          <w:rFonts w:hint="default" w:ascii="Times New Roman" w:hAnsi="Times New Roman" w:cs="Times New Roman"/>
          <w:color w:val="000000"/>
          <w:sz w:val="24"/>
          <w:highlight w:val="none"/>
          <w:lang w:eastAsia="zh-CN"/>
        </w:rPr>
        <w:t>未检出项目包括：铜、铝、锌、铬（总）、汞、砷、硒、铅、镉、铬（六价）、氰化物、挥发酚、硫化物、</w:t>
      </w:r>
      <w:r>
        <w:rPr>
          <w:rFonts w:hint="eastAsia" w:cs="Times New Roman"/>
          <w:color w:val="000000"/>
          <w:sz w:val="24"/>
          <w:highlight w:val="none"/>
          <w:lang w:eastAsia="zh-CN"/>
        </w:rPr>
        <w:t>氯仿</w:t>
      </w:r>
      <w:r>
        <w:rPr>
          <w:rFonts w:hint="default" w:ascii="Times New Roman" w:hAnsi="Times New Roman" w:cs="Times New Roman"/>
          <w:color w:val="000000"/>
          <w:sz w:val="24"/>
          <w:highlight w:val="none"/>
          <w:lang w:eastAsia="zh-CN"/>
        </w:rPr>
        <w:t>、四氯化碳、苯、甲苯，</w:t>
      </w:r>
      <w:r>
        <w:rPr>
          <w:rFonts w:hint="default" w:ascii="Times New Roman" w:hAnsi="Times New Roman" w:cs="Times New Roman"/>
          <w:color w:val="000000"/>
          <w:sz w:val="24"/>
          <w:highlight w:val="none"/>
        </w:rPr>
        <w:t>因此</w:t>
      </w:r>
      <w:r>
        <w:rPr>
          <w:rFonts w:hint="default" w:ascii="Times New Roman" w:hAnsi="Times New Roman" w:cs="Times New Roman"/>
          <w:color w:val="000000"/>
          <w:sz w:val="24"/>
          <w:highlight w:val="none"/>
          <w:lang w:eastAsia="zh-CN"/>
        </w:rPr>
        <w:t>以上指标</w:t>
      </w:r>
      <w:r>
        <w:rPr>
          <w:rFonts w:hint="default" w:ascii="Times New Roman" w:hAnsi="Times New Roman" w:cs="Times New Roman"/>
          <w:color w:val="000000"/>
          <w:sz w:val="24"/>
          <w:highlight w:val="none"/>
        </w:rPr>
        <w:t>不进行相对偏差的分析</w:t>
      </w:r>
      <w:r>
        <w:rPr>
          <w:rFonts w:hint="default" w:ascii="Times New Roman" w:hAnsi="Times New Roman" w:cs="Times New Roman"/>
          <w:color w:val="000000"/>
          <w:sz w:val="24"/>
          <w:highlight w:val="none"/>
          <w:lang w:eastAsia="zh-CN"/>
        </w:rPr>
        <w:t>。可</w:t>
      </w:r>
      <w:r>
        <w:rPr>
          <w:rFonts w:hint="default" w:ascii="Times New Roman" w:hAnsi="Times New Roman" w:cs="Times New Roman"/>
          <w:color w:val="000000"/>
          <w:sz w:val="24"/>
          <w:highlight w:val="none"/>
        </w:rPr>
        <w:t>检出</w:t>
      </w:r>
      <w:r>
        <w:rPr>
          <w:rFonts w:hint="default" w:ascii="Times New Roman" w:hAnsi="Times New Roman" w:cs="Times New Roman"/>
          <w:color w:val="000000"/>
          <w:sz w:val="24"/>
          <w:highlight w:val="none"/>
          <w:lang w:eastAsia="zh-CN"/>
        </w:rPr>
        <w:t>指标的</w:t>
      </w:r>
      <w:r>
        <w:rPr>
          <w:rFonts w:hint="default" w:ascii="Times New Roman" w:hAnsi="Times New Roman" w:cs="Times New Roman"/>
          <w:color w:val="000000"/>
          <w:sz w:val="24"/>
          <w:highlight w:val="none"/>
        </w:rPr>
        <w:t>相对偏差在0%~</w:t>
      </w:r>
      <w:r>
        <w:rPr>
          <w:rFonts w:hint="default" w:ascii="Times New Roman" w:hAnsi="Times New Roman" w:cs="Times New Roman"/>
          <w:color w:val="000000"/>
          <w:sz w:val="24"/>
          <w:highlight w:val="none"/>
          <w:lang w:val="en-US" w:eastAsia="zh-CN"/>
        </w:rPr>
        <w:t>5.88</w:t>
      </w:r>
      <w:r>
        <w:rPr>
          <w:rFonts w:hint="default" w:ascii="Times New Roman" w:hAnsi="Times New Roman" w:cs="Times New Roman"/>
          <w:color w:val="000000"/>
          <w:sz w:val="24"/>
          <w:highlight w:val="none"/>
        </w:rPr>
        <w:t>%，在允许范围内，具体质控结果见表</w:t>
      </w:r>
      <w:r>
        <w:rPr>
          <w:rFonts w:hint="default" w:ascii="Times New Roman" w:hAnsi="Times New Roman" w:cs="Times New Roman"/>
          <w:color w:val="000000"/>
          <w:sz w:val="24"/>
          <w:highlight w:val="none"/>
          <w:lang w:eastAsia="zh-CN"/>
        </w:rPr>
        <w:t>4-5</w:t>
      </w:r>
      <w:r>
        <w:rPr>
          <w:rFonts w:hint="default" w:ascii="Times New Roman" w:hAnsi="Times New Roman" w:cs="Times New Roman"/>
          <w:color w:val="000000"/>
          <w:sz w:val="24"/>
          <w:highlight w:val="none"/>
        </w:rPr>
        <w:t>-</w:t>
      </w:r>
      <w:r>
        <w:rPr>
          <w:rFonts w:hint="default" w:ascii="Times New Roman" w:hAnsi="Times New Roman" w:cs="Times New Roman"/>
          <w:color w:val="000000"/>
          <w:sz w:val="24"/>
          <w:highlight w:val="none"/>
          <w:lang w:val="en-US" w:eastAsia="zh-CN"/>
        </w:rPr>
        <w:t>4</w:t>
      </w:r>
      <w:r>
        <w:rPr>
          <w:rFonts w:hint="default" w:ascii="Times New Roman" w:hAnsi="Times New Roman" w:cs="Times New Roman"/>
          <w:color w:val="000000"/>
          <w:sz w:val="24"/>
          <w:highlight w:val="none"/>
        </w:rPr>
        <w:t>。</w:t>
      </w:r>
    </w:p>
    <w:p w14:paraId="696B5CE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highlight w:val="none"/>
        </w:rPr>
      </w:pPr>
      <w:r>
        <w:rPr>
          <w:rFonts w:hint="default" w:ascii="Times New Roman" w:hAnsi="Times New Roman" w:eastAsia="黑体" w:cs="Times New Roman"/>
          <w:b/>
          <w:bCs/>
          <w:color w:val="000000"/>
          <w:sz w:val="24"/>
          <w:highlight w:val="none"/>
        </w:rPr>
        <w:t>表</w:t>
      </w:r>
      <w:r>
        <w:rPr>
          <w:rFonts w:hint="default" w:ascii="Times New Roman" w:hAnsi="Times New Roman" w:eastAsia="黑体" w:cs="Times New Roman"/>
          <w:b/>
          <w:bCs/>
          <w:color w:val="000000"/>
          <w:sz w:val="24"/>
          <w:highlight w:val="none"/>
          <w:lang w:eastAsia="zh-CN"/>
        </w:rPr>
        <w:t>4-5</w:t>
      </w:r>
      <w:r>
        <w:rPr>
          <w:rFonts w:hint="default" w:ascii="Times New Roman" w:hAnsi="Times New Roman" w:eastAsia="黑体" w:cs="Times New Roman"/>
          <w:b/>
          <w:bCs/>
          <w:color w:val="000000"/>
          <w:sz w:val="24"/>
          <w:highlight w:val="none"/>
        </w:rPr>
        <w:t>-</w:t>
      </w:r>
      <w:r>
        <w:rPr>
          <w:rFonts w:hint="default" w:ascii="Times New Roman" w:hAnsi="Times New Roman" w:eastAsia="黑体" w:cs="Times New Roman"/>
          <w:b/>
          <w:bCs/>
          <w:color w:val="000000"/>
          <w:sz w:val="24"/>
          <w:highlight w:val="none"/>
          <w:lang w:val="en-US" w:eastAsia="zh-CN"/>
        </w:rPr>
        <w:t>4 地下水</w:t>
      </w:r>
      <w:r>
        <w:rPr>
          <w:rFonts w:hint="default" w:ascii="Times New Roman" w:hAnsi="Times New Roman" w:eastAsia="黑体" w:cs="Times New Roman"/>
          <w:b/>
          <w:bCs/>
          <w:color w:val="000000"/>
          <w:sz w:val="24"/>
          <w:highlight w:val="none"/>
        </w:rPr>
        <w:t>平行盲样质控结果分析</w:t>
      </w:r>
    </w:p>
    <w:tbl>
      <w:tblPr>
        <w:tblStyle w:val="21"/>
        <w:tblW w:w="961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80"/>
        <w:gridCol w:w="2035"/>
        <w:gridCol w:w="1406"/>
        <w:gridCol w:w="5"/>
        <w:gridCol w:w="1411"/>
        <w:gridCol w:w="1515"/>
        <w:gridCol w:w="1080"/>
        <w:gridCol w:w="1080"/>
      </w:tblGrid>
      <w:tr w14:paraId="233F9F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restart"/>
            <w:tcBorders>
              <w:bottom w:val="single" w:color="auto" w:sz="12" w:space="0"/>
            </w:tcBorders>
            <w:shd w:val="clear" w:color="auto" w:fill="auto"/>
            <w:noWrap/>
            <w:tcMar>
              <w:top w:w="15" w:type="dxa"/>
              <w:left w:w="15" w:type="dxa"/>
              <w:right w:w="15" w:type="dxa"/>
            </w:tcMar>
            <w:vAlign w:val="center"/>
          </w:tcPr>
          <w:p w14:paraId="09B2E3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样品类型</w:t>
            </w:r>
          </w:p>
        </w:tc>
        <w:tc>
          <w:tcPr>
            <w:tcW w:w="2035" w:type="dxa"/>
            <w:vMerge w:val="restart"/>
            <w:tcBorders>
              <w:bottom w:val="single" w:color="auto" w:sz="12" w:space="0"/>
            </w:tcBorders>
            <w:shd w:val="clear" w:color="auto" w:fill="auto"/>
            <w:noWrap/>
            <w:tcMar>
              <w:top w:w="15" w:type="dxa"/>
              <w:left w:w="15" w:type="dxa"/>
              <w:right w:w="15" w:type="dxa"/>
            </w:tcMar>
            <w:vAlign w:val="center"/>
          </w:tcPr>
          <w:p w14:paraId="01E71A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监测项目</w:t>
            </w:r>
          </w:p>
        </w:tc>
        <w:tc>
          <w:tcPr>
            <w:tcW w:w="2822" w:type="dxa"/>
            <w:gridSpan w:val="3"/>
            <w:tcBorders>
              <w:bottom w:val="single" w:color="auto" w:sz="4" w:space="0"/>
            </w:tcBorders>
            <w:shd w:val="clear" w:color="auto" w:fill="auto"/>
            <w:noWrap/>
            <w:tcMar>
              <w:top w:w="15" w:type="dxa"/>
              <w:left w:w="15" w:type="dxa"/>
              <w:right w:w="15" w:type="dxa"/>
            </w:tcMar>
            <w:vAlign w:val="center"/>
          </w:tcPr>
          <w:p w14:paraId="192A0A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监测结果</w:t>
            </w:r>
          </w:p>
        </w:tc>
        <w:tc>
          <w:tcPr>
            <w:tcW w:w="1515" w:type="dxa"/>
            <w:vMerge w:val="restart"/>
            <w:tcBorders>
              <w:bottom w:val="single" w:color="auto" w:sz="12" w:space="0"/>
            </w:tcBorders>
            <w:shd w:val="clear" w:color="auto" w:fill="auto"/>
            <w:noWrap/>
            <w:tcMar>
              <w:top w:w="15" w:type="dxa"/>
              <w:left w:w="15" w:type="dxa"/>
              <w:right w:w="15" w:type="dxa"/>
            </w:tcMar>
            <w:vAlign w:val="center"/>
          </w:tcPr>
          <w:p w14:paraId="49E0F7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相对偏差</w:t>
            </w:r>
          </w:p>
        </w:tc>
        <w:tc>
          <w:tcPr>
            <w:tcW w:w="1080" w:type="dxa"/>
            <w:vMerge w:val="restart"/>
            <w:tcBorders>
              <w:bottom w:val="single" w:color="auto" w:sz="12" w:space="0"/>
            </w:tcBorders>
            <w:shd w:val="clear" w:color="auto" w:fill="auto"/>
            <w:noWrap/>
            <w:tcMar>
              <w:top w:w="15" w:type="dxa"/>
              <w:left w:w="15" w:type="dxa"/>
              <w:right w:w="15" w:type="dxa"/>
            </w:tcMar>
            <w:vAlign w:val="center"/>
          </w:tcPr>
          <w:p w14:paraId="54B30D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质控要求</w:t>
            </w:r>
            <w:r>
              <w:rPr>
                <w:rFonts w:hint="default" w:ascii="Times New Roman" w:hAnsi="Times New Roman" w:cs="Times New Roman"/>
                <w:b/>
                <w:i w:val="0"/>
                <w:color w:val="000000"/>
                <w:kern w:val="0"/>
                <w:sz w:val="21"/>
                <w:szCs w:val="21"/>
                <w:highlight w:val="none"/>
                <w:u w:val="none"/>
                <w:vertAlign w:val="superscript"/>
                <w:lang w:val="en-US" w:eastAsia="zh-CN" w:bidi="ar"/>
              </w:rPr>
              <w:t>①</w:t>
            </w:r>
          </w:p>
        </w:tc>
        <w:tc>
          <w:tcPr>
            <w:tcW w:w="1080" w:type="dxa"/>
            <w:vMerge w:val="restart"/>
            <w:tcBorders>
              <w:bottom w:val="single" w:color="auto" w:sz="12" w:space="0"/>
            </w:tcBorders>
            <w:shd w:val="clear" w:color="auto" w:fill="auto"/>
            <w:noWrap/>
            <w:tcMar>
              <w:top w:w="15" w:type="dxa"/>
              <w:left w:w="15" w:type="dxa"/>
              <w:right w:w="15" w:type="dxa"/>
            </w:tcMar>
            <w:vAlign w:val="center"/>
          </w:tcPr>
          <w:p w14:paraId="565D32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结果判定</w:t>
            </w:r>
          </w:p>
        </w:tc>
      </w:tr>
      <w:tr w14:paraId="283F5A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continue"/>
            <w:tcBorders>
              <w:top w:val="single" w:color="auto" w:sz="12" w:space="0"/>
              <w:bottom w:val="single" w:color="auto" w:sz="12" w:space="0"/>
              <w:tl2br w:val="nil"/>
              <w:tr2bl w:val="nil"/>
            </w:tcBorders>
            <w:shd w:val="clear" w:color="auto" w:fill="auto"/>
            <w:noWrap/>
            <w:tcMar>
              <w:top w:w="15" w:type="dxa"/>
              <w:left w:w="15" w:type="dxa"/>
              <w:right w:w="15" w:type="dxa"/>
            </w:tcMar>
            <w:vAlign w:val="center"/>
          </w:tcPr>
          <w:p w14:paraId="57D4DBB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i w:val="0"/>
                <w:color w:val="000000"/>
                <w:sz w:val="21"/>
                <w:szCs w:val="21"/>
                <w:highlight w:val="none"/>
                <w:u w:val="none"/>
              </w:rPr>
            </w:pPr>
          </w:p>
        </w:tc>
        <w:tc>
          <w:tcPr>
            <w:tcW w:w="2035" w:type="dxa"/>
            <w:vMerge w:val="continue"/>
            <w:tcBorders>
              <w:top w:val="single" w:color="auto" w:sz="12" w:space="0"/>
              <w:bottom w:val="single" w:color="auto" w:sz="12" w:space="0"/>
              <w:tl2br w:val="nil"/>
              <w:tr2bl w:val="nil"/>
            </w:tcBorders>
            <w:shd w:val="clear" w:color="auto" w:fill="auto"/>
            <w:noWrap/>
            <w:tcMar>
              <w:top w:w="15" w:type="dxa"/>
              <w:left w:w="15" w:type="dxa"/>
              <w:right w:w="15" w:type="dxa"/>
            </w:tcMar>
            <w:vAlign w:val="center"/>
          </w:tcPr>
          <w:p w14:paraId="1A434F5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i w:val="0"/>
                <w:color w:val="000000"/>
                <w:sz w:val="21"/>
                <w:szCs w:val="21"/>
                <w:highlight w:val="none"/>
                <w:u w:val="none"/>
              </w:rPr>
            </w:pPr>
          </w:p>
        </w:tc>
        <w:tc>
          <w:tcPr>
            <w:tcW w:w="1406" w:type="dxa"/>
            <w:tcBorders>
              <w:top w:val="single" w:color="auto" w:sz="4" w:space="0"/>
              <w:bottom w:val="single" w:color="auto" w:sz="12" w:space="0"/>
            </w:tcBorders>
            <w:shd w:val="clear" w:color="auto" w:fill="auto"/>
            <w:noWrap/>
            <w:tcMar>
              <w:top w:w="15" w:type="dxa"/>
              <w:left w:w="15" w:type="dxa"/>
              <w:right w:w="15" w:type="dxa"/>
            </w:tcMar>
            <w:vAlign w:val="center"/>
          </w:tcPr>
          <w:p w14:paraId="1C6888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EJK-W2</w:t>
            </w:r>
          </w:p>
        </w:tc>
        <w:tc>
          <w:tcPr>
            <w:tcW w:w="1416" w:type="dxa"/>
            <w:gridSpan w:val="2"/>
            <w:tcBorders>
              <w:top w:val="single" w:color="auto" w:sz="4" w:space="0"/>
              <w:bottom w:val="single" w:color="auto" w:sz="12" w:space="0"/>
            </w:tcBorders>
            <w:shd w:val="clear" w:color="auto" w:fill="auto"/>
            <w:noWrap/>
            <w:tcMar>
              <w:top w:w="15" w:type="dxa"/>
              <w:left w:w="15" w:type="dxa"/>
              <w:right w:w="15" w:type="dxa"/>
            </w:tcMar>
            <w:vAlign w:val="center"/>
          </w:tcPr>
          <w:p w14:paraId="54B75C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kern w:val="0"/>
                <w:sz w:val="21"/>
                <w:szCs w:val="21"/>
                <w:highlight w:val="none"/>
                <w:u w:val="none"/>
                <w:lang w:val="en-US" w:eastAsia="zh-CN" w:bidi="ar"/>
              </w:rPr>
            </w:pPr>
            <w:r>
              <w:rPr>
                <w:rFonts w:hint="default"/>
                <w:b/>
                <w:color w:val="000000"/>
                <w:kern w:val="0"/>
                <w:sz w:val="21"/>
                <w:szCs w:val="21"/>
                <w:highlight w:val="none"/>
                <w:lang w:bidi="ar"/>
              </w:rPr>
              <w:t>EJK-W2</w:t>
            </w:r>
            <w:r>
              <w:rPr>
                <w:rFonts w:hint="eastAsia"/>
                <w:b/>
                <w:color w:val="000000"/>
                <w:kern w:val="0"/>
                <w:sz w:val="21"/>
                <w:szCs w:val="21"/>
                <w:highlight w:val="none"/>
                <w:lang w:bidi="ar"/>
              </w:rPr>
              <w:t>-px</w:t>
            </w:r>
          </w:p>
        </w:tc>
        <w:tc>
          <w:tcPr>
            <w:tcW w:w="1515" w:type="dxa"/>
            <w:vMerge w:val="continue"/>
            <w:tcBorders>
              <w:top w:val="single" w:color="auto" w:sz="12" w:space="0"/>
              <w:bottom w:val="single" w:color="auto" w:sz="12" w:space="0"/>
              <w:tl2br w:val="nil"/>
              <w:tr2bl w:val="nil"/>
            </w:tcBorders>
            <w:shd w:val="clear" w:color="auto" w:fill="auto"/>
            <w:noWrap/>
            <w:tcMar>
              <w:top w:w="15" w:type="dxa"/>
              <w:left w:w="15" w:type="dxa"/>
              <w:right w:w="15" w:type="dxa"/>
            </w:tcMar>
            <w:vAlign w:val="center"/>
          </w:tcPr>
          <w:p w14:paraId="195B923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i w:val="0"/>
                <w:color w:val="000000"/>
                <w:sz w:val="21"/>
                <w:szCs w:val="21"/>
                <w:highlight w:val="none"/>
                <w:u w:val="none"/>
              </w:rPr>
            </w:pPr>
          </w:p>
        </w:tc>
        <w:tc>
          <w:tcPr>
            <w:tcW w:w="1080" w:type="dxa"/>
            <w:vMerge w:val="continue"/>
            <w:tcBorders>
              <w:top w:val="single" w:color="auto" w:sz="12" w:space="0"/>
              <w:bottom w:val="single" w:color="auto" w:sz="12" w:space="0"/>
              <w:tl2br w:val="nil"/>
              <w:tr2bl w:val="nil"/>
            </w:tcBorders>
            <w:shd w:val="clear" w:color="auto" w:fill="auto"/>
            <w:noWrap/>
            <w:tcMar>
              <w:top w:w="15" w:type="dxa"/>
              <w:left w:w="15" w:type="dxa"/>
              <w:right w:w="15" w:type="dxa"/>
            </w:tcMar>
            <w:vAlign w:val="center"/>
          </w:tcPr>
          <w:p w14:paraId="3AD0D6F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i w:val="0"/>
                <w:color w:val="000000"/>
                <w:sz w:val="21"/>
                <w:szCs w:val="21"/>
                <w:highlight w:val="none"/>
                <w:u w:val="none"/>
              </w:rPr>
            </w:pPr>
          </w:p>
        </w:tc>
        <w:tc>
          <w:tcPr>
            <w:tcW w:w="1080" w:type="dxa"/>
            <w:vMerge w:val="continue"/>
            <w:tcBorders>
              <w:top w:val="single" w:color="auto" w:sz="12" w:space="0"/>
              <w:bottom w:val="single" w:color="auto" w:sz="12" w:space="0"/>
              <w:tl2br w:val="nil"/>
              <w:tr2bl w:val="nil"/>
            </w:tcBorders>
            <w:shd w:val="clear" w:color="auto" w:fill="auto"/>
            <w:noWrap/>
            <w:tcMar>
              <w:top w:w="15" w:type="dxa"/>
              <w:left w:w="15" w:type="dxa"/>
              <w:right w:w="15" w:type="dxa"/>
            </w:tcMar>
            <w:vAlign w:val="center"/>
          </w:tcPr>
          <w:p w14:paraId="0A0FDFA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i w:val="0"/>
                <w:color w:val="000000"/>
                <w:sz w:val="21"/>
                <w:szCs w:val="21"/>
                <w:highlight w:val="none"/>
                <w:u w:val="none"/>
              </w:rPr>
            </w:pPr>
          </w:p>
        </w:tc>
      </w:tr>
      <w:tr w14:paraId="223BE5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restart"/>
            <w:tcBorders>
              <w:top w:val="single" w:color="auto" w:sz="12" w:space="0"/>
            </w:tcBorders>
            <w:shd w:val="clear" w:color="auto" w:fill="auto"/>
            <w:noWrap/>
            <w:tcMar>
              <w:top w:w="15" w:type="dxa"/>
              <w:left w:w="15" w:type="dxa"/>
              <w:right w:w="15" w:type="dxa"/>
            </w:tcMar>
            <w:vAlign w:val="center"/>
          </w:tcPr>
          <w:p w14:paraId="1E5FE7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地下水</w:t>
            </w:r>
          </w:p>
        </w:tc>
        <w:tc>
          <w:tcPr>
            <w:tcW w:w="2035" w:type="dxa"/>
            <w:tcBorders>
              <w:top w:val="single" w:color="auto" w:sz="12" w:space="0"/>
            </w:tcBorders>
            <w:shd w:val="clear" w:color="auto" w:fill="auto"/>
            <w:noWrap/>
            <w:tcMar>
              <w:top w:w="15" w:type="dxa"/>
              <w:left w:w="15" w:type="dxa"/>
              <w:right w:w="15" w:type="dxa"/>
            </w:tcMar>
            <w:vAlign w:val="center"/>
          </w:tcPr>
          <w:p w14:paraId="77B5A5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总硬度</w:t>
            </w:r>
          </w:p>
        </w:tc>
        <w:tc>
          <w:tcPr>
            <w:tcW w:w="1411" w:type="dxa"/>
            <w:gridSpan w:val="2"/>
            <w:tcBorders>
              <w:top w:val="single" w:color="auto" w:sz="12" w:space="0"/>
            </w:tcBorders>
            <w:shd w:val="clear" w:color="auto" w:fill="auto"/>
            <w:noWrap/>
            <w:tcMar>
              <w:top w:w="15" w:type="dxa"/>
              <w:left w:w="15" w:type="dxa"/>
              <w:right w:w="15" w:type="dxa"/>
            </w:tcMar>
            <w:vAlign w:val="center"/>
          </w:tcPr>
          <w:p w14:paraId="125207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671</w:t>
            </w:r>
          </w:p>
        </w:tc>
        <w:tc>
          <w:tcPr>
            <w:tcW w:w="1411" w:type="dxa"/>
            <w:tcBorders>
              <w:top w:val="single" w:color="auto" w:sz="12" w:space="0"/>
            </w:tcBorders>
            <w:shd w:val="clear" w:color="auto" w:fill="auto"/>
            <w:noWrap/>
            <w:tcMar>
              <w:top w:w="15" w:type="dxa"/>
              <w:left w:w="15" w:type="dxa"/>
              <w:right w:w="15" w:type="dxa"/>
            </w:tcMar>
            <w:vAlign w:val="center"/>
          </w:tcPr>
          <w:p w14:paraId="7B8979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676</w:t>
            </w:r>
          </w:p>
        </w:tc>
        <w:tc>
          <w:tcPr>
            <w:tcW w:w="1515" w:type="dxa"/>
            <w:tcBorders>
              <w:top w:val="single" w:color="auto" w:sz="12" w:space="0"/>
            </w:tcBorders>
            <w:shd w:val="clear" w:color="auto" w:fill="auto"/>
            <w:noWrap/>
            <w:tcMar>
              <w:top w:w="15" w:type="dxa"/>
              <w:left w:w="15" w:type="dxa"/>
              <w:right w:w="15" w:type="dxa"/>
            </w:tcMar>
            <w:vAlign w:val="center"/>
          </w:tcPr>
          <w:p w14:paraId="29D620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0.37%</w:t>
            </w:r>
          </w:p>
        </w:tc>
        <w:tc>
          <w:tcPr>
            <w:tcW w:w="1080" w:type="dxa"/>
            <w:tcBorders>
              <w:top w:val="single" w:color="auto" w:sz="12" w:space="0"/>
            </w:tcBorders>
            <w:shd w:val="clear" w:color="auto" w:fill="auto"/>
            <w:noWrap/>
            <w:tcMar>
              <w:top w:w="15" w:type="dxa"/>
              <w:left w:w="15" w:type="dxa"/>
              <w:right w:w="15" w:type="dxa"/>
            </w:tcMar>
            <w:vAlign w:val="center"/>
          </w:tcPr>
          <w:p w14:paraId="1D77A2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w:t>
            </w:r>
          </w:p>
        </w:tc>
        <w:tc>
          <w:tcPr>
            <w:tcW w:w="1080" w:type="dxa"/>
            <w:tcBorders>
              <w:top w:val="single" w:color="auto" w:sz="12" w:space="0"/>
            </w:tcBorders>
            <w:shd w:val="clear" w:color="auto" w:fill="auto"/>
            <w:noWrap/>
            <w:tcMar>
              <w:top w:w="15" w:type="dxa"/>
              <w:left w:w="15" w:type="dxa"/>
              <w:right w:w="15" w:type="dxa"/>
            </w:tcMar>
            <w:vAlign w:val="center"/>
          </w:tcPr>
          <w:p w14:paraId="429C92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合格</w:t>
            </w:r>
          </w:p>
        </w:tc>
      </w:tr>
      <w:tr w14:paraId="76EF1B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5DA03F6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719380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溶解性总固体</w:t>
            </w:r>
          </w:p>
        </w:tc>
        <w:tc>
          <w:tcPr>
            <w:tcW w:w="1411" w:type="dxa"/>
            <w:gridSpan w:val="2"/>
            <w:tcBorders>
              <w:tl2br w:val="nil"/>
              <w:tr2bl w:val="nil"/>
            </w:tcBorders>
            <w:shd w:val="clear" w:color="auto" w:fill="auto"/>
            <w:noWrap/>
            <w:tcMar>
              <w:top w:w="15" w:type="dxa"/>
              <w:left w:w="15" w:type="dxa"/>
              <w:right w:w="15" w:type="dxa"/>
            </w:tcMar>
            <w:vAlign w:val="center"/>
          </w:tcPr>
          <w:p w14:paraId="3D1894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908</w:t>
            </w:r>
          </w:p>
        </w:tc>
        <w:tc>
          <w:tcPr>
            <w:tcW w:w="1411" w:type="dxa"/>
            <w:tcBorders>
              <w:tl2br w:val="nil"/>
              <w:tr2bl w:val="nil"/>
            </w:tcBorders>
            <w:shd w:val="clear" w:color="auto" w:fill="auto"/>
            <w:noWrap/>
            <w:tcMar>
              <w:top w:w="15" w:type="dxa"/>
              <w:left w:w="15" w:type="dxa"/>
              <w:right w:w="15" w:type="dxa"/>
            </w:tcMar>
            <w:vAlign w:val="center"/>
          </w:tcPr>
          <w:p w14:paraId="3EA78E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903</w:t>
            </w:r>
          </w:p>
        </w:tc>
        <w:tc>
          <w:tcPr>
            <w:tcW w:w="1515" w:type="dxa"/>
            <w:tcBorders>
              <w:tl2br w:val="nil"/>
              <w:tr2bl w:val="nil"/>
            </w:tcBorders>
            <w:shd w:val="clear" w:color="auto" w:fill="auto"/>
            <w:noWrap/>
            <w:tcMar>
              <w:top w:w="15" w:type="dxa"/>
              <w:left w:w="15" w:type="dxa"/>
              <w:right w:w="15" w:type="dxa"/>
            </w:tcMar>
            <w:vAlign w:val="center"/>
          </w:tcPr>
          <w:p w14:paraId="31BF53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0.28%</w:t>
            </w:r>
          </w:p>
        </w:tc>
        <w:tc>
          <w:tcPr>
            <w:tcW w:w="1080" w:type="dxa"/>
            <w:tcBorders>
              <w:tl2br w:val="nil"/>
              <w:tr2bl w:val="nil"/>
            </w:tcBorders>
            <w:shd w:val="clear" w:color="auto" w:fill="auto"/>
            <w:noWrap/>
            <w:tcMar>
              <w:top w:w="15" w:type="dxa"/>
              <w:left w:w="15" w:type="dxa"/>
              <w:right w:w="15" w:type="dxa"/>
            </w:tcMar>
            <w:vAlign w:val="center"/>
          </w:tcPr>
          <w:p w14:paraId="357286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w:t>
            </w:r>
          </w:p>
        </w:tc>
        <w:tc>
          <w:tcPr>
            <w:tcW w:w="1080" w:type="dxa"/>
            <w:tcBorders>
              <w:tl2br w:val="nil"/>
              <w:tr2bl w:val="nil"/>
            </w:tcBorders>
            <w:shd w:val="clear" w:color="auto" w:fill="auto"/>
            <w:noWrap/>
            <w:tcMar>
              <w:top w:w="15" w:type="dxa"/>
              <w:left w:w="15" w:type="dxa"/>
              <w:right w:w="15" w:type="dxa"/>
            </w:tcMar>
            <w:vAlign w:val="center"/>
          </w:tcPr>
          <w:p w14:paraId="40E62B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合格</w:t>
            </w:r>
          </w:p>
        </w:tc>
      </w:tr>
      <w:tr w14:paraId="5B591A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5A23F56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2C9AF7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耗氧量</w:t>
            </w:r>
          </w:p>
        </w:tc>
        <w:tc>
          <w:tcPr>
            <w:tcW w:w="1411" w:type="dxa"/>
            <w:gridSpan w:val="2"/>
            <w:tcBorders>
              <w:tl2br w:val="nil"/>
              <w:tr2bl w:val="nil"/>
            </w:tcBorders>
            <w:shd w:val="clear" w:color="auto" w:fill="auto"/>
            <w:noWrap/>
            <w:tcMar>
              <w:top w:w="15" w:type="dxa"/>
              <w:left w:w="15" w:type="dxa"/>
              <w:right w:w="15" w:type="dxa"/>
            </w:tcMar>
            <w:vAlign w:val="center"/>
          </w:tcPr>
          <w:p w14:paraId="3363C4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4.62</w:t>
            </w:r>
          </w:p>
        </w:tc>
        <w:tc>
          <w:tcPr>
            <w:tcW w:w="1411" w:type="dxa"/>
            <w:tcBorders>
              <w:tl2br w:val="nil"/>
              <w:tr2bl w:val="nil"/>
            </w:tcBorders>
            <w:shd w:val="clear" w:color="auto" w:fill="auto"/>
            <w:noWrap/>
            <w:tcMar>
              <w:top w:w="15" w:type="dxa"/>
              <w:left w:w="15" w:type="dxa"/>
              <w:right w:w="15" w:type="dxa"/>
            </w:tcMar>
            <w:vAlign w:val="center"/>
          </w:tcPr>
          <w:p w14:paraId="2DB96B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4.7</w:t>
            </w:r>
          </w:p>
        </w:tc>
        <w:tc>
          <w:tcPr>
            <w:tcW w:w="1515" w:type="dxa"/>
            <w:tcBorders>
              <w:tl2br w:val="nil"/>
              <w:tr2bl w:val="nil"/>
            </w:tcBorders>
            <w:shd w:val="clear" w:color="auto" w:fill="auto"/>
            <w:noWrap/>
            <w:tcMar>
              <w:top w:w="15" w:type="dxa"/>
              <w:left w:w="15" w:type="dxa"/>
              <w:right w:w="15" w:type="dxa"/>
            </w:tcMar>
            <w:vAlign w:val="center"/>
          </w:tcPr>
          <w:p w14:paraId="24D621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0.86%</w:t>
            </w:r>
          </w:p>
        </w:tc>
        <w:tc>
          <w:tcPr>
            <w:tcW w:w="1080" w:type="dxa"/>
            <w:tcBorders>
              <w:tl2br w:val="nil"/>
              <w:tr2bl w:val="nil"/>
            </w:tcBorders>
            <w:shd w:val="clear" w:color="auto" w:fill="auto"/>
            <w:noWrap/>
            <w:tcMar>
              <w:top w:w="15" w:type="dxa"/>
              <w:left w:w="15" w:type="dxa"/>
              <w:right w:w="15" w:type="dxa"/>
            </w:tcMar>
            <w:vAlign w:val="center"/>
          </w:tcPr>
          <w:p w14:paraId="0CB260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w:t>
            </w:r>
          </w:p>
        </w:tc>
        <w:tc>
          <w:tcPr>
            <w:tcW w:w="1080" w:type="dxa"/>
            <w:tcBorders>
              <w:tl2br w:val="nil"/>
              <w:tr2bl w:val="nil"/>
            </w:tcBorders>
            <w:shd w:val="clear" w:color="auto" w:fill="auto"/>
            <w:noWrap/>
            <w:tcMar>
              <w:top w:w="15" w:type="dxa"/>
              <w:left w:w="15" w:type="dxa"/>
              <w:right w:w="15" w:type="dxa"/>
            </w:tcMar>
            <w:vAlign w:val="center"/>
          </w:tcPr>
          <w:p w14:paraId="46FA8B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合格</w:t>
            </w:r>
          </w:p>
        </w:tc>
      </w:tr>
      <w:tr w14:paraId="41E6FE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15B2359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51EB7A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硫酸盐</w:t>
            </w:r>
          </w:p>
        </w:tc>
        <w:tc>
          <w:tcPr>
            <w:tcW w:w="1411" w:type="dxa"/>
            <w:gridSpan w:val="2"/>
            <w:tcBorders>
              <w:tl2br w:val="nil"/>
              <w:tr2bl w:val="nil"/>
            </w:tcBorders>
            <w:shd w:val="clear" w:color="auto" w:fill="auto"/>
            <w:noWrap/>
            <w:tcMar>
              <w:top w:w="15" w:type="dxa"/>
              <w:left w:w="15" w:type="dxa"/>
              <w:right w:w="15" w:type="dxa"/>
            </w:tcMar>
            <w:vAlign w:val="center"/>
          </w:tcPr>
          <w:p w14:paraId="588CF7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1.22</w:t>
            </w:r>
          </w:p>
        </w:tc>
        <w:tc>
          <w:tcPr>
            <w:tcW w:w="1411" w:type="dxa"/>
            <w:tcBorders>
              <w:tl2br w:val="nil"/>
              <w:tr2bl w:val="nil"/>
            </w:tcBorders>
            <w:shd w:val="clear" w:color="auto" w:fill="auto"/>
            <w:noWrap/>
            <w:tcMar>
              <w:top w:w="15" w:type="dxa"/>
              <w:left w:w="15" w:type="dxa"/>
              <w:right w:w="15" w:type="dxa"/>
            </w:tcMar>
            <w:vAlign w:val="center"/>
          </w:tcPr>
          <w:p w14:paraId="76F8D1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1.22</w:t>
            </w:r>
          </w:p>
        </w:tc>
        <w:tc>
          <w:tcPr>
            <w:tcW w:w="1515" w:type="dxa"/>
            <w:tcBorders>
              <w:tl2br w:val="nil"/>
              <w:tr2bl w:val="nil"/>
            </w:tcBorders>
            <w:shd w:val="clear" w:color="auto" w:fill="auto"/>
            <w:noWrap/>
            <w:tcMar>
              <w:top w:w="15" w:type="dxa"/>
              <w:left w:w="15" w:type="dxa"/>
              <w:right w:w="15" w:type="dxa"/>
            </w:tcMar>
            <w:vAlign w:val="center"/>
          </w:tcPr>
          <w:p w14:paraId="67D53D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w:t>
            </w:r>
          </w:p>
        </w:tc>
        <w:tc>
          <w:tcPr>
            <w:tcW w:w="1080" w:type="dxa"/>
            <w:tcBorders>
              <w:tl2br w:val="nil"/>
              <w:tr2bl w:val="nil"/>
            </w:tcBorders>
            <w:shd w:val="clear" w:color="auto" w:fill="auto"/>
            <w:noWrap/>
            <w:tcMar>
              <w:top w:w="15" w:type="dxa"/>
              <w:left w:w="15" w:type="dxa"/>
              <w:right w:w="15" w:type="dxa"/>
            </w:tcMar>
            <w:vAlign w:val="center"/>
          </w:tcPr>
          <w:p w14:paraId="2653CC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w:t>
            </w:r>
          </w:p>
        </w:tc>
        <w:tc>
          <w:tcPr>
            <w:tcW w:w="1080" w:type="dxa"/>
            <w:tcBorders>
              <w:tl2br w:val="nil"/>
              <w:tr2bl w:val="nil"/>
            </w:tcBorders>
            <w:shd w:val="clear" w:color="auto" w:fill="auto"/>
            <w:noWrap/>
            <w:tcMar>
              <w:top w:w="15" w:type="dxa"/>
              <w:left w:w="15" w:type="dxa"/>
              <w:right w:w="15" w:type="dxa"/>
            </w:tcMar>
            <w:vAlign w:val="center"/>
          </w:tcPr>
          <w:p w14:paraId="19FAE5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合格</w:t>
            </w:r>
          </w:p>
        </w:tc>
      </w:tr>
      <w:tr w14:paraId="00212D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6528FF4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5DC37C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硝酸盐(以氮计)</w:t>
            </w:r>
          </w:p>
        </w:tc>
        <w:tc>
          <w:tcPr>
            <w:tcW w:w="1411" w:type="dxa"/>
            <w:gridSpan w:val="2"/>
            <w:tcBorders>
              <w:tl2br w:val="nil"/>
              <w:tr2bl w:val="nil"/>
            </w:tcBorders>
            <w:shd w:val="clear" w:color="auto" w:fill="auto"/>
            <w:noWrap/>
            <w:tcMar>
              <w:top w:w="15" w:type="dxa"/>
              <w:left w:w="15" w:type="dxa"/>
              <w:right w:w="15" w:type="dxa"/>
            </w:tcMar>
            <w:vAlign w:val="center"/>
          </w:tcPr>
          <w:p w14:paraId="47A91C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0.78</w:t>
            </w:r>
          </w:p>
        </w:tc>
        <w:tc>
          <w:tcPr>
            <w:tcW w:w="1411" w:type="dxa"/>
            <w:tcBorders>
              <w:tl2br w:val="nil"/>
              <w:tr2bl w:val="nil"/>
            </w:tcBorders>
            <w:shd w:val="clear" w:color="auto" w:fill="auto"/>
            <w:noWrap/>
            <w:tcMar>
              <w:top w:w="15" w:type="dxa"/>
              <w:left w:w="15" w:type="dxa"/>
              <w:right w:w="15" w:type="dxa"/>
            </w:tcMar>
            <w:vAlign w:val="center"/>
          </w:tcPr>
          <w:p w14:paraId="4BC5EB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0.813</w:t>
            </w:r>
          </w:p>
        </w:tc>
        <w:tc>
          <w:tcPr>
            <w:tcW w:w="1515" w:type="dxa"/>
            <w:tcBorders>
              <w:tl2br w:val="nil"/>
              <w:tr2bl w:val="nil"/>
            </w:tcBorders>
            <w:shd w:val="clear" w:color="auto" w:fill="auto"/>
            <w:noWrap/>
            <w:tcMar>
              <w:top w:w="15" w:type="dxa"/>
              <w:left w:w="15" w:type="dxa"/>
              <w:right w:w="15" w:type="dxa"/>
            </w:tcMar>
            <w:vAlign w:val="center"/>
          </w:tcPr>
          <w:p w14:paraId="3D3CFD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2.07%</w:t>
            </w:r>
          </w:p>
        </w:tc>
        <w:tc>
          <w:tcPr>
            <w:tcW w:w="1080" w:type="dxa"/>
            <w:tcBorders>
              <w:tl2br w:val="nil"/>
              <w:tr2bl w:val="nil"/>
            </w:tcBorders>
            <w:shd w:val="clear" w:color="auto" w:fill="auto"/>
            <w:noWrap/>
            <w:tcMar>
              <w:top w:w="15" w:type="dxa"/>
              <w:left w:w="15" w:type="dxa"/>
              <w:right w:w="15" w:type="dxa"/>
            </w:tcMar>
            <w:vAlign w:val="center"/>
          </w:tcPr>
          <w:p w14:paraId="15A28A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w:t>
            </w:r>
          </w:p>
        </w:tc>
        <w:tc>
          <w:tcPr>
            <w:tcW w:w="1080" w:type="dxa"/>
            <w:tcBorders>
              <w:tl2br w:val="nil"/>
              <w:tr2bl w:val="nil"/>
            </w:tcBorders>
            <w:shd w:val="clear" w:color="auto" w:fill="auto"/>
            <w:noWrap/>
            <w:tcMar>
              <w:top w:w="15" w:type="dxa"/>
              <w:left w:w="15" w:type="dxa"/>
              <w:right w:w="15" w:type="dxa"/>
            </w:tcMar>
            <w:vAlign w:val="center"/>
          </w:tcPr>
          <w:p w14:paraId="06FA7F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合格</w:t>
            </w:r>
          </w:p>
        </w:tc>
      </w:tr>
      <w:tr w14:paraId="303691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2BD4F41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57BC66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氯化物</w:t>
            </w:r>
          </w:p>
        </w:tc>
        <w:tc>
          <w:tcPr>
            <w:tcW w:w="1411" w:type="dxa"/>
            <w:gridSpan w:val="2"/>
            <w:tcBorders>
              <w:tl2br w:val="nil"/>
              <w:tr2bl w:val="nil"/>
            </w:tcBorders>
            <w:shd w:val="clear" w:color="auto" w:fill="auto"/>
            <w:noWrap/>
            <w:tcMar>
              <w:top w:w="15" w:type="dxa"/>
              <w:left w:w="15" w:type="dxa"/>
              <w:right w:w="15" w:type="dxa"/>
            </w:tcMar>
            <w:vAlign w:val="center"/>
          </w:tcPr>
          <w:p w14:paraId="65FBB4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13.2</w:t>
            </w:r>
          </w:p>
        </w:tc>
        <w:tc>
          <w:tcPr>
            <w:tcW w:w="1411" w:type="dxa"/>
            <w:tcBorders>
              <w:tl2br w:val="nil"/>
              <w:tr2bl w:val="nil"/>
            </w:tcBorders>
            <w:shd w:val="clear" w:color="auto" w:fill="auto"/>
            <w:noWrap/>
            <w:tcMar>
              <w:top w:w="15" w:type="dxa"/>
              <w:left w:w="15" w:type="dxa"/>
              <w:right w:w="15" w:type="dxa"/>
            </w:tcMar>
            <w:vAlign w:val="center"/>
          </w:tcPr>
          <w:p w14:paraId="7DD7AF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13.3</w:t>
            </w:r>
          </w:p>
        </w:tc>
        <w:tc>
          <w:tcPr>
            <w:tcW w:w="1515" w:type="dxa"/>
            <w:tcBorders>
              <w:tl2br w:val="nil"/>
              <w:tr2bl w:val="nil"/>
            </w:tcBorders>
            <w:shd w:val="clear" w:color="auto" w:fill="auto"/>
            <w:noWrap/>
            <w:tcMar>
              <w:top w:w="15" w:type="dxa"/>
              <w:left w:w="15" w:type="dxa"/>
              <w:right w:w="15" w:type="dxa"/>
            </w:tcMar>
            <w:vAlign w:val="center"/>
          </w:tcPr>
          <w:p w14:paraId="5FC38A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0.38%</w:t>
            </w:r>
          </w:p>
        </w:tc>
        <w:tc>
          <w:tcPr>
            <w:tcW w:w="1080" w:type="dxa"/>
            <w:tcBorders>
              <w:tl2br w:val="nil"/>
              <w:tr2bl w:val="nil"/>
            </w:tcBorders>
            <w:shd w:val="clear" w:color="auto" w:fill="auto"/>
            <w:noWrap/>
            <w:tcMar>
              <w:top w:w="15" w:type="dxa"/>
              <w:left w:w="15" w:type="dxa"/>
              <w:right w:w="15" w:type="dxa"/>
            </w:tcMar>
            <w:vAlign w:val="center"/>
          </w:tcPr>
          <w:p w14:paraId="562AD6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w:t>
            </w:r>
          </w:p>
        </w:tc>
        <w:tc>
          <w:tcPr>
            <w:tcW w:w="1080" w:type="dxa"/>
            <w:tcBorders>
              <w:tl2br w:val="nil"/>
              <w:tr2bl w:val="nil"/>
            </w:tcBorders>
            <w:shd w:val="clear" w:color="auto" w:fill="auto"/>
            <w:noWrap/>
            <w:tcMar>
              <w:top w:w="15" w:type="dxa"/>
              <w:left w:w="15" w:type="dxa"/>
              <w:right w:w="15" w:type="dxa"/>
            </w:tcMar>
            <w:vAlign w:val="center"/>
          </w:tcPr>
          <w:p w14:paraId="70326D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合格</w:t>
            </w:r>
          </w:p>
        </w:tc>
      </w:tr>
      <w:tr w14:paraId="6B351D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2C40DD6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1E2C99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eastAsia" w:cs="Times New Roman"/>
                <w:i w:val="0"/>
                <w:color w:val="000000"/>
                <w:kern w:val="0"/>
                <w:sz w:val="21"/>
                <w:szCs w:val="21"/>
                <w:highlight w:val="none"/>
                <w:u w:val="none"/>
                <w:lang w:val="en-US" w:eastAsia="zh-CN" w:bidi="ar"/>
              </w:rPr>
              <w:t>总氟化物</w:t>
            </w:r>
          </w:p>
        </w:tc>
        <w:tc>
          <w:tcPr>
            <w:tcW w:w="1411" w:type="dxa"/>
            <w:gridSpan w:val="2"/>
            <w:tcBorders>
              <w:tl2br w:val="nil"/>
              <w:tr2bl w:val="nil"/>
            </w:tcBorders>
            <w:shd w:val="clear" w:color="auto" w:fill="auto"/>
            <w:noWrap/>
            <w:tcMar>
              <w:top w:w="15" w:type="dxa"/>
              <w:left w:w="15" w:type="dxa"/>
              <w:right w:w="15" w:type="dxa"/>
            </w:tcMar>
            <w:vAlign w:val="center"/>
          </w:tcPr>
          <w:p w14:paraId="1AA6D5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0.166</w:t>
            </w:r>
          </w:p>
        </w:tc>
        <w:tc>
          <w:tcPr>
            <w:tcW w:w="1411" w:type="dxa"/>
            <w:tcBorders>
              <w:tl2br w:val="nil"/>
              <w:tr2bl w:val="nil"/>
            </w:tcBorders>
            <w:shd w:val="clear" w:color="auto" w:fill="auto"/>
            <w:noWrap/>
            <w:tcMar>
              <w:top w:w="15" w:type="dxa"/>
              <w:left w:w="15" w:type="dxa"/>
              <w:right w:w="15" w:type="dxa"/>
            </w:tcMar>
            <w:vAlign w:val="center"/>
          </w:tcPr>
          <w:p w14:paraId="3B4B985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0.168</w:t>
            </w:r>
          </w:p>
        </w:tc>
        <w:tc>
          <w:tcPr>
            <w:tcW w:w="1515" w:type="dxa"/>
            <w:tcBorders>
              <w:tl2br w:val="nil"/>
              <w:tr2bl w:val="nil"/>
            </w:tcBorders>
            <w:shd w:val="clear" w:color="auto" w:fill="auto"/>
            <w:noWrap/>
            <w:tcMar>
              <w:top w:w="15" w:type="dxa"/>
              <w:left w:w="15" w:type="dxa"/>
              <w:right w:w="15" w:type="dxa"/>
            </w:tcMar>
            <w:vAlign w:val="center"/>
          </w:tcPr>
          <w:p w14:paraId="577CCD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0.60%</w:t>
            </w:r>
          </w:p>
        </w:tc>
        <w:tc>
          <w:tcPr>
            <w:tcW w:w="1080" w:type="dxa"/>
            <w:tcBorders>
              <w:tl2br w:val="nil"/>
              <w:tr2bl w:val="nil"/>
            </w:tcBorders>
            <w:shd w:val="clear" w:color="auto" w:fill="auto"/>
            <w:noWrap/>
            <w:tcMar>
              <w:top w:w="15" w:type="dxa"/>
              <w:left w:w="15" w:type="dxa"/>
              <w:right w:w="15" w:type="dxa"/>
            </w:tcMar>
            <w:vAlign w:val="center"/>
          </w:tcPr>
          <w:p w14:paraId="793041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w:t>
            </w:r>
          </w:p>
        </w:tc>
        <w:tc>
          <w:tcPr>
            <w:tcW w:w="1080" w:type="dxa"/>
            <w:tcBorders>
              <w:tl2br w:val="nil"/>
              <w:tr2bl w:val="nil"/>
            </w:tcBorders>
            <w:shd w:val="clear" w:color="auto" w:fill="auto"/>
            <w:noWrap/>
            <w:tcMar>
              <w:top w:w="15" w:type="dxa"/>
              <w:left w:w="15" w:type="dxa"/>
              <w:right w:w="15" w:type="dxa"/>
            </w:tcMar>
            <w:vAlign w:val="center"/>
          </w:tcPr>
          <w:p w14:paraId="29C011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合格</w:t>
            </w:r>
          </w:p>
        </w:tc>
      </w:tr>
      <w:tr w14:paraId="7F3BDE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0D6BEC5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1BB780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阴离子表面活性剂</w:t>
            </w:r>
          </w:p>
        </w:tc>
        <w:tc>
          <w:tcPr>
            <w:tcW w:w="1411" w:type="dxa"/>
            <w:gridSpan w:val="2"/>
            <w:tcBorders>
              <w:tl2br w:val="nil"/>
              <w:tr2bl w:val="nil"/>
            </w:tcBorders>
            <w:shd w:val="clear" w:color="auto" w:fill="auto"/>
            <w:noWrap/>
            <w:tcMar>
              <w:top w:w="15" w:type="dxa"/>
              <w:left w:w="15" w:type="dxa"/>
              <w:right w:w="15" w:type="dxa"/>
            </w:tcMar>
            <w:vAlign w:val="center"/>
          </w:tcPr>
          <w:p w14:paraId="3CE5D8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0.056</w:t>
            </w:r>
          </w:p>
        </w:tc>
        <w:tc>
          <w:tcPr>
            <w:tcW w:w="1411" w:type="dxa"/>
            <w:tcBorders>
              <w:tl2br w:val="nil"/>
              <w:tr2bl w:val="nil"/>
            </w:tcBorders>
            <w:shd w:val="clear" w:color="auto" w:fill="auto"/>
            <w:noWrap/>
            <w:tcMar>
              <w:top w:w="15" w:type="dxa"/>
              <w:left w:w="15" w:type="dxa"/>
              <w:right w:w="15" w:type="dxa"/>
            </w:tcMar>
            <w:vAlign w:val="center"/>
          </w:tcPr>
          <w:p w14:paraId="3A8909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0.058</w:t>
            </w:r>
          </w:p>
        </w:tc>
        <w:tc>
          <w:tcPr>
            <w:tcW w:w="1515" w:type="dxa"/>
            <w:tcBorders>
              <w:tl2br w:val="nil"/>
              <w:tr2bl w:val="nil"/>
            </w:tcBorders>
            <w:shd w:val="clear" w:color="auto" w:fill="auto"/>
            <w:noWrap/>
            <w:tcMar>
              <w:top w:w="15" w:type="dxa"/>
              <w:left w:w="15" w:type="dxa"/>
              <w:right w:w="15" w:type="dxa"/>
            </w:tcMar>
            <w:vAlign w:val="center"/>
          </w:tcPr>
          <w:p w14:paraId="3FED52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1.75%</w:t>
            </w:r>
          </w:p>
        </w:tc>
        <w:tc>
          <w:tcPr>
            <w:tcW w:w="1080" w:type="dxa"/>
            <w:tcBorders>
              <w:tl2br w:val="nil"/>
              <w:tr2bl w:val="nil"/>
            </w:tcBorders>
            <w:shd w:val="clear" w:color="auto" w:fill="auto"/>
            <w:noWrap/>
            <w:tcMar>
              <w:top w:w="15" w:type="dxa"/>
              <w:left w:w="15" w:type="dxa"/>
              <w:right w:w="15" w:type="dxa"/>
            </w:tcMar>
            <w:vAlign w:val="center"/>
          </w:tcPr>
          <w:p w14:paraId="24F784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4A9DF0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合格</w:t>
            </w:r>
          </w:p>
        </w:tc>
      </w:tr>
      <w:tr w14:paraId="1F3DD5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2413431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2DD56D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氨氮</w:t>
            </w:r>
          </w:p>
        </w:tc>
        <w:tc>
          <w:tcPr>
            <w:tcW w:w="1411" w:type="dxa"/>
            <w:gridSpan w:val="2"/>
            <w:tcBorders>
              <w:tl2br w:val="nil"/>
              <w:tr2bl w:val="nil"/>
            </w:tcBorders>
            <w:shd w:val="clear" w:color="auto" w:fill="auto"/>
            <w:noWrap/>
            <w:tcMar>
              <w:top w:w="15" w:type="dxa"/>
              <w:left w:w="15" w:type="dxa"/>
              <w:right w:w="15" w:type="dxa"/>
            </w:tcMar>
            <w:vAlign w:val="center"/>
          </w:tcPr>
          <w:p w14:paraId="67E1D6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0.08</w:t>
            </w:r>
          </w:p>
        </w:tc>
        <w:tc>
          <w:tcPr>
            <w:tcW w:w="1411" w:type="dxa"/>
            <w:tcBorders>
              <w:tl2br w:val="nil"/>
              <w:tr2bl w:val="nil"/>
            </w:tcBorders>
            <w:shd w:val="clear" w:color="auto" w:fill="auto"/>
            <w:noWrap/>
            <w:tcMar>
              <w:top w:w="15" w:type="dxa"/>
              <w:left w:w="15" w:type="dxa"/>
              <w:right w:w="15" w:type="dxa"/>
            </w:tcMar>
            <w:vAlign w:val="center"/>
          </w:tcPr>
          <w:p w14:paraId="51C643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0.09</w:t>
            </w:r>
          </w:p>
        </w:tc>
        <w:tc>
          <w:tcPr>
            <w:tcW w:w="1515" w:type="dxa"/>
            <w:tcBorders>
              <w:tl2br w:val="nil"/>
              <w:tr2bl w:val="nil"/>
            </w:tcBorders>
            <w:shd w:val="clear" w:color="auto" w:fill="auto"/>
            <w:noWrap/>
            <w:tcMar>
              <w:top w:w="15" w:type="dxa"/>
              <w:left w:w="15" w:type="dxa"/>
              <w:right w:w="15" w:type="dxa"/>
            </w:tcMar>
            <w:vAlign w:val="center"/>
          </w:tcPr>
          <w:p w14:paraId="33E4A1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5.88%</w:t>
            </w:r>
          </w:p>
        </w:tc>
        <w:tc>
          <w:tcPr>
            <w:tcW w:w="1080" w:type="dxa"/>
            <w:tcBorders>
              <w:tl2br w:val="nil"/>
              <w:tr2bl w:val="nil"/>
            </w:tcBorders>
            <w:shd w:val="clear" w:color="auto" w:fill="auto"/>
            <w:noWrap/>
            <w:tcMar>
              <w:top w:w="15" w:type="dxa"/>
              <w:left w:w="15" w:type="dxa"/>
              <w:right w:w="15" w:type="dxa"/>
            </w:tcMar>
            <w:vAlign w:val="center"/>
          </w:tcPr>
          <w:p w14:paraId="49ACB3E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582124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合格</w:t>
            </w:r>
          </w:p>
        </w:tc>
      </w:tr>
      <w:tr w14:paraId="7CD7C2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49A8507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7562E6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亚硝酸盐氮</w:t>
            </w:r>
          </w:p>
        </w:tc>
        <w:tc>
          <w:tcPr>
            <w:tcW w:w="1411" w:type="dxa"/>
            <w:gridSpan w:val="2"/>
            <w:tcBorders>
              <w:tl2br w:val="nil"/>
              <w:tr2bl w:val="nil"/>
            </w:tcBorders>
            <w:shd w:val="clear" w:color="auto" w:fill="auto"/>
            <w:noWrap/>
            <w:tcMar>
              <w:top w:w="15" w:type="dxa"/>
              <w:left w:w="15" w:type="dxa"/>
              <w:right w:w="15" w:type="dxa"/>
            </w:tcMar>
            <w:vAlign w:val="center"/>
          </w:tcPr>
          <w:p w14:paraId="4A1BAAE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w:t>
            </w:r>
          </w:p>
        </w:tc>
        <w:tc>
          <w:tcPr>
            <w:tcW w:w="1411" w:type="dxa"/>
            <w:tcBorders>
              <w:tl2br w:val="nil"/>
              <w:tr2bl w:val="nil"/>
            </w:tcBorders>
            <w:shd w:val="clear" w:color="auto" w:fill="auto"/>
            <w:noWrap/>
            <w:tcMar>
              <w:top w:w="15" w:type="dxa"/>
              <w:left w:w="15" w:type="dxa"/>
              <w:right w:w="15" w:type="dxa"/>
            </w:tcMar>
            <w:vAlign w:val="center"/>
          </w:tcPr>
          <w:p w14:paraId="04C51B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w:t>
            </w:r>
          </w:p>
        </w:tc>
        <w:tc>
          <w:tcPr>
            <w:tcW w:w="1515" w:type="dxa"/>
            <w:tcBorders>
              <w:tl2br w:val="nil"/>
              <w:tr2bl w:val="nil"/>
            </w:tcBorders>
            <w:shd w:val="clear" w:color="auto" w:fill="auto"/>
            <w:noWrap/>
            <w:tcMar>
              <w:top w:w="15" w:type="dxa"/>
              <w:left w:w="15" w:type="dxa"/>
              <w:right w:w="15" w:type="dxa"/>
            </w:tcMar>
            <w:vAlign w:val="center"/>
          </w:tcPr>
          <w:p w14:paraId="26C7BF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w:t>
            </w:r>
          </w:p>
        </w:tc>
        <w:tc>
          <w:tcPr>
            <w:tcW w:w="1080" w:type="dxa"/>
            <w:tcBorders>
              <w:tl2br w:val="nil"/>
              <w:tr2bl w:val="nil"/>
            </w:tcBorders>
            <w:shd w:val="clear" w:color="auto" w:fill="auto"/>
            <w:noWrap/>
            <w:tcMar>
              <w:top w:w="15" w:type="dxa"/>
              <w:left w:w="15" w:type="dxa"/>
              <w:right w:w="15" w:type="dxa"/>
            </w:tcMar>
            <w:vAlign w:val="center"/>
          </w:tcPr>
          <w:p w14:paraId="211549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46326F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合格</w:t>
            </w:r>
          </w:p>
        </w:tc>
      </w:tr>
      <w:tr w14:paraId="3B443C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246D1D7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5A77B5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铁</w:t>
            </w:r>
          </w:p>
        </w:tc>
        <w:tc>
          <w:tcPr>
            <w:tcW w:w="1411" w:type="dxa"/>
            <w:gridSpan w:val="2"/>
            <w:tcBorders>
              <w:tl2br w:val="nil"/>
              <w:tr2bl w:val="nil"/>
            </w:tcBorders>
            <w:shd w:val="clear" w:color="auto" w:fill="auto"/>
            <w:noWrap/>
            <w:tcMar>
              <w:top w:w="15" w:type="dxa"/>
              <w:left w:w="15" w:type="dxa"/>
              <w:right w:w="15" w:type="dxa"/>
            </w:tcMar>
            <w:vAlign w:val="center"/>
          </w:tcPr>
          <w:p w14:paraId="211D44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0.061</w:t>
            </w:r>
          </w:p>
        </w:tc>
        <w:tc>
          <w:tcPr>
            <w:tcW w:w="1411" w:type="dxa"/>
            <w:tcBorders>
              <w:tl2br w:val="nil"/>
              <w:tr2bl w:val="nil"/>
            </w:tcBorders>
            <w:shd w:val="clear" w:color="auto" w:fill="auto"/>
            <w:noWrap/>
            <w:tcMar>
              <w:top w:w="15" w:type="dxa"/>
              <w:left w:w="15" w:type="dxa"/>
              <w:right w:w="15" w:type="dxa"/>
            </w:tcMar>
            <w:vAlign w:val="center"/>
          </w:tcPr>
          <w:p w14:paraId="30A2C9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w:t>
            </w:r>
          </w:p>
        </w:tc>
        <w:tc>
          <w:tcPr>
            <w:tcW w:w="1515" w:type="dxa"/>
            <w:tcBorders>
              <w:tl2br w:val="nil"/>
              <w:tr2bl w:val="nil"/>
            </w:tcBorders>
            <w:shd w:val="clear" w:color="auto" w:fill="auto"/>
            <w:noWrap/>
            <w:tcMar>
              <w:top w:w="15" w:type="dxa"/>
              <w:left w:w="15" w:type="dxa"/>
              <w:right w:w="15" w:type="dxa"/>
            </w:tcMar>
            <w:vAlign w:val="center"/>
          </w:tcPr>
          <w:p w14:paraId="771017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0.83%</w:t>
            </w:r>
          </w:p>
        </w:tc>
        <w:tc>
          <w:tcPr>
            <w:tcW w:w="1080" w:type="dxa"/>
            <w:tcBorders>
              <w:tl2br w:val="nil"/>
              <w:tr2bl w:val="nil"/>
            </w:tcBorders>
            <w:shd w:val="clear" w:color="auto" w:fill="auto"/>
            <w:noWrap/>
            <w:tcMar>
              <w:top w:w="15" w:type="dxa"/>
              <w:left w:w="15" w:type="dxa"/>
              <w:right w:w="15" w:type="dxa"/>
            </w:tcMar>
            <w:vAlign w:val="center"/>
          </w:tcPr>
          <w:p w14:paraId="4571B0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≤15%</w:t>
            </w:r>
          </w:p>
        </w:tc>
        <w:tc>
          <w:tcPr>
            <w:tcW w:w="1080" w:type="dxa"/>
            <w:tcBorders>
              <w:tl2br w:val="nil"/>
              <w:tr2bl w:val="nil"/>
            </w:tcBorders>
            <w:shd w:val="clear" w:color="auto" w:fill="auto"/>
            <w:noWrap/>
            <w:tcMar>
              <w:top w:w="15" w:type="dxa"/>
              <w:left w:w="15" w:type="dxa"/>
              <w:right w:w="15" w:type="dxa"/>
            </w:tcMar>
            <w:vAlign w:val="center"/>
          </w:tcPr>
          <w:p w14:paraId="2B038FE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合格</w:t>
            </w:r>
          </w:p>
        </w:tc>
      </w:tr>
      <w:tr w14:paraId="663F62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33D320D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0A5387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锰</w:t>
            </w:r>
          </w:p>
        </w:tc>
        <w:tc>
          <w:tcPr>
            <w:tcW w:w="1411" w:type="dxa"/>
            <w:gridSpan w:val="2"/>
            <w:tcBorders>
              <w:tl2br w:val="nil"/>
              <w:tr2bl w:val="nil"/>
            </w:tcBorders>
            <w:shd w:val="clear" w:color="auto" w:fill="auto"/>
            <w:noWrap/>
            <w:tcMar>
              <w:top w:w="15" w:type="dxa"/>
              <w:left w:w="15" w:type="dxa"/>
              <w:right w:w="15" w:type="dxa"/>
            </w:tcMar>
            <w:vAlign w:val="center"/>
          </w:tcPr>
          <w:p w14:paraId="38E012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1.84</w:t>
            </w:r>
          </w:p>
        </w:tc>
        <w:tc>
          <w:tcPr>
            <w:tcW w:w="1411" w:type="dxa"/>
            <w:tcBorders>
              <w:tl2br w:val="nil"/>
              <w:tr2bl w:val="nil"/>
            </w:tcBorders>
            <w:shd w:val="clear" w:color="auto" w:fill="auto"/>
            <w:noWrap/>
            <w:tcMar>
              <w:top w:w="15" w:type="dxa"/>
              <w:left w:w="15" w:type="dxa"/>
              <w:right w:w="15" w:type="dxa"/>
            </w:tcMar>
            <w:vAlign w:val="center"/>
          </w:tcPr>
          <w:p w14:paraId="1E2C3A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1.85</w:t>
            </w:r>
          </w:p>
        </w:tc>
        <w:tc>
          <w:tcPr>
            <w:tcW w:w="1515" w:type="dxa"/>
            <w:tcBorders>
              <w:tl2br w:val="nil"/>
              <w:tr2bl w:val="nil"/>
            </w:tcBorders>
            <w:shd w:val="clear" w:color="auto" w:fill="auto"/>
            <w:noWrap/>
            <w:tcMar>
              <w:top w:w="15" w:type="dxa"/>
              <w:left w:w="15" w:type="dxa"/>
              <w:right w:w="15" w:type="dxa"/>
            </w:tcMar>
            <w:vAlign w:val="center"/>
          </w:tcPr>
          <w:p w14:paraId="27BF4C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0.27%</w:t>
            </w:r>
          </w:p>
        </w:tc>
        <w:tc>
          <w:tcPr>
            <w:tcW w:w="1080" w:type="dxa"/>
            <w:tcBorders>
              <w:tl2br w:val="nil"/>
              <w:tr2bl w:val="nil"/>
            </w:tcBorders>
            <w:shd w:val="clear" w:color="auto" w:fill="auto"/>
            <w:noWrap/>
            <w:tcMar>
              <w:top w:w="15" w:type="dxa"/>
              <w:left w:w="15" w:type="dxa"/>
              <w:right w:w="15" w:type="dxa"/>
            </w:tcMar>
            <w:vAlign w:val="center"/>
          </w:tcPr>
          <w:p w14:paraId="3A88E9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w:t>
            </w:r>
          </w:p>
        </w:tc>
        <w:tc>
          <w:tcPr>
            <w:tcW w:w="1080" w:type="dxa"/>
            <w:tcBorders>
              <w:tl2br w:val="nil"/>
              <w:tr2bl w:val="nil"/>
            </w:tcBorders>
            <w:shd w:val="clear" w:color="auto" w:fill="auto"/>
            <w:noWrap/>
            <w:tcMar>
              <w:top w:w="15" w:type="dxa"/>
              <w:left w:w="15" w:type="dxa"/>
              <w:right w:w="15" w:type="dxa"/>
            </w:tcMar>
            <w:vAlign w:val="center"/>
          </w:tcPr>
          <w:p w14:paraId="798C16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合格</w:t>
            </w:r>
          </w:p>
        </w:tc>
      </w:tr>
      <w:tr w14:paraId="601800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214B3E0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7A3482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钠</w:t>
            </w:r>
          </w:p>
        </w:tc>
        <w:tc>
          <w:tcPr>
            <w:tcW w:w="1411" w:type="dxa"/>
            <w:gridSpan w:val="2"/>
            <w:tcBorders>
              <w:tl2br w:val="nil"/>
              <w:tr2bl w:val="nil"/>
            </w:tcBorders>
            <w:shd w:val="clear" w:color="auto" w:fill="auto"/>
            <w:noWrap/>
            <w:tcMar>
              <w:top w:w="15" w:type="dxa"/>
              <w:left w:w="15" w:type="dxa"/>
              <w:right w:w="15" w:type="dxa"/>
            </w:tcMar>
            <w:vAlign w:val="center"/>
          </w:tcPr>
          <w:p w14:paraId="22CBEA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49.4</w:t>
            </w:r>
          </w:p>
        </w:tc>
        <w:tc>
          <w:tcPr>
            <w:tcW w:w="1411" w:type="dxa"/>
            <w:tcBorders>
              <w:tl2br w:val="nil"/>
              <w:tr2bl w:val="nil"/>
            </w:tcBorders>
            <w:shd w:val="clear" w:color="auto" w:fill="auto"/>
            <w:noWrap/>
            <w:tcMar>
              <w:top w:w="15" w:type="dxa"/>
              <w:left w:w="15" w:type="dxa"/>
              <w:right w:w="15" w:type="dxa"/>
            </w:tcMar>
            <w:vAlign w:val="center"/>
          </w:tcPr>
          <w:p w14:paraId="206482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49.1</w:t>
            </w:r>
          </w:p>
        </w:tc>
        <w:tc>
          <w:tcPr>
            <w:tcW w:w="1515" w:type="dxa"/>
            <w:tcBorders>
              <w:tl2br w:val="nil"/>
              <w:tr2bl w:val="nil"/>
            </w:tcBorders>
            <w:shd w:val="clear" w:color="auto" w:fill="auto"/>
            <w:noWrap/>
            <w:tcMar>
              <w:top w:w="15" w:type="dxa"/>
              <w:left w:w="15" w:type="dxa"/>
              <w:right w:w="15" w:type="dxa"/>
            </w:tcMar>
            <w:vAlign w:val="center"/>
          </w:tcPr>
          <w:p w14:paraId="58E8A3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0.30%</w:t>
            </w:r>
          </w:p>
        </w:tc>
        <w:tc>
          <w:tcPr>
            <w:tcW w:w="1080" w:type="dxa"/>
            <w:tcBorders>
              <w:tl2br w:val="nil"/>
              <w:tr2bl w:val="nil"/>
            </w:tcBorders>
            <w:shd w:val="clear" w:color="auto" w:fill="auto"/>
            <w:noWrap/>
            <w:tcMar>
              <w:top w:w="15" w:type="dxa"/>
              <w:left w:w="15" w:type="dxa"/>
              <w:right w:w="15" w:type="dxa"/>
            </w:tcMar>
            <w:vAlign w:val="center"/>
          </w:tcPr>
          <w:p w14:paraId="0608AA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w:t>
            </w:r>
          </w:p>
        </w:tc>
        <w:tc>
          <w:tcPr>
            <w:tcW w:w="1080" w:type="dxa"/>
            <w:tcBorders>
              <w:tl2br w:val="nil"/>
              <w:tr2bl w:val="nil"/>
            </w:tcBorders>
            <w:shd w:val="clear" w:color="auto" w:fill="auto"/>
            <w:noWrap/>
            <w:tcMar>
              <w:top w:w="15" w:type="dxa"/>
              <w:left w:w="15" w:type="dxa"/>
              <w:right w:w="15" w:type="dxa"/>
            </w:tcMar>
            <w:vAlign w:val="center"/>
          </w:tcPr>
          <w:p w14:paraId="655AE2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合格</w:t>
            </w:r>
          </w:p>
        </w:tc>
      </w:tr>
      <w:tr w14:paraId="28E988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5F8F121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1DD697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砷</w:t>
            </w:r>
          </w:p>
        </w:tc>
        <w:tc>
          <w:tcPr>
            <w:tcW w:w="1411" w:type="dxa"/>
            <w:gridSpan w:val="2"/>
            <w:tcBorders>
              <w:tl2br w:val="nil"/>
              <w:tr2bl w:val="nil"/>
            </w:tcBorders>
            <w:shd w:val="clear" w:color="auto" w:fill="auto"/>
            <w:noWrap/>
            <w:tcMar>
              <w:top w:w="15" w:type="dxa"/>
              <w:left w:w="15" w:type="dxa"/>
              <w:right w:w="15" w:type="dxa"/>
            </w:tcMar>
            <w:vAlign w:val="center"/>
          </w:tcPr>
          <w:p w14:paraId="78A7EB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0.0232</w:t>
            </w:r>
          </w:p>
        </w:tc>
        <w:tc>
          <w:tcPr>
            <w:tcW w:w="1411" w:type="dxa"/>
            <w:tcBorders>
              <w:tl2br w:val="nil"/>
              <w:tr2bl w:val="nil"/>
            </w:tcBorders>
            <w:shd w:val="clear" w:color="auto" w:fill="auto"/>
            <w:noWrap/>
            <w:tcMar>
              <w:top w:w="15" w:type="dxa"/>
              <w:left w:w="15" w:type="dxa"/>
              <w:right w:w="15" w:type="dxa"/>
            </w:tcMar>
            <w:vAlign w:val="center"/>
          </w:tcPr>
          <w:p w14:paraId="0BC0F8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0.0242</w:t>
            </w:r>
          </w:p>
        </w:tc>
        <w:tc>
          <w:tcPr>
            <w:tcW w:w="1515" w:type="dxa"/>
            <w:tcBorders>
              <w:tl2br w:val="nil"/>
              <w:tr2bl w:val="nil"/>
            </w:tcBorders>
            <w:shd w:val="clear" w:color="auto" w:fill="auto"/>
            <w:noWrap/>
            <w:tcMar>
              <w:top w:w="15" w:type="dxa"/>
              <w:left w:w="15" w:type="dxa"/>
              <w:right w:w="15" w:type="dxa"/>
            </w:tcMar>
            <w:vAlign w:val="center"/>
          </w:tcPr>
          <w:p w14:paraId="51B39D7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2.11%</w:t>
            </w:r>
          </w:p>
        </w:tc>
        <w:tc>
          <w:tcPr>
            <w:tcW w:w="1080" w:type="dxa"/>
            <w:tcBorders>
              <w:tl2br w:val="nil"/>
              <w:tr2bl w:val="nil"/>
            </w:tcBorders>
            <w:shd w:val="clear" w:color="auto" w:fill="auto"/>
            <w:noWrap/>
            <w:tcMar>
              <w:top w:w="15" w:type="dxa"/>
              <w:left w:w="15" w:type="dxa"/>
              <w:right w:w="15" w:type="dxa"/>
            </w:tcMar>
            <w:vAlign w:val="center"/>
          </w:tcPr>
          <w:p w14:paraId="3FF1D0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62A417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合格</w:t>
            </w:r>
          </w:p>
        </w:tc>
      </w:tr>
      <w:tr w14:paraId="20A7B2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trPr>
        <w:tc>
          <w:tcPr>
            <w:tcW w:w="1080" w:type="dxa"/>
            <w:vMerge w:val="continue"/>
            <w:tcBorders>
              <w:tl2br w:val="nil"/>
              <w:tr2bl w:val="nil"/>
            </w:tcBorders>
            <w:shd w:val="clear" w:color="auto" w:fill="auto"/>
            <w:noWrap/>
            <w:tcMar>
              <w:top w:w="15" w:type="dxa"/>
              <w:left w:w="15" w:type="dxa"/>
              <w:right w:w="15" w:type="dxa"/>
            </w:tcMar>
            <w:vAlign w:val="center"/>
          </w:tcPr>
          <w:p w14:paraId="2B8A05C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c>
          <w:tcPr>
            <w:tcW w:w="2035" w:type="dxa"/>
            <w:tcBorders>
              <w:tl2br w:val="nil"/>
              <w:tr2bl w:val="nil"/>
            </w:tcBorders>
            <w:shd w:val="clear" w:color="auto" w:fill="auto"/>
            <w:noWrap/>
            <w:tcMar>
              <w:top w:w="15" w:type="dxa"/>
              <w:left w:w="15" w:type="dxa"/>
              <w:right w:w="15" w:type="dxa"/>
            </w:tcMar>
            <w:vAlign w:val="center"/>
          </w:tcPr>
          <w:p w14:paraId="0ACCEE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石油类</w:t>
            </w:r>
          </w:p>
        </w:tc>
        <w:tc>
          <w:tcPr>
            <w:tcW w:w="1411" w:type="dxa"/>
            <w:gridSpan w:val="2"/>
            <w:tcBorders>
              <w:tl2br w:val="nil"/>
              <w:tr2bl w:val="nil"/>
            </w:tcBorders>
            <w:shd w:val="clear" w:color="auto" w:fill="auto"/>
            <w:noWrap/>
            <w:tcMar>
              <w:top w:w="15" w:type="dxa"/>
              <w:left w:w="15" w:type="dxa"/>
              <w:right w:w="15" w:type="dxa"/>
            </w:tcMar>
            <w:vAlign w:val="center"/>
          </w:tcPr>
          <w:p w14:paraId="47CF3F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0.03</w:t>
            </w:r>
          </w:p>
        </w:tc>
        <w:tc>
          <w:tcPr>
            <w:tcW w:w="1411" w:type="dxa"/>
            <w:tcBorders>
              <w:tl2br w:val="nil"/>
              <w:tr2bl w:val="nil"/>
            </w:tcBorders>
            <w:shd w:val="clear" w:color="auto" w:fill="auto"/>
            <w:noWrap/>
            <w:tcMar>
              <w:top w:w="15" w:type="dxa"/>
              <w:left w:w="15" w:type="dxa"/>
              <w:right w:w="15" w:type="dxa"/>
            </w:tcMar>
            <w:vAlign w:val="center"/>
          </w:tcPr>
          <w:p w14:paraId="471469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0.03</w:t>
            </w:r>
          </w:p>
        </w:tc>
        <w:tc>
          <w:tcPr>
            <w:tcW w:w="1515" w:type="dxa"/>
            <w:tcBorders>
              <w:tl2br w:val="nil"/>
              <w:tr2bl w:val="nil"/>
            </w:tcBorders>
            <w:shd w:val="clear" w:color="auto" w:fill="auto"/>
            <w:noWrap/>
            <w:tcMar>
              <w:top w:w="15" w:type="dxa"/>
              <w:left w:w="15" w:type="dxa"/>
              <w:right w:w="15" w:type="dxa"/>
            </w:tcMar>
            <w:vAlign w:val="center"/>
          </w:tcPr>
          <w:p w14:paraId="61F168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w:t>
            </w:r>
          </w:p>
        </w:tc>
        <w:tc>
          <w:tcPr>
            <w:tcW w:w="1080" w:type="dxa"/>
            <w:tcBorders>
              <w:tl2br w:val="nil"/>
              <w:tr2bl w:val="nil"/>
            </w:tcBorders>
            <w:shd w:val="clear" w:color="auto" w:fill="auto"/>
            <w:noWrap/>
            <w:tcMar>
              <w:top w:w="15" w:type="dxa"/>
              <w:left w:w="15" w:type="dxa"/>
              <w:right w:w="15" w:type="dxa"/>
            </w:tcMar>
            <w:vAlign w:val="center"/>
          </w:tcPr>
          <w:p w14:paraId="2CEC30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≤20%</w:t>
            </w:r>
          </w:p>
        </w:tc>
        <w:tc>
          <w:tcPr>
            <w:tcW w:w="1080" w:type="dxa"/>
            <w:tcBorders>
              <w:tl2br w:val="nil"/>
              <w:tr2bl w:val="nil"/>
            </w:tcBorders>
            <w:shd w:val="clear" w:color="auto" w:fill="auto"/>
            <w:noWrap/>
            <w:tcMar>
              <w:top w:w="15" w:type="dxa"/>
              <w:left w:w="15" w:type="dxa"/>
              <w:right w:w="15" w:type="dxa"/>
            </w:tcMar>
            <w:vAlign w:val="center"/>
          </w:tcPr>
          <w:p w14:paraId="570620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合格</w:t>
            </w:r>
          </w:p>
        </w:tc>
      </w:tr>
    </w:tbl>
    <w:p w14:paraId="25EF60C0">
      <w:pPr>
        <w:spacing w:line="240" w:lineRule="auto"/>
        <w:rPr>
          <w:b/>
          <w:bCs/>
          <w:sz w:val="18"/>
          <w:szCs w:val="18"/>
          <w:highlight w:val="none"/>
        </w:rPr>
      </w:pPr>
      <w:r>
        <w:rPr>
          <w:b/>
          <w:bCs/>
          <w:sz w:val="18"/>
          <w:szCs w:val="18"/>
          <w:highlight w:val="none"/>
        </w:rPr>
        <w:t>注：①地下水监测项目的质控要求来源为实验室监测报告中给出的质控要求，较该指标分析测试方法规定的质控要求更严。</w:t>
      </w:r>
    </w:p>
    <w:p w14:paraId="0BD3E821">
      <w:pPr>
        <w:pStyle w:val="5"/>
        <w:tabs>
          <w:tab w:val="left" w:pos="425"/>
        </w:tabs>
        <w:rPr>
          <w:rFonts w:hint="default" w:ascii="Times New Roman" w:hAnsi="Times New Roman" w:cs="Times New Roman"/>
          <w:color w:val="auto"/>
          <w:highlight w:val="none"/>
        </w:rPr>
      </w:pPr>
      <w:r>
        <w:rPr>
          <w:rFonts w:hint="default" w:ascii="Times New Roman" w:hAnsi="Times New Roman" w:cs="Times New Roman"/>
          <w:color w:val="auto"/>
          <w:highlight w:val="none"/>
        </w:rPr>
        <w:t>样品的保存和运输</w:t>
      </w:r>
    </w:p>
    <w:p w14:paraId="1396805D">
      <w:pPr>
        <w:spacing w:line="360" w:lineRule="auto"/>
        <w:ind w:firstLine="480" w:firstLineChars="200"/>
        <w:rPr>
          <w:rFonts w:hint="default" w:ascii="Times New Roman" w:hAnsi="Times New Roman" w:cs="Times New Roman"/>
          <w:snapToGrid w:val="0"/>
          <w:color w:val="000000"/>
          <w:kern w:val="0"/>
          <w:sz w:val="24"/>
          <w:highlight w:val="none"/>
        </w:rPr>
      </w:pPr>
      <w:r>
        <w:rPr>
          <w:rFonts w:hint="default" w:ascii="Times New Roman" w:hAnsi="Times New Roman" w:cs="Times New Roman"/>
          <w:snapToGrid w:val="0"/>
          <w:color w:val="000000"/>
          <w:kern w:val="0"/>
          <w:sz w:val="24"/>
          <w:highlight w:val="none"/>
        </w:rPr>
        <w:t>在土壤样品标签上注明样品编号、采样日期等信息。在样品制备完成后低温保存，并及时送至实验室分析。</w:t>
      </w:r>
    </w:p>
    <w:p w14:paraId="694554E8">
      <w:pPr>
        <w:spacing w:line="360" w:lineRule="auto"/>
        <w:ind w:firstLine="480" w:firstLineChars="200"/>
        <w:rPr>
          <w:rFonts w:hint="default" w:ascii="Times New Roman" w:hAnsi="Times New Roman" w:cs="Times New Roman"/>
          <w:snapToGrid w:val="0"/>
          <w:color w:val="000000"/>
          <w:kern w:val="0"/>
          <w:sz w:val="24"/>
          <w:highlight w:val="none"/>
        </w:rPr>
      </w:pPr>
      <w:r>
        <w:rPr>
          <w:rFonts w:hint="default" w:ascii="Times New Roman" w:hAnsi="Times New Roman" w:cs="Times New Roman"/>
          <w:snapToGrid w:val="0"/>
          <w:color w:val="000000"/>
          <w:kern w:val="0"/>
          <w:sz w:val="24"/>
          <w:highlight w:val="none"/>
        </w:rPr>
        <w:t>样品发货前重复核对采样记录表、样品标签等信息。样品送到实验室后，双方人员同时清点核实样品，并在样品流转单上签字确认。</w:t>
      </w:r>
    </w:p>
    <w:p w14:paraId="5800744D">
      <w:pPr>
        <w:pStyle w:val="4"/>
        <w:keepNext/>
        <w:keepLines/>
        <w:pageBreakBefore w:val="0"/>
        <w:widowControl w:val="0"/>
        <w:kinsoku/>
        <w:wordWrap/>
        <w:overflowPunct/>
        <w:topLinePunct w:val="0"/>
        <w:autoSpaceDE/>
        <w:autoSpaceDN/>
        <w:bidi w:val="0"/>
        <w:adjustRightInd/>
        <w:snapToGrid/>
        <w:ind w:left="567" w:hanging="567"/>
        <w:textAlignment w:val="auto"/>
        <w:rPr>
          <w:rFonts w:hint="default" w:ascii="Times New Roman" w:hAnsi="Times New Roman" w:cs="Times New Roman"/>
          <w:highlight w:val="none"/>
        </w:rPr>
      </w:pPr>
      <w:bookmarkStart w:id="33" w:name="_Toc26899"/>
      <w:r>
        <w:rPr>
          <w:rFonts w:hint="default" w:ascii="Times New Roman" w:hAnsi="Times New Roman" w:cs="Times New Roman"/>
          <w:highlight w:val="none"/>
        </w:rPr>
        <w:t>实验室质量控制</w:t>
      </w:r>
      <w:bookmarkEnd w:id="33"/>
    </w:p>
    <w:p w14:paraId="2834A3BE">
      <w:pPr>
        <w:spacing w:line="360" w:lineRule="auto"/>
        <w:ind w:firstLine="480" w:firstLineChars="200"/>
        <w:rPr>
          <w:rFonts w:hint="default" w:ascii="Times New Roman" w:hAnsi="Times New Roman" w:cs="Times New Roman"/>
          <w:snapToGrid w:val="0"/>
          <w:color w:val="000000"/>
          <w:kern w:val="0"/>
          <w:sz w:val="24"/>
          <w:highlight w:val="none"/>
        </w:rPr>
      </w:pPr>
      <w:r>
        <w:rPr>
          <w:rFonts w:hint="default" w:ascii="Times New Roman" w:hAnsi="Times New Roman" w:cs="Times New Roman"/>
          <w:snapToGrid w:val="0"/>
          <w:color w:val="000000"/>
          <w:kern w:val="0"/>
          <w:sz w:val="24"/>
          <w:highlight w:val="none"/>
        </w:rPr>
        <w:t>项目样品分析选择拥有中国计量认证资质证书（CMA）的第三方实验室进行样品的监测，实验室拥有健全的环境监测设备以及专业的管理人员和技术人员。实验室对送入实验室的样品首先核对采样单、容器编号、包装情况、保存条件及有效期等，符合要求的样品方可开展分析监测，并按照规范采用标准流程分析样品。</w:t>
      </w:r>
    </w:p>
    <w:p w14:paraId="5B5E8D6F">
      <w:pPr>
        <w:spacing w:line="360" w:lineRule="auto"/>
        <w:ind w:left="1" w:firstLine="480" w:firstLineChars="200"/>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实验室样品分析质量控制主要为内部质量控制，由实验室自主实施。通过各项质控措施以及相应的质控指标体系来保证实验室分析流程质量可控，检测结果准确可靠。</w:t>
      </w:r>
    </w:p>
    <w:p w14:paraId="5540564E">
      <w:pPr>
        <w:pStyle w:val="5"/>
        <w:bidi w:val="0"/>
        <w:rPr>
          <w:rFonts w:hint="default" w:ascii="Times New Roman" w:hAnsi="Times New Roman" w:cs="Times New Roman"/>
          <w:highlight w:val="none"/>
        </w:rPr>
      </w:pPr>
      <w:r>
        <w:rPr>
          <w:rFonts w:hint="default" w:ascii="Times New Roman" w:hAnsi="Times New Roman" w:cs="Times New Roman"/>
          <w:highlight w:val="none"/>
        </w:rPr>
        <w:t>实验室空白</w:t>
      </w:r>
    </w:p>
    <w:p w14:paraId="45387D85">
      <w:pPr>
        <w:spacing w:line="360" w:lineRule="auto"/>
        <w:ind w:left="1" w:firstLine="480" w:firstLineChars="200"/>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检测实验室对所有检测项目均进行了实验室空白样品检测分析，据质控报告</w:t>
      </w:r>
      <w:r>
        <w:rPr>
          <w:rFonts w:hint="default" w:ascii="Times New Roman" w:hAnsi="Times New Roman" w:cs="Times New Roman"/>
          <w:snapToGrid w:val="0"/>
          <w:color w:val="000000"/>
          <w:kern w:val="0"/>
          <w:sz w:val="24"/>
          <w:highlight w:val="none"/>
        </w:rPr>
        <w:t>BJ20A0691和BJ20A0768</w:t>
      </w:r>
      <w:r>
        <w:rPr>
          <w:rFonts w:hint="default" w:ascii="Times New Roman" w:hAnsi="Times New Roman" w:cs="Times New Roman"/>
          <w:color w:val="000000"/>
          <w:sz w:val="24"/>
          <w:highlight w:val="none"/>
        </w:rPr>
        <w:t>检测结果，实验室空白样品检测结果均低于报告检出限，表明分析过程中未引入污染物。</w:t>
      </w:r>
    </w:p>
    <w:p w14:paraId="6F6E2855">
      <w:pPr>
        <w:pStyle w:val="5"/>
        <w:bidi w:val="0"/>
        <w:rPr>
          <w:rFonts w:hint="default" w:ascii="Times New Roman" w:hAnsi="Times New Roman" w:cs="Times New Roman"/>
          <w:highlight w:val="none"/>
        </w:rPr>
      </w:pPr>
      <w:r>
        <w:rPr>
          <w:rFonts w:hint="default" w:ascii="Times New Roman" w:hAnsi="Times New Roman" w:cs="Times New Roman"/>
          <w:highlight w:val="none"/>
        </w:rPr>
        <w:t>精密度控制</w:t>
      </w:r>
    </w:p>
    <w:p w14:paraId="20C215B8">
      <w:pPr>
        <w:spacing w:line="360" w:lineRule="auto"/>
        <w:ind w:left="1" w:firstLine="480" w:firstLineChars="200"/>
        <w:rPr>
          <w:rFonts w:hint="default" w:ascii="Times New Roman" w:hAnsi="Times New Roman" w:eastAsia="宋体" w:cs="Times New Roman"/>
          <w:color w:val="000000"/>
          <w:sz w:val="24"/>
          <w:highlight w:val="none"/>
          <w:lang w:eastAsia="zh-CN"/>
        </w:rPr>
      </w:pPr>
      <w:r>
        <w:rPr>
          <w:rFonts w:hint="default" w:ascii="Times New Roman" w:hAnsi="Times New Roman" w:cs="Times New Roman"/>
          <w:color w:val="000000"/>
          <w:sz w:val="24"/>
          <w:highlight w:val="none"/>
        </w:rPr>
        <w:t>本次土壤样品检测实验室内精密度平行双样测试样品中有机污染物指标均未检出，重金属</w:t>
      </w:r>
      <w:r>
        <w:rPr>
          <w:rFonts w:hint="default" w:ascii="Times New Roman" w:hAnsi="Times New Roman" w:cs="Times New Roman"/>
          <w:color w:val="000000"/>
          <w:sz w:val="24"/>
          <w:highlight w:val="none"/>
          <w:lang w:eastAsia="zh-CN"/>
        </w:rPr>
        <w:t>铬（六价）</w:t>
      </w:r>
      <w:r>
        <w:rPr>
          <w:rFonts w:hint="default" w:ascii="Times New Roman" w:hAnsi="Times New Roman" w:cs="Times New Roman"/>
          <w:color w:val="000000"/>
          <w:sz w:val="24"/>
          <w:highlight w:val="none"/>
        </w:rPr>
        <w:t>均未检出，因此不进行偏差分析。根据质控报告</w:t>
      </w:r>
      <w:r>
        <w:rPr>
          <w:rFonts w:hint="default" w:ascii="Times New Roman" w:hAnsi="Times New Roman" w:cs="Times New Roman"/>
          <w:snapToGrid w:val="0"/>
          <w:color w:val="000000"/>
          <w:kern w:val="0"/>
          <w:sz w:val="24"/>
          <w:highlight w:val="none"/>
        </w:rPr>
        <w:t>BJ20A0691和BJ20A0768，土壤pH值实验室平行样相对偏差为0，</w:t>
      </w:r>
      <w:r>
        <w:rPr>
          <w:rFonts w:hint="default" w:ascii="Times New Roman" w:hAnsi="Times New Roman" w:cs="Times New Roman"/>
          <w:color w:val="000000"/>
          <w:sz w:val="24"/>
          <w:highlight w:val="none"/>
        </w:rPr>
        <w:t>土壤重金属室内平行样相对偏差范围为 0.0%~</w:t>
      </w:r>
      <w:r>
        <w:rPr>
          <w:rFonts w:hint="default" w:ascii="Times New Roman" w:hAnsi="Times New Roman" w:cs="Times New Roman"/>
          <w:color w:val="000000"/>
          <w:sz w:val="24"/>
          <w:highlight w:val="none"/>
          <w:lang w:val="en-US" w:eastAsia="zh-CN"/>
        </w:rPr>
        <w:t>6.7</w:t>
      </w:r>
      <w:r>
        <w:rPr>
          <w:rFonts w:hint="default" w:ascii="Times New Roman" w:hAnsi="Times New Roman" w:cs="Times New Roman"/>
          <w:color w:val="000000"/>
          <w:sz w:val="24"/>
          <w:highlight w:val="none"/>
        </w:rPr>
        <w:t>%，</w:t>
      </w:r>
      <w:r>
        <w:rPr>
          <w:rFonts w:hint="default" w:ascii="Times New Roman" w:hAnsi="Times New Roman" w:cs="Times New Roman"/>
          <w:color w:val="000000"/>
          <w:sz w:val="24"/>
          <w:highlight w:val="none"/>
          <w:lang w:eastAsia="zh-CN"/>
        </w:rPr>
        <w:t>石油烃（</w:t>
      </w:r>
      <w:r>
        <w:rPr>
          <w:rFonts w:hint="default" w:ascii="Times New Roman" w:hAnsi="Times New Roman" w:cs="Times New Roman"/>
          <w:color w:val="000000"/>
          <w:sz w:val="24"/>
          <w:highlight w:val="none"/>
          <w:lang w:val="en-US" w:eastAsia="zh-CN"/>
        </w:rPr>
        <w:t>C</w:t>
      </w:r>
      <w:r>
        <w:rPr>
          <w:rFonts w:hint="default" w:ascii="Times New Roman" w:hAnsi="Times New Roman" w:cs="Times New Roman"/>
          <w:color w:val="000000"/>
          <w:sz w:val="24"/>
          <w:highlight w:val="none"/>
          <w:vertAlign w:val="subscript"/>
          <w:lang w:val="en-US" w:eastAsia="zh-CN"/>
        </w:rPr>
        <w:t>10</w:t>
      </w:r>
      <w:r>
        <w:rPr>
          <w:rFonts w:hint="default" w:ascii="Times New Roman" w:hAnsi="Times New Roman" w:cs="Times New Roman"/>
          <w:color w:val="000000"/>
          <w:sz w:val="24"/>
          <w:highlight w:val="none"/>
          <w:lang w:val="en-US" w:eastAsia="zh-CN"/>
        </w:rPr>
        <w:t>-C</w:t>
      </w:r>
      <w:r>
        <w:rPr>
          <w:rFonts w:hint="default" w:ascii="Times New Roman" w:hAnsi="Times New Roman" w:cs="Times New Roman"/>
          <w:color w:val="000000"/>
          <w:sz w:val="24"/>
          <w:highlight w:val="none"/>
          <w:vertAlign w:val="subscript"/>
          <w:lang w:val="en-US" w:eastAsia="zh-CN"/>
        </w:rPr>
        <w:t>40</w:t>
      </w:r>
      <w:r>
        <w:rPr>
          <w:rFonts w:hint="default" w:ascii="Times New Roman" w:hAnsi="Times New Roman" w:cs="Times New Roman"/>
          <w:color w:val="000000"/>
          <w:sz w:val="24"/>
          <w:highlight w:val="none"/>
          <w:lang w:eastAsia="zh-CN"/>
        </w:rPr>
        <w:t>）</w:t>
      </w:r>
      <w:r>
        <w:rPr>
          <w:rFonts w:hint="default" w:ascii="Times New Roman" w:hAnsi="Times New Roman" w:cs="Times New Roman"/>
          <w:color w:val="000000"/>
          <w:sz w:val="24"/>
          <w:highlight w:val="none"/>
        </w:rPr>
        <w:t>室内平行样相对偏差范围为</w:t>
      </w:r>
      <w:r>
        <w:rPr>
          <w:rFonts w:hint="default" w:ascii="Times New Roman" w:hAnsi="Times New Roman" w:cs="Times New Roman"/>
          <w:color w:val="000000"/>
          <w:sz w:val="24"/>
          <w:highlight w:val="none"/>
          <w:lang w:val="en-US" w:eastAsia="zh-CN"/>
        </w:rPr>
        <w:t>0.3~19.3%</w:t>
      </w:r>
      <w:r>
        <w:rPr>
          <w:rFonts w:hint="default" w:ascii="Times New Roman" w:hAnsi="Times New Roman" w:cs="Times New Roman"/>
          <w:color w:val="000000"/>
          <w:sz w:val="24"/>
          <w:highlight w:val="none"/>
        </w:rPr>
        <w:t>，在允许质控要求范围内</w:t>
      </w:r>
      <w:r>
        <w:rPr>
          <w:rFonts w:hint="default" w:ascii="Times New Roman" w:hAnsi="Times New Roman" w:cs="Times New Roman"/>
          <w:color w:val="000000"/>
          <w:sz w:val="24"/>
          <w:highlight w:val="none"/>
          <w:lang w:eastAsia="zh-CN"/>
        </w:rPr>
        <w:t>，</w:t>
      </w:r>
      <w:r>
        <w:rPr>
          <w:rFonts w:hint="default" w:ascii="Times New Roman" w:hAnsi="Times New Roman" w:cs="Times New Roman"/>
          <w:color w:val="000000"/>
          <w:sz w:val="24"/>
          <w:highlight w:val="none"/>
        </w:rPr>
        <w:t>质控测试数据详见质控报告</w:t>
      </w:r>
      <w:r>
        <w:rPr>
          <w:rFonts w:hint="default" w:ascii="Times New Roman" w:hAnsi="Times New Roman" w:cs="Times New Roman"/>
          <w:color w:val="000000"/>
          <w:sz w:val="24"/>
          <w:highlight w:val="none"/>
          <w:lang w:eastAsia="zh-CN"/>
        </w:rPr>
        <w:t>。</w:t>
      </w:r>
    </w:p>
    <w:p w14:paraId="1425D80A">
      <w:pPr>
        <w:pStyle w:val="5"/>
        <w:bidi w:val="0"/>
        <w:rPr>
          <w:rFonts w:hint="default" w:ascii="Times New Roman" w:hAnsi="Times New Roman" w:cs="Times New Roman"/>
          <w:highlight w:val="none"/>
        </w:rPr>
      </w:pPr>
      <w:r>
        <w:rPr>
          <w:rFonts w:hint="default" w:ascii="Times New Roman" w:hAnsi="Times New Roman" w:cs="Times New Roman"/>
          <w:highlight w:val="none"/>
        </w:rPr>
        <w:t>准确度控制</w:t>
      </w:r>
    </w:p>
    <w:p w14:paraId="4A64A709">
      <w:pPr>
        <w:numPr>
          <w:ilvl w:val="0"/>
          <w:numId w:val="0"/>
        </w:numPr>
        <w:spacing w:line="360" w:lineRule="auto"/>
        <w:ind w:left="481" w:leftChars="0"/>
        <w:rPr>
          <w:rFonts w:hint="default" w:ascii="Times New Roman" w:hAnsi="Times New Roman" w:cs="Times New Roman"/>
          <w:b/>
          <w:bCs/>
          <w:color w:val="000000"/>
          <w:kern w:val="0"/>
          <w:sz w:val="24"/>
          <w:highlight w:val="none"/>
        </w:rPr>
      </w:pPr>
      <w:r>
        <w:rPr>
          <w:rFonts w:hint="eastAsia" w:cs="Times New Roman"/>
          <w:b/>
          <w:bCs/>
          <w:color w:val="000000"/>
          <w:kern w:val="0"/>
          <w:sz w:val="24"/>
          <w:highlight w:val="none"/>
          <w:lang w:eastAsia="zh-CN"/>
        </w:rPr>
        <w:t>（</w:t>
      </w:r>
      <w:r>
        <w:rPr>
          <w:rFonts w:hint="eastAsia" w:cs="Times New Roman"/>
          <w:b/>
          <w:bCs/>
          <w:color w:val="000000"/>
          <w:kern w:val="0"/>
          <w:sz w:val="24"/>
          <w:highlight w:val="none"/>
          <w:lang w:val="en-US" w:eastAsia="zh-CN"/>
        </w:rPr>
        <w:t>1</w:t>
      </w:r>
      <w:r>
        <w:rPr>
          <w:rFonts w:hint="eastAsia" w:cs="Times New Roman"/>
          <w:b/>
          <w:bCs/>
          <w:color w:val="000000"/>
          <w:kern w:val="0"/>
          <w:sz w:val="24"/>
          <w:highlight w:val="none"/>
          <w:lang w:eastAsia="zh-CN"/>
        </w:rPr>
        <w:t>）</w:t>
      </w:r>
      <w:r>
        <w:rPr>
          <w:rFonts w:hint="default" w:ascii="Times New Roman" w:hAnsi="Times New Roman" w:cs="Times New Roman"/>
          <w:b/>
          <w:bCs/>
          <w:color w:val="000000"/>
          <w:kern w:val="0"/>
          <w:sz w:val="24"/>
          <w:highlight w:val="none"/>
        </w:rPr>
        <w:t>有证标准物质质控</w:t>
      </w:r>
    </w:p>
    <w:p w14:paraId="25DED57D">
      <w:pPr>
        <w:spacing w:line="360" w:lineRule="auto"/>
        <w:ind w:firstLine="480" w:firstLineChars="200"/>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按照《土壤和沉积物</w:t>
      </w:r>
      <w:r>
        <w:rPr>
          <w:rFonts w:hint="default" w:ascii="Times New Roman" w:hAnsi="Times New Roman" w:cs="Times New Roman"/>
          <w:color w:val="000000"/>
          <w:sz w:val="24"/>
          <w:highlight w:val="none"/>
          <w:lang w:val="en-US" w:eastAsia="zh-CN"/>
        </w:rPr>
        <w:t xml:space="preserve"> </w:t>
      </w:r>
      <w:r>
        <w:rPr>
          <w:rFonts w:hint="default" w:ascii="Times New Roman" w:hAnsi="Times New Roman" w:cs="Times New Roman"/>
          <w:color w:val="000000"/>
          <w:sz w:val="24"/>
          <w:highlight w:val="none"/>
        </w:rPr>
        <w:t>铜、锌、铅、镍、铬的测定 火焰原子吸收分光光度法》（HJ 491-2019）测试方法中质量保证与质量控制要求，检测实验室对重金属指标铜和镍同步测定了1个有证标准样品，有证标准样品测试结果在有证标准样品证书标准值上、下限范围内（其中铜41~45，镍34~38），本次质控结果合格。</w:t>
      </w:r>
    </w:p>
    <w:p w14:paraId="55763F23">
      <w:pPr>
        <w:bidi w:val="0"/>
        <w:ind w:firstLine="420" w:firstLineChars="0"/>
        <w:rPr>
          <w:rFonts w:hint="default" w:ascii="Times New Roman" w:hAnsi="Times New Roman" w:cs="Times New Roman"/>
          <w:b/>
          <w:bCs/>
          <w:highlight w:val="none"/>
          <w:lang w:eastAsia="zh-CN"/>
        </w:rPr>
      </w:pPr>
      <w:r>
        <w:rPr>
          <w:rFonts w:hint="eastAsia" w:cs="Times New Roman"/>
          <w:b/>
          <w:bCs/>
          <w:highlight w:val="none"/>
          <w:lang w:eastAsia="zh-CN"/>
        </w:rPr>
        <w:t>（</w:t>
      </w:r>
      <w:r>
        <w:rPr>
          <w:rFonts w:hint="eastAsia" w:cs="Times New Roman"/>
          <w:b/>
          <w:bCs/>
          <w:highlight w:val="none"/>
          <w:lang w:val="en-US" w:eastAsia="zh-CN"/>
        </w:rPr>
        <w:t>2</w:t>
      </w:r>
      <w:r>
        <w:rPr>
          <w:rFonts w:hint="eastAsia" w:cs="Times New Roman"/>
          <w:b/>
          <w:bCs/>
          <w:highlight w:val="none"/>
          <w:lang w:eastAsia="zh-CN"/>
        </w:rPr>
        <w:t>）</w:t>
      </w:r>
      <w:r>
        <w:rPr>
          <w:rFonts w:hint="default" w:ascii="Times New Roman" w:hAnsi="Times New Roman" w:cs="Times New Roman"/>
          <w:b/>
          <w:bCs/>
          <w:highlight w:val="none"/>
          <w:lang w:eastAsia="zh-CN"/>
        </w:rPr>
        <w:t>土壤样品</w:t>
      </w:r>
      <w:r>
        <w:rPr>
          <w:rFonts w:hint="default" w:ascii="Times New Roman" w:hAnsi="Times New Roman" w:cs="Times New Roman"/>
          <w:b/>
          <w:bCs/>
          <w:highlight w:val="none"/>
        </w:rPr>
        <w:t>空白加标/基体加标回收质控</w:t>
      </w:r>
      <w:r>
        <w:rPr>
          <w:rFonts w:hint="default" w:ascii="Times New Roman" w:hAnsi="Times New Roman" w:cs="Times New Roman"/>
          <w:b/>
          <w:bCs/>
          <w:highlight w:val="none"/>
          <w:lang w:eastAsia="zh-CN"/>
        </w:rPr>
        <w:t>结果</w:t>
      </w:r>
    </w:p>
    <w:p w14:paraId="1FCA84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sz w:val="24"/>
          <w:highlight w:val="none"/>
          <w:lang w:eastAsia="zh-CN"/>
        </w:rPr>
      </w:pPr>
      <w:r>
        <w:rPr>
          <w:rFonts w:hint="eastAsia" w:cs="Times New Roman"/>
          <w:color w:val="000000"/>
          <w:sz w:val="24"/>
          <w:highlight w:val="none"/>
          <w:lang w:val="en-US" w:eastAsia="zh-CN"/>
        </w:rPr>
        <w:t>①</w:t>
      </w:r>
      <w:r>
        <w:rPr>
          <w:rFonts w:hint="default" w:ascii="Times New Roman" w:hAnsi="Times New Roman" w:cs="Times New Roman"/>
          <w:color w:val="000000"/>
          <w:sz w:val="24"/>
          <w:highlight w:val="none"/>
        </w:rPr>
        <w:t>铅、汞、隔、砷</w:t>
      </w:r>
      <w:r>
        <w:rPr>
          <w:rFonts w:hint="default" w:ascii="Times New Roman" w:hAnsi="Times New Roman" w:cs="Times New Roman"/>
          <w:color w:val="000000"/>
          <w:sz w:val="24"/>
          <w:highlight w:val="none"/>
          <w:lang w:eastAsia="zh-CN"/>
        </w:rPr>
        <w:t>、钴</w:t>
      </w:r>
      <w:r>
        <w:rPr>
          <w:rFonts w:hint="default" w:ascii="Times New Roman" w:hAnsi="Times New Roman" w:cs="Times New Roman"/>
          <w:color w:val="000000"/>
          <w:sz w:val="24"/>
          <w:highlight w:val="none"/>
        </w:rPr>
        <w:t>等重金属空白加标回收率范围为9</w:t>
      </w:r>
      <w:r>
        <w:rPr>
          <w:rFonts w:hint="default" w:ascii="Times New Roman" w:hAnsi="Times New Roman" w:cs="Times New Roman"/>
          <w:color w:val="000000"/>
          <w:sz w:val="24"/>
          <w:highlight w:val="none"/>
          <w:lang w:val="en-US" w:eastAsia="zh-CN"/>
        </w:rPr>
        <w:t>0</w:t>
      </w:r>
      <w:r>
        <w:rPr>
          <w:rFonts w:hint="default" w:ascii="Times New Roman" w:hAnsi="Times New Roman" w:cs="Times New Roman"/>
          <w:color w:val="000000"/>
          <w:sz w:val="24"/>
          <w:highlight w:val="none"/>
        </w:rPr>
        <w:t>.0~</w:t>
      </w:r>
      <w:r>
        <w:rPr>
          <w:rFonts w:hint="default" w:ascii="Times New Roman" w:hAnsi="Times New Roman" w:cs="Times New Roman"/>
          <w:color w:val="000000"/>
          <w:sz w:val="24"/>
          <w:highlight w:val="none"/>
          <w:lang w:val="en-US" w:eastAsia="zh-CN"/>
        </w:rPr>
        <w:t>103</w:t>
      </w:r>
      <w:r>
        <w:rPr>
          <w:rFonts w:hint="default" w:ascii="Times New Roman" w:hAnsi="Times New Roman" w:cs="Times New Roman"/>
          <w:color w:val="000000"/>
          <w:sz w:val="24"/>
          <w:highlight w:val="none"/>
        </w:rPr>
        <w:t>.</w:t>
      </w:r>
      <w:r>
        <w:rPr>
          <w:rFonts w:hint="default" w:ascii="Times New Roman" w:hAnsi="Times New Roman" w:cs="Times New Roman"/>
          <w:color w:val="000000"/>
          <w:sz w:val="24"/>
          <w:highlight w:val="none"/>
          <w:lang w:val="en-US" w:eastAsia="zh-CN"/>
        </w:rPr>
        <w:t>5</w:t>
      </w:r>
      <w:r>
        <w:rPr>
          <w:rFonts w:hint="default" w:ascii="Times New Roman" w:hAnsi="Times New Roman" w:cs="Times New Roman"/>
          <w:color w:val="000000"/>
          <w:sz w:val="24"/>
          <w:highlight w:val="none"/>
        </w:rPr>
        <w:t>%，在允许加标回收范围（80%~120%）内</w:t>
      </w:r>
      <w:r>
        <w:rPr>
          <w:rFonts w:hint="eastAsia" w:cs="Times New Roman"/>
          <w:color w:val="000000"/>
          <w:sz w:val="24"/>
          <w:highlight w:val="none"/>
          <w:lang w:eastAsia="zh-CN"/>
        </w:rPr>
        <w:t>；</w:t>
      </w:r>
    </w:p>
    <w:p w14:paraId="7F2BB5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sz w:val="24"/>
          <w:highlight w:val="none"/>
          <w:lang w:eastAsia="zh-CN"/>
        </w:rPr>
      </w:pPr>
      <w:r>
        <w:rPr>
          <w:rFonts w:hint="eastAsia" w:cs="Times New Roman"/>
          <w:color w:val="000000"/>
          <w:sz w:val="24"/>
          <w:highlight w:val="none"/>
          <w:lang w:val="en-US" w:eastAsia="zh-CN"/>
        </w:rPr>
        <w:t>②</w:t>
      </w:r>
      <w:r>
        <w:rPr>
          <w:rFonts w:hint="default" w:ascii="Times New Roman" w:hAnsi="Times New Roman" w:cs="Times New Roman"/>
          <w:color w:val="000000"/>
          <w:sz w:val="24"/>
          <w:highlight w:val="none"/>
          <w:lang w:eastAsia="zh-CN"/>
        </w:rPr>
        <w:t>石油烃（</w:t>
      </w:r>
      <w:r>
        <w:rPr>
          <w:rFonts w:hint="default" w:ascii="Times New Roman" w:hAnsi="Times New Roman" w:cs="Times New Roman"/>
          <w:color w:val="000000"/>
          <w:sz w:val="24"/>
          <w:highlight w:val="none"/>
          <w:lang w:val="en-US" w:eastAsia="zh-CN"/>
        </w:rPr>
        <w:t>C</w:t>
      </w:r>
      <w:r>
        <w:rPr>
          <w:rFonts w:hint="default" w:ascii="Times New Roman" w:hAnsi="Times New Roman" w:cs="Times New Roman"/>
          <w:color w:val="000000"/>
          <w:sz w:val="24"/>
          <w:highlight w:val="none"/>
          <w:vertAlign w:val="subscript"/>
          <w:lang w:val="en-US" w:eastAsia="zh-CN"/>
        </w:rPr>
        <w:t>10</w:t>
      </w:r>
      <w:r>
        <w:rPr>
          <w:rFonts w:hint="default" w:ascii="Times New Roman" w:hAnsi="Times New Roman" w:cs="Times New Roman"/>
          <w:color w:val="000000"/>
          <w:sz w:val="24"/>
          <w:highlight w:val="none"/>
          <w:lang w:val="en-US" w:eastAsia="zh-CN"/>
        </w:rPr>
        <w:t>-C</w:t>
      </w:r>
      <w:r>
        <w:rPr>
          <w:rFonts w:hint="default" w:ascii="Times New Roman" w:hAnsi="Times New Roman" w:cs="Times New Roman"/>
          <w:color w:val="000000"/>
          <w:sz w:val="24"/>
          <w:highlight w:val="none"/>
          <w:vertAlign w:val="subscript"/>
          <w:lang w:val="en-US" w:eastAsia="zh-CN"/>
        </w:rPr>
        <w:t>40</w:t>
      </w:r>
      <w:r>
        <w:rPr>
          <w:rFonts w:hint="default" w:ascii="Times New Roman" w:hAnsi="Times New Roman" w:cs="Times New Roman"/>
          <w:color w:val="000000"/>
          <w:sz w:val="24"/>
          <w:highlight w:val="none"/>
          <w:lang w:eastAsia="zh-CN"/>
        </w:rPr>
        <w:t>）</w:t>
      </w:r>
      <w:r>
        <w:rPr>
          <w:rFonts w:hint="default" w:ascii="Times New Roman" w:hAnsi="Times New Roman" w:cs="Times New Roman"/>
          <w:color w:val="000000"/>
          <w:sz w:val="24"/>
          <w:highlight w:val="none"/>
        </w:rPr>
        <w:t>加标回收率为</w:t>
      </w:r>
      <w:r>
        <w:rPr>
          <w:rFonts w:hint="default" w:ascii="Times New Roman" w:hAnsi="Times New Roman" w:cs="Times New Roman"/>
          <w:color w:val="000000"/>
          <w:sz w:val="24"/>
          <w:highlight w:val="none"/>
          <w:lang w:val="en-US" w:eastAsia="zh-CN"/>
        </w:rPr>
        <w:t>98.0</w:t>
      </w:r>
      <w:r>
        <w:rPr>
          <w:rFonts w:hint="default" w:ascii="Times New Roman" w:hAnsi="Times New Roman" w:cs="Times New Roman"/>
          <w:color w:val="000000"/>
          <w:sz w:val="24"/>
          <w:highlight w:val="none"/>
        </w:rPr>
        <w:t>%，在允许加标回收范围（70%~12</w:t>
      </w:r>
      <w:r>
        <w:rPr>
          <w:rFonts w:hint="default" w:ascii="Times New Roman" w:hAnsi="Times New Roman" w:cs="Times New Roman"/>
          <w:color w:val="000000"/>
          <w:sz w:val="24"/>
          <w:highlight w:val="none"/>
          <w:lang w:val="en-US" w:eastAsia="zh-CN"/>
        </w:rPr>
        <w:t>0</w:t>
      </w:r>
      <w:r>
        <w:rPr>
          <w:rFonts w:hint="default" w:ascii="Times New Roman" w:hAnsi="Times New Roman" w:cs="Times New Roman"/>
          <w:color w:val="000000"/>
          <w:sz w:val="24"/>
          <w:highlight w:val="none"/>
        </w:rPr>
        <w:t>%）内</w:t>
      </w:r>
      <w:r>
        <w:rPr>
          <w:rFonts w:hint="default" w:ascii="Times New Roman" w:hAnsi="Times New Roman" w:cs="Times New Roman"/>
          <w:color w:val="000000"/>
          <w:sz w:val="24"/>
          <w:highlight w:val="none"/>
          <w:lang w:eastAsia="zh-CN"/>
        </w:rPr>
        <w:t>，</w:t>
      </w:r>
      <w:r>
        <w:rPr>
          <w:rFonts w:hint="default" w:ascii="Times New Roman" w:hAnsi="Times New Roman" w:cs="Times New Roman"/>
          <w:color w:val="000000"/>
          <w:sz w:val="24"/>
          <w:highlight w:val="none"/>
        </w:rPr>
        <w:t>基体加标回收率范围为</w:t>
      </w:r>
      <w:r>
        <w:rPr>
          <w:rFonts w:hint="default" w:ascii="Times New Roman" w:hAnsi="Times New Roman" w:cs="Times New Roman"/>
          <w:color w:val="000000"/>
          <w:sz w:val="24"/>
          <w:highlight w:val="none"/>
          <w:lang w:val="en-US" w:eastAsia="zh-CN"/>
        </w:rPr>
        <w:t>77.7</w:t>
      </w:r>
      <w:r>
        <w:rPr>
          <w:rFonts w:hint="default" w:ascii="Times New Roman" w:hAnsi="Times New Roman" w:cs="Times New Roman"/>
          <w:color w:val="000000"/>
          <w:sz w:val="24"/>
          <w:highlight w:val="none"/>
        </w:rPr>
        <w:t>%，在允许加标回收范围（</w:t>
      </w:r>
      <w:r>
        <w:rPr>
          <w:rFonts w:hint="default" w:ascii="Times New Roman" w:hAnsi="Times New Roman" w:cs="Times New Roman"/>
          <w:color w:val="000000"/>
          <w:sz w:val="24"/>
          <w:highlight w:val="none"/>
          <w:lang w:val="en-US" w:eastAsia="zh-CN"/>
        </w:rPr>
        <w:t>50</w:t>
      </w:r>
      <w:r>
        <w:rPr>
          <w:rFonts w:hint="default" w:ascii="Times New Roman" w:hAnsi="Times New Roman" w:cs="Times New Roman"/>
          <w:color w:val="000000"/>
          <w:sz w:val="24"/>
          <w:highlight w:val="none"/>
        </w:rPr>
        <w:t>%~1</w:t>
      </w:r>
      <w:r>
        <w:rPr>
          <w:rFonts w:hint="default" w:ascii="Times New Roman" w:hAnsi="Times New Roman" w:cs="Times New Roman"/>
          <w:color w:val="000000"/>
          <w:sz w:val="24"/>
          <w:highlight w:val="none"/>
          <w:lang w:val="en-US" w:eastAsia="zh-CN"/>
        </w:rPr>
        <w:t>4</w:t>
      </w:r>
      <w:r>
        <w:rPr>
          <w:rFonts w:hint="default" w:ascii="Times New Roman" w:hAnsi="Times New Roman" w:cs="Times New Roman"/>
          <w:color w:val="000000"/>
          <w:sz w:val="24"/>
          <w:highlight w:val="none"/>
        </w:rPr>
        <w:t>0%）内</w:t>
      </w:r>
      <w:r>
        <w:rPr>
          <w:rFonts w:hint="default" w:ascii="Times New Roman" w:hAnsi="Times New Roman" w:cs="Times New Roman"/>
          <w:color w:val="000000"/>
          <w:sz w:val="24"/>
          <w:highlight w:val="none"/>
          <w:lang w:eastAsia="zh-CN"/>
        </w:rPr>
        <w:t>；</w:t>
      </w:r>
    </w:p>
    <w:p w14:paraId="0C8974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sz w:val="24"/>
          <w:highlight w:val="none"/>
          <w:lang w:eastAsia="zh-CN"/>
        </w:rPr>
      </w:pPr>
      <w:r>
        <w:rPr>
          <w:rFonts w:hint="eastAsia" w:cs="Times New Roman"/>
          <w:color w:val="000000"/>
          <w:sz w:val="24"/>
          <w:highlight w:val="none"/>
          <w:lang w:val="en-US" w:eastAsia="zh-CN"/>
        </w:rPr>
        <w:t>③</w:t>
      </w:r>
      <w:r>
        <w:rPr>
          <w:rFonts w:hint="default" w:ascii="Times New Roman" w:hAnsi="Times New Roman" w:cs="Times New Roman"/>
          <w:color w:val="000000"/>
          <w:sz w:val="24"/>
          <w:highlight w:val="none"/>
        </w:rPr>
        <w:t>挥发性有机物空白加标回收率范围为74.2~</w:t>
      </w:r>
      <w:r>
        <w:rPr>
          <w:rFonts w:hint="default" w:ascii="Times New Roman" w:hAnsi="Times New Roman" w:cs="Times New Roman"/>
          <w:color w:val="000000"/>
          <w:sz w:val="24"/>
          <w:highlight w:val="none"/>
          <w:lang w:val="en-US" w:eastAsia="zh-CN"/>
        </w:rPr>
        <w:t>115.6</w:t>
      </w:r>
      <w:r>
        <w:rPr>
          <w:rFonts w:hint="default" w:ascii="Times New Roman" w:hAnsi="Times New Roman" w:cs="Times New Roman"/>
          <w:color w:val="000000"/>
          <w:sz w:val="24"/>
          <w:highlight w:val="none"/>
        </w:rPr>
        <w:t>%，在允许加标回收范围（70%~130%）内，基体加标回收率范围为</w:t>
      </w:r>
      <w:r>
        <w:rPr>
          <w:rFonts w:hint="default" w:ascii="Times New Roman" w:hAnsi="Times New Roman" w:cs="Times New Roman"/>
          <w:color w:val="000000"/>
          <w:sz w:val="24"/>
          <w:highlight w:val="none"/>
          <w:lang w:val="en-US" w:eastAsia="zh-CN"/>
        </w:rPr>
        <w:t>68.4</w:t>
      </w:r>
      <w:r>
        <w:rPr>
          <w:rFonts w:hint="default" w:ascii="Times New Roman" w:hAnsi="Times New Roman" w:cs="Times New Roman"/>
          <w:color w:val="000000"/>
          <w:sz w:val="24"/>
          <w:highlight w:val="none"/>
        </w:rPr>
        <w:t>%~12</w:t>
      </w:r>
      <w:r>
        <w:rPr>
          <w:rFonts w:hint="default" w:ascii="Times New Roman" w:hAnsi="Times New Roman" w:cs="Times New Roman"/>
          <w:color w:val="000000"/>
          <w:sz w:val="24"/>
          <w:highlight w:val="none"/>
          <w:lang w:val="en-US" w:eastAsia="zh-CN"/>
        </w:rPr>
        <w:t>4.9</w:t>
      </w:r>
      <w:r>
        <w:rPr>
          <w:rFonts w:hint="default" w:ascii="Times New Roman" w:hAnsi="Times New Roman" w:cs="Times New Roman"/>
          <w:color w:val="000000"/>
          <w:sz w:val="24"/>
          <w:highlight w:val="none"/>
        </w:rPr>
        <w:t>%，在允许加标回收范围（70%~130%）内</w:t>
      </w:r>
      <w:r>
        <w:rPr>
          <w:rFonts w:hint="default" w:ascii="Times New Roman" w:hAnsi="Times New Roman" w:cs="Times New Roman"/>
          <w:color w:val="000000"/>
          <w:sz w:val="24"/>
          <w:highlight w:val="none"/>
          <w:lang w:eastAsia="zh-CN"/>
        </w:rPr>
        <w:t>；</w:t>
      </w:r>
    </w:p>
    <w:p w14:paraId="0DDBE7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Times New Roman"/>
          <w:color w:val="000000"/>
          <w:sz w:val="24"/>
          <w:highlight w:val="none"/>
          <w:lang w:eastAsia="zh-CN"/>
        </w:rPr>
      </w:pPr>
      <w:r>
        <w:rPr>
          <w:rFonts w:hint="eastAsia" w:cs="Times New Roman"/>
          <w:color w:val="000000"/>
          <w:sz w:val="24"/>
          <w:highlight w:val="none"/>
          <w:lang w:val="en-US" w:eastAsia="zh-CN"/>
        </w:rPr>
        <w:t>④</w:t>
      </w:r>
      <w:r>
        <w:rPr>
          <w:rFonts w:hint="default" w:ascii="Times New Roman" w:hAnsi="Times New Roman" w:cs="Times New Roman"/>
          <w:color w:val="000000"/>
          <w:sz w:val="24"/>
          <w:highlight w:val="none"/>
        </w:rPr>
        <w:t>半挥发性有机物空白加标回收率为</w:t>
      </w:r>
      <w:r>
        <w:rPr>
          <w:rFonts w:hint="default" w:ascii="Times New Roman" w:hAnsi="Times New Roman" w:cs="Times New Roman"/>
          <w:color w:val="000000"/>
          <w:sz w:val="24"/>
          <w:highlight w:val="none"/>
          <w:lang w:val="en-US" w:eastAsia="zh-CN"/>
        </w:rPr>
        <w:t>60.6</w:t>
      </w:r>
      <w:r>
        <w:rPr>
          <w:rFonts w:hint="default" w:ascii="Times New Roman" w:hAnsi="Times New Roman" w:cs="Times New Roman"/>
          <w:color w:val="000000"/>
          <w:sz w:val="24"/>
          <w:highlight w:val="none"/>
        </w:rPr>
        <w:t>%~108.</w:t>
      </w:r>
      <w:r>
        <w:rPr>
          <w:rFonts w:hint="default" w:ascii="Times New Roman" w:hAnsi="Times New Roman" w:cs="Times New Roman"/>
          <w:color w:val="000000"/>
          <w:sz w:val="24"/>
          <w:highlight w:val="none"/>
          <w:lang w:val="en-US" w:eastAsia="zh-CN"/>
        </w:rPr>
        <w:t>6</w:t>
      </w:r>
      <w:r>
        <w:rPr>
          <w:rFonts w:hint="default" w:ascii="Times New Roman" w:hAnsi="Times New Roman" w:cs="Times New Roman"/>
          <w:color w:val="000000"/>
          <w:sz w:val="24"/>
          <w:highlight w:val="none"/>
        </w:rPr>
        <w:t>%，在允许加标回收范围（50%~130%）内，基体加标回收率为50.3%~97.0%，在允许加标回收范围（50%~130%）内</w:t>
      </w:r>
      <w:r>
        <w:rPr>
          <w:rFonts w:hint="eastAsia" w:cs="Times New Roman"/>
          <w:color w:val="000000"/>
          <w:sz w:val="24"/>
          <w:highlight w:val="none"/>
          <w:lang w:eastAsia="zh-CN"/>
        </w:rPr>
        <w:t>；</w:t>
      </w:r>
    </w:p>
    <w:p w14:paraId="0DD408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Times New Roman"/>
          <w:color w:val="000000"/>
          <w:sz w:val="24"/>
          <w:highlight w:val="none"/>
          <w:lang w:eastAsia="zh-CN"/>
        </w:rPr>
      </w:pPr>
      <w:r>
        <w:rPr>
          <w:rFonts w:hint="eastAsia" w:cs="Times New Roman"/>
          <w:color w:val="000000"/>
          <w:sz w:val="24"/>
          <w:highlight w:val="none"/>
          <w:lang w:val="en-US" w:eastAsia="zh-CN"/>
        </w:rPr>
        <w:t>⑤</w:t>
      </w:r>
      <w:r>
        <w:rPr>
          <w:rFonts w:hint="default" w:ascii="Times New Roman" w:hAnsi="Times New Roman" w:cs="Times New Roman"/>
          <w:color w:val="000000"/>
          <w:sz w:val="24"/>
          <w:highlight w:val="none"/>
          <w:lang w:eastAsia="zh-CN"/>
        </w:rPr>
        <w:t>多氯联苯</w:t>
      </w:r>
      <w:r>
        <w:rPr>
          <w:rFonts w:hint="default" w:ascii="Times New Roman" w:hAnsi="Times New Roman" w:cs="Times New Roman"/>
          <w:color w:val="000000"/>
          <w:sz w:val="24"/>
          <w:highlight w:val="none"/>
        </w:rPr>
        <w:t>空白加标回收率为</w:t>
      </w:r>
      <w:r>
        <w:rPr>
          <w:rFonts w:hint="default" w:ascii="Times New Roman" w:hAnsi="Times New Roman" w:cs="Times New Roman"/>
          <w:color w:val="000000"/>
          <w:sz w:val="24"/>
          <w:highlight w:val="none"/>
          <w:lang w:val="en-US" w:eastAsia="zh-CN"/>
        </w:rPr>
        <w:t>104.0</w:t>
      </w:r>
      <w:r>
        <w:rPr>
          <w:rFonts w:hint="default" w:ascii="Times New Roman" w:hAnsi="Times New Roman" w:cs="Times New Roman"/>
          <w:color w:val="000000"/>
          <w:sz w:val="24"/>
          <w:highlight w:val="none"/>
        </w:rPr>
        <w:t>%~108.</w:t>
      </w:r>
      <w:r>
        <w:rPr>
          <w:rFonts w:hint="default" w:ascii="Times New Roman" w:hAnsi="Times New Roman" w:cs="Times New Roman"/>
          <w:color w:val="000000"/>
          <w:sz w:val="24"/>
          <w:highlight w:val="none"/>
          <w:lang w:val="en-US" w:eastAsia="zh-CN"/>
        </w:rPr>
        <w:t>6</w:t>
      </w:r>
      <w:r>
        <w:rPr>
          <w:rFonts w:hint="default" w:ascii="Times New Roman" w:hAnsi="Times New Roman" w:cs="Times New Roman"/>
          <w:color w:val="000000"/>
          <w:sz w:val="24"/>
          <w:highlight w:val="none"/>
        </w:rPr>
        <w:t>%，在允许加标回收范围（</w:t>
      </w:r>
      <w:r>
        <w:rPr>
          <w:rFonts w:hint="default" w:ascii="Times New Roman" w:hAnsi="Times New Roman" w:cs="Times New Roman"/>
          <w:color w:val="000000"/>
          <w:sz w:val="24"/>
          <w:highlight w:val="none"/>
          <w:lang w:val="en-US" w:eastAsia="zh-CN"/>
        </w:rPr>
        <w:t>6</w:t>
      </w:r>
      <w:r>
        <w:rPr>
          <w:rFonts w:hint="default" w:ascii="Times New Roman" w:hAnsi="Times New Roman" w:cs="Times New Roman"/>
          <w:color w:val="000000"/>
          <w:sz w:val="24"/>
          <w:highlight w:val="none"/>
        </w:rPr>
        <w:t>0%~130%）内</w:t>
      </w:r>
      <w:r>
        <w:rPr>
          <w:rFonts w:hint="default" w:ascii="Times New Roman" w:hAnsi="Times New Roman" w:cs="Times New Roman"/>
          <w:color w:val="000000"/>
          <w:sz w:val="24"/>
          <w:highlight w:val="none"/>
          <w:lang w:eastAsia="zh-CN"/>
        </w:rPr>
        <w:t>；</w:t>
      </w:r>
    </w:p>
    <w:p w14:paraId="286872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sz w:val="24"/>
          <w:highlight w:val="none"/>
          <w:lang w:eastAsia="zh-CN"/>
        </w:rPr>
      </w:pPr>
      <w:r>
        <w:rPr>
          <w:rFonts w:hint="eastAsia" w:cs="Times New Roman"/>
          <w:color w:val="000000"/>
          <w:sz w:val="24"/>
          <w:highlight w:val="none"/>
          <w:lang w:val="en-US" w:eastAsia="zh-CN"/>
        </w:rPr>
        <w:t>⑥</w:t>
      </w:r>
      <w:r>
        <w:rPr>
          <w:rFonts w:hint="default" w:ascii="Times New Roman" w:hAnsi="Times New Roman" w:cs="Times New Roman"/>
          <w:color w:val="000000"/>
          <w:sz w:val="24"/>
          <w:highlight w:val="none"/>
          <w:lang w:eastAsia="zh-CN"/>
        </w:rPr>
        <w:t>苯胺</w:t>
      </w:r>
      <w:r>
        <w:rPr>
          <w:rFonts w:hint="default" w:ascii="Times New Roman" w:hAnsi="Times New Roman" w:cs="Times New Roman"/>
          <w:color w:val="000000"/>
          <w:sz w:val="24"/>
          <w:highlight w:val="none"/>
        </w:rPr>
        <w:t>空白加标回收率为</w:t>
      </w:r>
      <w:r>
        <w:rPr>
          <w:rFonts w:hint="default" w:ascii="Times New Roman" w:hAnsi="Times New Roman" w:cs="Times New Roman"/>
          <w:color w:val="000000"/>
          <w:sz w:val="24"/>
          <w:highlight w:val="none"/>
          <w:lang w:val="en-US" w:eastAsia="zh-CN"/>
        </w:rPr>
        <w:t>85.1</w:t>
      </w:r>
      <w:r>
        <w:rPr>
          <w:rFonts w:hint="default" w:ascii="Times New Roman" w:hAnsi="Times New Roman" w:cs="Times New Roman"/>
          <w:color w:val="000000"/>
          <w:sz w:val="24"/>
          <w:highlight w:val="none"/>
        </w:rPr>
        <w:t>%~</w:t>
      </w:r>
      <w:r>
        <w:rPr>
          <w:rFonts w:hint="default" w:ascii="Times New Roman" w:hAnsi="Times New Roman" w:cs="Times New Roman"/>
          <w:color w:val="000000"/>
          <w:sz w:val="24"/>
          <w:highlight w:val="none"/>
          <w:lang w:val="en-US" w:eastAsia="zh-CN"/>
        </w:rPr>
        <w:t>95.4</w:t>
      </w:r>
      <w:r>
        <w:rPr>
          <w:rFonts w:hint="default" w:ascii="Times New Roman" w:hAnsi="Times New Roman" w:cs="Times New Roman"/>
          <w:color w:val="000000"/>
          <w:sz w:val="24"/>
          <w:highlight w:val="none"/>
        </w:rPr>
        <w:t>%，在允许加标回收范围（</w:t>
      </w:r>
      <w:r>
        <w:rPr>
          <w:rFonts w:hint="default" w:ascii="Times New Roman" w:hAnsi="Times New Roman" w:cs="Times New Roman"/>
          <w:color w:val="000000"/>
          <w:sz w:val="24"/>
          <w:highlight w:val="none"/>
          <w:lang w:val="en-US" w:eastAsia="zh-CN"/>
        </w:rPr>
        <w:t>3</w:t>
      </w:r>
      <w:r>
        <w:rPr>
          <w:rFonts w:hint="default" w:ascii="Times New Roman" w:hAnsi="Times New Roman" w:cs="Times New Roman"/>
          <w:color w:val="000000"/>
          <w:sz w:val="24"/>
          <w:highlight w:val="none"/>
        </w:rPr>
        <w:t>0%~1</w:t>
      </w:r>
      <w:r>
        <w:rPr>
          <w:rFonts w:hint="default" w:ascii="Times New Roman" w:hAnsi="Times New Roman" w:cs="Times New Roman"/>
          <w:color w:val="000000"/>
          <w:sz w:val="24"/>
          <w:highlight w:val="none"/>
          <w:lang w:val="en-US" w:eastAsia="zh-CN"/>
        </w:rPr>
        <w:t>0</w:t>
      </w:r>
      <w:r>
        <w:rPr>
          <w:rFonts w:hint="default" w:ascii="Times New Roman" w:hAnsi="Times New Roman" w:cs="Times New Roman"/>
          <w:color w:val="000000"/>
          <w:sz w:val="24"/>
          <w:highlight w:val="none"/>
        </w:rPr>
        <w:t>0%）内</w:t>
      </w:r>
      <w:r>
        <w:rPr>
          <w:rFonts w:hint="default" w:ascii="Times New Roman" w:hAnsi="Times New Roman" w:cs="Times New Roman"/>
          <w:color w:val="000000"/>
          <w:sz w:val="24"/>
          <w:highlight w:val="none"/>
          <w:lang w:eastAsia="zh-CN"/>
        </w:rPr>
        <w:t>。</w:t>
      </w:r>
    </w:p>
    <w:p w14:paraId="5656F5D8">
      <w:pPr>
        <w:bidi w:val="0"/>
        <w:ind w:firstLine="420" w:firstLineChars="0"/>
        <w:rPr>
          <w:rFonts w:hint="default" w:ascii="Times New Roman" w:hAnsi="Times New Roman" w:cs="Times New Roman"/>
          <w:b/>
          <w:bCs/>
          <w:highlight w:val="none"/>
          <w:lang w:eastAsia="zh-CN"/>
        </w:rPr>
      </w:pPr>
      <w:r>
        <w:rPr>
          <w:rFonts w:hint="eastAsia" w:cs="Times New Roman"/>
          <w:b/>
          <w:bCs/>
          <w:highlight w:val="none"/>
          <w:lang w:eastAsia="zh-CN"/>
        </w:rPr>
        <w:t>（</w:t>
      </w:r>
      <w:r>
        <w:rPr>
          <w:rFonts w:hint="eastAsia" w:cs="Times New Roman"/>
          <w:b/>
          <w:bCs/>
          <w:highlight w:val="none"/>
          <w:lang w:val="en-US" w:eastAsia="zh-CN"/>
        </w:rPr>
        <w:t>3</w:t>
      </w:r>
      <w:r>
        <w:rPr>
          <w:rFonts w:hint="eastAsia" w:cs="Times New Roman"/>
          <w:b/>
          <w:bCs/>
          <w:highlight w:val="none"/>
          <w:lang w:eastAsia="zh-CN"/>
        </w:rPr>
        <w:t>）</w:t>
      </w:r>
      <w:r>
        <w:rPr>
          <w:rFonts w:hint="default" w:ascii="Times New Roman" w:hAnsi="Times New Roman" w:cs="Times New Roman"/>
          <w:b/>
          <w:bCs/>
          <w:highlight w:val="none"/>
          <w:lang w:eastAsia="zh-CN"/>
        </w:rPr>
        <w:t>地下水样品</w:t>
      </w:r>
      <w:r>
        <w:rPr>
          <w:rFonts w:hint="default" w:ascii="Times New Roman" w:hAnsi="Times New Roman" w:cs="Times New Roman"/>
          <w:b/>
          <w:bCs/>
          <w:highlight w:val="none"/>
        </w:rPr>
        <w:t>空白加标/基体加标回收质控</w:t>
      </w:r>
      <w:r>
        <w:rPr>
          <w:rFonts w:hint="default" w:ascii="Times New Roman" w:hAnsi="Times New Roman" w:cs="Times New Roman"/>
          <w:b/>
          <w:bCs/>
          <w:highlight w:val="none"/>
          <w:lang w:eastAsia="zh-CN"/>
        </w:rPr>
        <w:t>结果</w:t>
      </w:r>
    </w:p>
    <w:p w14:paraId="59291F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Times New Roman"/>
          <w:color w:val="000000"/>
          <w:sz w:val="24"/>
          <w:highlight w:val="none"/>
          <w:lang w:val="en-US" w:eastAsia="zh-CN"/>
        </w:rPr>
      </w:pPr>
      <w:r>
        <w:rPr>
          <w:rFonts w:hint="eastAsia" w:cs="Times New Roman"/>
          <w:color w:val="000000"/>
          <w:sz w:val="24"/>
          <w:highlight w:val="none"/>
          <w:lang w:val="en-US" w:eastAsia="zh-CN"/>
        </w:rPr>
        <w:t>①</w:t>
      </w:r>
      <w:r>
        <w:rPr>
          <w:rFonts w:hint="default" w:cs="Times New Roman"/>
          <w:color w:val="000000"/>
          <w:sz w:val="24"/>
          <w:highlight w:val="none"/>
          <w:lang w:val="en-US" w:eastAsia="zh-CN"/>
        </w:rPr>
        <w:t>铅、汞、隔、砷等重金属空白加标回收率范围为96.0~113.6%，在允许加标回收范围（80%~120%）内，重金属砷的基体加标回收率为102.5%，在允许加标回收范围（70%~125%）内</w:t>
      </w:r>
      <w:r>
        <w:rPr>
          <w:rFonts w:hint="eastAsia" w:cs="Times New Roman"/>
          <w:color w:val="000000"/>
          <w:sz w:val="24"/>
          <w:highlight w:val="none"/>
          <w:lang w:val="en-US" w:eastAsia="zh-CN"/>
        </w:rPr>
        <w:t>；</w:t>
      </w:r>
    </w:p>
    <w:p w14:paraId="47FCAE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Times New Roman"/>
          <w:color w:val="000000"/>
          <w:sz w:val="24"/>
          <w:highlight w:val="none"/>
          <w:lang w:val="en-US" w:eastAsia="zh-CN"/>
        </w:rPr>
      </w:pPr>
      <w:r>
        <w:rPr>
          <w:rFonts w:hint="eastAsia" w:cs="Times New Roman"/>
          <w:color w:val="000000"/>
          <w:sz w:val="24"/>
          <w:highlight w:val="none"/>
          <w:lang w:val="en-US" w:eastAsia="zh-CN"/>
        </w:rPr>
        <w:t>②</w:t>
      </w:r>
      <w:r>
        <w:rPr>
          <w:rFonts w:hint="default" w:cs="Times New Roman"/>
          <w:color w:val="000000"/>
          <w:sz w:val="24"/>
          <w:highlight w:val="none"/>
          <w:lang w:val="en-US" w:eastAsia="zh-CN"/>
        </w:rPr>
        <w:t>挥发性有机物空白加标回收率范围为74.2~128.8%，在允许加标回收范围（70%~130%）内，基体加标回收率范围为71.8%~125.8%，在允许加标回收范围（70%~130%）内</w:t>
      </w:r>
      <w:r>
        <w:rPr>
          <w:rFonts w:hint="eastAsia" w:cs="Times New Roman"/>
          <w:color w:val="000000"/>
          <w:sz w:val="24"/>
          <w:highlight w:val="none"/>
          <w:lang w:val="en-US" w:eastAsia="zh-CN"/>
        </w:rPr>
        <w:t>；</w:t>
      </w:r>
    </w:p>
    <w:p w14:paraId="15AF14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Times New Roman"/>
          <w:color w:val="000000"/>
          <w:sz w:val="24"/>
          <w:highlight w:val="none"/>
          <w:lang w:val="en-US" w:eastAsia="zh-CN"/>
        </w:rPr>
      </w:pPr>
      <w:r>
        <w:rPr>
          <w:rFonts w:hint="eastAsia" w:cs="Times New Roman"/>
          <w:color w:val="000000"/>
          <w:sz w:val="24"/>
          <w:highlight w:val="none"/>
          <w:lang w:val="en-US" w:eastAsia="zh-CN"/>
        </w:rPr>
        <w:t>③</w:t>
      </w:r>
      <w:r>
        <w:rPr>
          <w:rFonts w:hint="default" w:cs="Times New Roman"/>
          <w:color w:val="000000"/>
          <w:sz w:val="24"/>
          <w:highlight w:val="none"/>
          <w:lang w:val="en-US" w:eastAsia="zh-CN"/>
        </w:rPr>
        <w:t>半挥发性有机物空白加标回收率为59.1%~108.4%，在允许加标回收范围（50%~130%）内，基体加标回收率为50.3%~97.0%，在允许加标回收范围（50%~130%）内。</w:t>
      </w:r>
    </w:p>
    <w:p w14:paraId="648536FA">
      <w:pPr>
        <w:numPr>
          <w:ilvl w:val="0"/>
          <w:numId w:val="0"/>
        </w:numPr>
        <w:spacing w:line="360" w:lineRule="auto"/>
        <w:ind w:left="481" w:leftChars="0"/>
        <w:rPr>
          <w:rFonts w:hint="default" w:ascii="Times New Roman" w:hAnsi="Times New Roman" w:cs="Times New Roman"/>
          <w:b/>
          <w:bCs/>
          <w:kern w:val="0"/>
          <w:sz w:val="24"/>
          <w:highlight w:val="none"/>
        </w:rPr>
      </w:pPr>
      <w:r>
        <w:rPr>
          <w:rFonts w:hint="eastAsia" w:cs="Times New Roman"/>
          <w:b/>
          <w:bCs/>
          <w:kern w:val="0"/>
          <w:sz w:val="24"/>
          <w:highlight w:val="none"/>
          <w:lang w:eastAsia="zh-CN"/>
        </w:rPr>
        <w:t>（</w:t>
      </w:r>
      <w:r>
        <w:rPr>
          <w:rFonts w:hint="eastAsia" w:cs="Times New Roman"/>
          <w:b/>
          <w:bCs/>
          <w:kern w:val="0"/>
          <w:sz w:val="24"/>
          <w:highlight w:val="none"/>
          <w:lang w:val="en-US" w:eastAsia="zh-CN"/>
        </w:rPr>
        <w:t>4</w:t>
      </w:r>
      <w:r>
        <w:rPr>
          <w:rFonts w:hint="eastAsia" w:cs="Times New Roman"/>
          <w:b/>
          <w:bCs/>
          <w:kern w:val="0"/>
          <w:sz w:val="24"/>
          <w:highlight w:val="none"/>
          <w:lang w:eastAsia="zh-CN"/>
        </w:rPr>
        <w:t>）</w:t>
      </w:r>
      <w:r>
        <w:rPr>
          <w:rFonts w:hint="default" w:ascii="Times New Roman" w:hAnsi="Times New Roman" w:cs="Times New Roman"/>
          <w:b/>
          <w:bCs/>
          <w:kern w:val="0"/>
          <w:sz w:val="24"/>
          <w:highlight w:val="none"/>
        </w:rPr>
        <w:t>替代物加标回收质控</w:t>
      </w:r>
    </w:p>
    <w:p w14:paraId="79BD8DC8">
      <w:pPr>
        <w:spacing w:line="360" w:lineRule="auto"/>
        <w:ind w:firstLine="480" w:firstLineChars="200"/>
        <w:rPr>
          <w:rFonts w:hint="default" w:ascii="Times New Roman" w:hAnsi="Times New Roman" w:eastAsia="宋体" w:cs="Times New Roman"/>
          <w:color w:val="000000"/>
          <w:sz w:val="24"/>
          <w:highlight w:val="none"/>
          <w:lang w:eastAsia="zh-CN"/>
        </w:rPr>
      </w:pPr>
      <w:r>
        <w:rPr>
          <w:rFonts w:hint="default" w:ascii="Times New Roman" w:hAnsi="Times New Roman" w:cs="Times New Roman"/>
          <w:color w:val="000000"/>
          <w:sz w:val="24"/>
          <w:highlight w:val="none"/>
        </w:rPr>
        <w:t>本次实验过程对每个样品以及所有的质控样品均进行了替代物（Surrogate）加标检测，并且要求 VOCs 替代物加标的回收率控制在 70%~130%，SVOCs 替代物加标的回收率控制在 50%～130%。本次所有控制样品检测结果的替代物加标回收率均在要求范围内，符合质控要求。</w:t>
      </w:r>
    </w:p>
    <w:p w14:paraId="4ABE68B9">
      <w:pPr>
        <w:pStyle w:val="5"/>
        <w:bidi w:val="0"/>
        <w:rPr>
          <w:rFonts w:hint="default" w:ascii="Times New Roman" w:hAnsi="Times New Roman" w:cs="Times New Roman"/>
          <w:highlight w:val="none"/>
        </w:rPr>
      </w:pPr>
      <w:r>
        <w:rPr>
          <w:rFonts w:hint="default" w:ascii="Times New Roman" w:hAnsi="Times New Roman" w:cs="Times New Roman"/>
          <w:highlight w:val="none"/>
        </w:rPr>
        <w:t>实验室质控结论</w:t>
      </w:r>
    </w:p>
    <w:p w14:paraId="72A3D241">
      <w:pPr>
        <w:spacing w:line="360" w:lineRule="auto"/>
        <w:ind w:left="1" w:firstLine="480" w:firstLineChars="200"/>
        <w:rPr>
          <w:rFonts w:hint="default" w:ascii="Times New Roman" w:hAnsi="Times New Roman" w:cs="Times New Roman"/>
          <w:highlight w:val="none"/>
        </w:rPr>
      </w:pPr>
      <w:r>
        <w:rPr>
          <w:rFonts w:hint="default" w:ascii="Times New Roman" w:hAnsi="Times New Roman" w:cs="Times New Roman"/>
          <w:color w:val="000000"/>
          <w:kern w:val="0"/>
          <w:sz w:val="24"/>
          <w:highlight w:val="none"/>
        </w:rPr>
        <w:t>本次质控方法空白结果均小于报告限值；本次土壤实验室内精密度平行双样测试样品中有机污染物指标均未检出、重金属</w:t>
      </w:r>
      <w:r>
        <w:rPr>
          <w:rFonts w:hint="default" w:ascii="Times New Roman" w:hAnsi="Times New Roman" w:cs="Times New Roman"/>
          <w:color w:val="000000"/>
          <w:kern w:val="0"/>
          <w:sz w:val="24"/>
          <w:highlight w:val="none"/>
          <w:lang w:eastAsia="zh-CN"/>
        </w:rPr>
        <w:t>铬（六价）</w:t>
      </w:r>
      <w:r>
        <w:rPr>
          <w:rFonts w:hint="default" w:ascii="Times New Roman" w:hAnsi="Times New Roman" w:cs="Times New Roman"/>
          <w:color w:val="000000"/>
          <w:kern w:val="0"/>
          <w:sz w:val="24"/>
          <w:highlight w:val="none"/>
        </w:rPr>
        <w:t>均为检出，</w:t>
      </w:r>
      <w:r>
        <w:rPr>
          <w:rFonts w:hint="default" w:ascii="Times New Roman" w:hAnsi="Times New Roman" w:cs="Times New Roman"/>
          <w:color w:val="000000"/>
          <w:sz w:val="24"/>
          <w:highlight w:val="none"/>
        </w:rPr>
        <w:t>重金属土壤室内平行样相对偏差在 0.0%~9.1%，在允许范围内。重金属检测指标铜、镍有证标准样品质控结果合格；样品空白加标/基体加标回收率在允许加标回收率范围内，质控结果合格</w:t>
      </w:r>
      <w:r>
        <w:rPr>
          <w:rFonts w:hint="default" w:ascii="Times New Roman" w:hAnsi="Times New Roman" w:cs="Times New Roman"/>
          <w:color w:val="000000"/>
          <w:kern w:val="0"/>
          <w:sz w:val="24"/>
          <w:highlight w:val="none"/>
        </w:rPr>
        <w:t>；替代物加标回收率</w:t>
      </w:r>
      <w:r>
        <w:rPr>
          <w:rFonts w:hint="default" w:ascii="Times New Roman" w:hAnsi="Times New Roman" w:cs="Times New Roman"/>
          <w:color w:val="000000"/>
          <w:sz w:val="24"/>
          <w:highlight w:val="none"/>
        </w:rPr>
        <w:t>在允许加标回收率范围内，质控结果合格，</w:t>
      </w:r>
      <w:r>
        <w:rPr>
          <w:rFonts w:hint="default" w:ascii="Times New Roman" w:hAnsi="Times New Roman" w:cs="Times New Roman"/>
          <w:color w:val="000000"/>
          <w:kern w:val="0"/>
          <w:sz w:val="24"/>
          <w:highlight w:val="none"/>
        </w:rPr>
        <w:t>因此，本批次测试数据质量可靠，详见</w:t>
      </w:r>
      <w:r>
        <w:rPr>
          <w:rFonts w:hint="default" w:ascii="Times New Roman" w:hAnsi="Times New Roman" w:cs="Times New Roman"/>
          <w:color w:val="000000"/>
          <w:kern w:val="0"/>
          <w:sz w:val="24"/>
          <w:highlight w:val="none"/>
          <w:lang w:eastAsia="zh-CN"/>
        </w:rPr>
        <w:t>附件</w:t>
      </w:r>
      <w:r>
        <w:rPr>
          <w:rFonts w:hint="default" w:ascii="Times New Roman" w:hAnsi="Times New Roman" w:cs="Times New Roman"/>
          <w:color w:val="000000"/>
          <w:kern w:val="0"/>
          <w:sz w:val="24"/>
          <w:highlight w:val="none"/>
          <w:lang w:val="en-US" w:eastAsia="zh-CN"/>
        </w:rPr>
        <w:t>3</w:t>
      </w:r>
      <w:r>
        <w:rPr>
          <w:rFonts w:hint="default" w:ascii="Times New Roman" w:hAnsi="Times New Roman" w:cs="Times New Roman"/>
          <w:color w:val="000000"/>
          <w:kern w:val="0"/>
          <w:sz w:val="24"/>
          <w:highlight w:val="none"/>
          <w:lang w:eastAsia="zh-CN"/>
        </w:rPr>
        <w:t>监测报告和附件</w:t>
      </w:r>
      <w:r>
        <w:rPr>
          <w:rFonts w:hint="default" w:ascii="Times New Roman" w:hAnsi="Times New Roman" w:cs="Times New Roman"/>
          <w:color w:val="000000"/>
          <w:kern w:val="0"/>
          <w:sz w:val="24"/>
          <w:highlight w:val="none"/>
          <w:lang w:val="en-US" w:eastAsia="zh-CN"/>
        </w:rPr>
        <w:t>4质控报告</w:t>
      </w:r>
      <w:r>
        <w:rPr>
          <w:rFonts w:hint="default" w:ascii="Times New Roman" w:hAnsi="Times New Roman" w:cs="Times New Roman"/>
          <w:color w:val="000000"/>
          <w:kern w:val="0"/>
          <w:sz w:val="24"/>
          <w:highlight w:val="none"/>
        </w:rPr>
        <w:t>。</w:t>
      </w:r>
    </w:p>
    <w:p w14:paraId="78C5B53D">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highlight w:val="none"/>
          <w14:textFill>
            <w14:solidFill>
              <w14:schemeClr w14:val="tx1"/>
            </w14:solidFill>
          </w14:textFill>
        </w:rPr>
        <w:sectPr>
          <w:headerReference r:id="rId16" w:type="default"/>
          <w:pgSz w:w="11849" w:h="16781"/>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0" w:charSpace="0"/>
        </w:sectPr>
      </w:pPr>
    </w:p>
    <w:p w14:paraId="619B21B5">
      <w:pPr>
        <w:pStyle w:val="3"/>
        <w:numPr>
          <w:ilvl w:val="0"/>
          <w:numId w:val="1"/>
        </w:numPr>
        <w:tabs>
          <w:tab w:val="clear" w:pos="425"/>
        </w:tabs>
        <w:rPr>
          <w:rFonts w:hint="default" w:ascii="Times New Roman" w:hAnsi="Times New Roman" w:cs="Times New Roman"/>
          <w:highlight w:val="none"/>
          <w:lang w:eastAsia="zh-CN"/>
        </w:rPr>
      </w:pPr>
      <w:bookmarkStart w:id="34" w:name="_Toc10302"/>
      <w:r>
        <w:rPr>
          <w:rFonts w:hint="default" w:ascii="Times New Roman" w:hAnsi="Times New Roman" w:cs="Times New Roman"/>
          <w:highlight w:val="none"/>
          <w:lang w:eastAsia="zh-CN"/>
        </w:rPr>
        <w:t>结果与评价</w:t>
      </w:r>
      <w:bookmarkEnd w:id="34"/>
    </w:p>
    <w:p w14:paraId="2A2286B0">
      <w:pPr>
        <w:pStyle w:val="4"/>
        <w:tabs>
          <w:tab w:val="left" w:leader="dot" w:pos="0"/>
          <w:tab w:val="clear" w:pos="425"/>
        </w:tabs>
        <w:rPr>
          <w:rFonts w:hint="default" w:ascii="Times New Roman" w:hAnsi="Times New Roman" w:cs="Times New Roman"/>
          <w:highlight w:val="none"/>
        </w:rPr>
      </w:pPr>
      <w:bookmarkStart w:id="35" w:name="_Toc18729"/>
      <w:bookmarkStart w:id="36" w:name="_Toc5936_WPSOffice_Level2"/>
      <w:bookmarkStart w:id="37" w:name="_Toc55399881"/>
      <w:r>
        <w:rPr>
          <w:rFonts w:hint="default" w:ascii="Times New Roman" w:hAnsi="Times New Roman" w:cs="Times New Roman"/>
          <w:highlight w:val="none"/>
          <w:lang w:eastAsia="zh-CN"/>
        </w:rPr>
        <w:t>园区环境质量参考标准</w:t>
      </w:r>
      <w:bookmarkEnd w:id="35"/>
    </w:p>
    <w:p w14:paraId="0DC90394">
      <w:pPr>
        <w:pStyle w:val="5"/>
        <w:tabs>
          <w:tab w:val="left" w:pos="425"/>
        </w:tabs>
        <w:bidi w:val="0"/>
        <w:rPr>
          <w:rFonts w:hint="default" w:ascii="Times New Roman" w:hAnsi="Times New Roman" w:cs="Times New Roman"/>
          <w:highlight w:val="none"/>
        </w:rPr>
      </w:pPr>
      <w:r>
        <w:rPr>
          <w:rFonts w:hint="default" w:ascii="Times New Roman" w:hAnsi="Times New Roman" w:cs="Times New Roman"/>
          <w:highlight w:val="none"/>
        </w:rPr>
        <w:t>土壤</w:t>
      </w:r>
      <w:bookmarkEnd w:id="36"/>
      <w:bookmarkEnd w:id="37"/>
      <w:r>
        <w:rPr>
          <w:rFonts w:hint="default" w:ascii="Times New Roman" w:hAnsi="Times New Roman" w:cs="Times New Roman"/>
          <w:highlight w:val="none"/>
          <w:lang w:eastAsia="zh-CN"/>
        </w:rPr>
        <w:t>评价标准</w:t>
      </w:r>
    </w:p>
    <w:p w14:paraId="1C07958E">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本</w:t>
      </w:r>
      <w:r>
        <w:rPr>
          <w:rFonts w:hint="eastAsia" w:cs="Times New Roman"/>
          <w:color w:val="000000"/>
          <w:kern w:val="0"/>
          <w:sz w:val="24"/>
          <w:szCs w:val="24"/>
          <w:highlight w:val="none"/>
          <w:lang w:val="en-US" w:eastAsia="zh-CN" w:bidi="ar-SA"/>
        </w:rPr>
        <w:t>园区</w:t>
      </w:r>
      <w:r>
        <w:rPr>
          <w:rFonts w:hint="default" w:ascii="Times New Roman" w:hAnsi="Times New Roman" w:eastAsia="宋体" w:cs="Times New Roman"/>
          <w:color w:val="000000"/>
          <w:kern w:val="0"/>
          <w:sz w:val="24"/>
          <w:szCs w:val="24"/>
          <w:highlight w:val="none"/>
          <w:lang w:val="en-US" w:eastAsia="zh-CN" w:bidi="ar-SA"/>
        </w:rPr>
        <w:t>共测试5</w:t>
      </w:r>
      <w:r>
        <w:rPr>
          <w:rFonts w:hint="default" w:ascii="Times New Roman" w:hAnsi="Times New Roman" w:cs="Times New Roman"/>
          <w:color w:val="000000"/>
          <w:kern w:val="0"/>
          <w:sz w:val="24"/>
          <w:szCs w:val="24"/>
          <w:highlight w:val="none"/>
          <w:lang w:val="en-US" w:eastAsia="zh-CN" w:bidi="ar-SA"/>
        </w:rPr>
        <w:t>7</w:t>
      </w:r>
      <w:r>
        <w:rPr>
          <w:rFonts w:hint="default" w:ascii="Times New Roman" w:hAnsi="Times New Roman" w:eastAsia="宋体" w:cs="Times New Roman"/>
          <w:color w:val="000000"/>
          <w:kern w:val="0"/>
          <w:sz w:val="24"/>
          <w:szCs w:val="24"/>
          <w:highlight w:val="none"/>
          <w:lang w:val="en-US" w:eastAsia="zh-CN" w:bidi="ar-SA"/>
        </w:rPr>
        <w:t>个项目，采集</w:t>
      </w:r>
      <w:r>
        <w:rPr>
          <w:rFonts w:hint="default" w:ascii="Times New Roman" w:hAnsi="Times New Roman" w:cs="Times New Roman"/>
          <w:color w:val="000000"/>
          <w:kern w:val="0"/>
          <w:sz w:val="24"/>
          <w:szCs w:val="24"/>
          <w:highlight w:val="none"/>
          <w:lang w:val="en-US" w:eastAsia="zh-CN" w:bidi="ar-SA"/>
        </w:rPr>
        <w:t>20个点位</w:t>
      </w:r>
      <w:r>
        <w:rPr>
          <w:rFonts w:hint="eastAsia" w:cs="Times New Roman"/>
          <w:color w:val="000000"/>
          <w:kern w:val="0"/>
          <w:sz w:val="24"/>
          <w:szCs w:val="24"/>
          <w:highlight w:val="none"/>
          <w:lang w:val="en-US" w:eastAsia="zh-CN" w:bidi="ar-SA"/>
        </w:rPr>
        <w:t>样品</w:t>
      </w:r>
      <w:r>
        <w:rPr>
          <w:color w:val="000000"/>
          <w:kern w:val="0"/>
          <w:highlight w:val="none"/>
        </w:rPr>
        <w:t>（不含</w:t>
      </w:r>
      <w:r>
        <w:rPr>
          <w:rFonts w:hint="eastAsia"/>
          <w:color w:val="000000"/>
          <w:kern w:val="0"/>
          <w:highlight w:val="none"/>
          <w:lang w:val="en-US" w:eastAsia="zh-CN"/>
        </w:rPr>
        <w:t>质控样品</w:t>
      </w:r>
      <w:r>
        <w:rPr>
          <w:color w:val="000000"/>
          <w:kern w:val="0"/>
          <w:highlight w:val="none"/>
        </w:rPr>
        <w:t>）</w:t>
      </w:r>
      <w:r>
        <w:rPr>
          <w:rFonts w:hint="default" w:ascii="Times New Roman" w:hAnsi="Times New Roman" w:eastAsia="宋体" w:cs="Times New Roman"/>
          <w:color w:val="000000"/>
          <w:kern w:val="0"/>
          <w:sz w:val="24"/>
          <w:szCs w:val="24"/>
          <w:highlight w:val="none"/>
          <w:lang w:val="en-US" w:eastAsia="zh-CN" w:bidi="ar-SA"/>
        </w:rPr>
        <w:t>。根据点位所在位置对应的建设用地或农用地土壤类型，参考《土壤环境质量 建设用地土壤污染风险管控标准（试行）（GB36600</w:t>
      </w:r>
      <w:r>
        <w:rPr>
          <w:rFonts w:hint="default" w:ascii="Times New Roman" w:hAnsi="Times New Roman" w:cs="Times New Roman"/>
          <w:color w:val="000000"/>
          <w:kern w:val="0"/>
          <w:sz w:val="24"/>
          <w:szCs w:val="24"/>
          <w:highlight w:val="none"/>
          <w:lang w:val="en-US" w:eastAsia="zh-CN" w:bidi="ar-SA"/>
        </w:rPr>
        <w:t>-2018</w:t>
      </w:r>
      <w:r>
        <w:rPr>
          <w:rFonts w:hint="default" w:ascii="Times New Roman" w:hAnsi="Times New Roman" w:eastAsia="宋体" w:cs="Times New Roman"/>
          <w:color w:val="000000"/>
          <w:kern w:val="0"/>
          <w:sz w:val="24"/>
          <w:szCs w:val="24"/>
          <w:highlight w:val="none"/>
          <w:lang w:val="en-US" w:eastAsia="zh-CN" w:bidi="ar-SA"/>
        </w:rPr>
        <w:t>）》</w:t>
      </w:r>
      <w:r>
        <w:rPr>
          <w:rFonts w:hint="default" w:ascii="Times New Roman" w:hAnsi="Times New Roman" w:cs="Times New Roman"/>
          <w:color w:val="000000"/>
          <w:kern w:val="0"/>
          <w:sz w:val="24"/>
          <w:szCs w:val="24"/>
          <w:highlight w:val="none"/>
          <w:lang w:val="en-US" w:eastAsia="zh-CN" w:bidi="ar-SA"/>
        </w:rPr>
        <w:t>（以下简称“GB36600”）</w:t>
      </w:r>
      <w:r>
        <w:rPr>
          <w:rFonts w:hint="default" w:ascii="Times New Roman" w:hAnsi="Times New Roman" w:eastAsia="宋体" w:cs="Times New Roman"/>
          <w:color w:val="000000"/>
          <w:kern w:val="0"/>
          <w:sz w:val="24"/>
          <w:szCs w:val="24"/>
          <w:highlight w:val="none"/>
          <w:lang w:val="en-US" w:eastAsia="zh-CN" w:bidi="ar-SA"/>
        </w:rPr>
        <w:t>、《土壤环境质量 农用地土壤污染风险管控标准（试行）（GB1561</w:t>
      </w:r>
      <w:r>
        <w:rPr>
          <w:rFonts w:hint="default" w:ascii="Times New Roman" w:hAnsi="Times New Roman" w:cs="Times New Roman"/>
          <w:color w:val="000000"/>
          <w:kern w:val="0"/>
          <w:sz w:val="24"/>
          <w:szCs w:val="24"/>
          <w:highlight w:val="none"/>
          <w:lang w:val="en-US" w:eastAsia="zh-CN" w:bidi="ar-SA"/>
        </w:rPr>
        <w:t>8-2018</w:t>
      </w:r>
      <w:r>
        <w:rPr>
          <w:rFonts w:hint="default" w:ascii="Times New Roman" w:hAnsi="Times New Roman" w:eastAsia="宋体" w:cs="Times New Roman"/>
          <w:color w:val="000000"/>
          <w:kern w:val="0"/>
          <w:sz w:val="24"/>
          <w:szCs w:val="24"/>
          <w:highlight w:val="none"/>
          <w:lang w:val="en-US" w:eastAsia="zh-CN" w:bidi="ar-SA"/>
        </w:rPr>
        <w:t>）》</w:t>
      </w:r>
      <w:r>
        <w:rPr>
          <w:rFonts w:hint="default" w:ascii="Times New Roman" w:hAnsi="Times New Roman" w:cs="Times New Roman"/>
          <w:color w:val="000000"/>
          <w:kern w:val="0"/>
          <w:sz w:val="24"/>
          <w:szCs w:val="24"/>
          <w:highlight w:val="none"/>
          <w:lang w:val="en-US" w:eastAsia="zh-CN" w:bidi="ar-SA"/>
        </w:rPr>
        <w:t>（以下简称“GB15618”）</w:t>
      </w:r>
      <w:r>
        <w:rPr>
          <w:rFonts w:hint="default" w:ascii="Times New Roman" w:hAnsi="Times New Roman" w:eastAsia="宋体" w:cs="Times New Roman"/>
          <w:color w:val="000000"/>
          <w:kern w:val="0"/>
          <w:sz w:val="24"/>
          <w:szCs w:val="24"/>
          <w:highlight w:val="none"/>
          <w:lang w:val="en-US" w:eastAsia="zh-CN" w:bidi="ar-SA"/>
        </w:rPr>
        <w:t>进行评估，其中无法参考上述标准的测试因子采用《建设用地土壤污染风险筛选值和管制值（DB4403_T 67-2020）（深圳</w:t>
      </w:r>
      <w:r>
        <w:rPr>
          <w:rFonts w:hint="default" w:ascii="Times New Roman" w:hAnsi="Times New Roman" w:cs="Times New Roman"/>
          <w:color w:val="000000"/>
          <w:kern w:val="0"/>
          <w:sz w:val="24"/>
          <w:szCs w:val="24"/>
          <w:highlight w:val="none"/>
          <w:lang w:val="en-US" w:eastAsia="zh-CN" w:bidi="ar-SA"/>
        </w:rPr>
        <w:t>）</w:t>
      </w:r>
      <w:r>
        <w:rPr>
          <w:rFonts w:hint="default" w:ascii="Times New Roman" w:hAnsi="Times New Roman" w:eastAsia="宋体" w:cs="Times New Roman"/>
          <w:color w:val="000000"/>
          <w:kern w:val="0"/>
          <w:sz w:val="24"/>
          <w:szCs w:val="24"/>
          <w:highlight w:val="none"/>
          <w:lang w:val="en-US" w:eastAsia="zh-CN" w:bidi="ar-SA"/>
        </w:rPr>
        <w:t>》</w:t>
      </w:r>
      <w:r>
        <w:rPr>
          <w:rFonts w:hint="default" w:ascii="Times New Roman" w:hAnsi="Times New Roman" w:cs="Times New Roman"/>
          <w:color w:val="000000"/>
          <w:kern w:val="0"/>
          <w:sz w:val="24"/>
          <w:szCs w:val="24"/>
          <w:highlight w:val="none"/>
          <w:lang w:val="en-US" w:eastAsia="zh-CN" w:bidi="ar-SA"/>
        </w:rPr>
        <w:t>（以下简称“深圳标准”）</w:t>
      </w:r>
      <w:r>
        <w:rPr>
          <w:rFonts w:hint="default" w:ascii="Times New Roman" w:hAnsi="Times New Roman" w:eastAsia="宋体" w:cs="Times New Roman"/>
          <w:color w:val="000000"/>
          <w:kern w:val="0"/>
          <w:sz w:val="24"/>
          <w:szCs w:val="24"/>
          <w:highlight w:val="none"/>
          <w:lang w:val="en-US" w:eastAsia="zh-CN" w:bidi="ar-SA"/>
        </w:rPr>
        <w:t>中对应的用地类型</w:t>
      </w:r>
      <w:r>
        <w:rPr>
          <w:rFonts w:hint="default" w:ascii="Times New Roman" w:hAnsi="Times New Roman" w:cs="Times New Roman"/>
          <w:color w:val="000000"/>
          <w:kern w:val="0"/>
          <w:sz w:val="24"/>
          <w:szCs w:val="24"/>
          <w:highlight w:val="none"/>
          <w:lang w:val="en-US" w:eastAsia="zh-CN" w:bidi="ar-SA"/>
        </w:rPr>
        <w:t>或风险评估计算值</w:t>
      </w:r>
      <w:r>
        <w:rPr>
          <w:rFonts w:hint="default" w:ascii="Times New Roman" w:hAnsi="Times New Roman" w:eastAsia="宋体" w:cs="Times New Roman"/>
          <w:color w:val="000000"/>
          <w:kern w:val="0"/>
          <w:sz w:val="24"/>
          <w:szCs w:val="24"/>
          <w:highlight w:val="none"/>
          <w:lang w:val="en-US" w:eastAsia="zh-CN" w:bidi="ar-SA"/>
        </w:rPr>
        <w:t>进行评估。</w:t>
      </w:r>
      <w:r>
        <w:rPr>
          <w:rFonts w:hint="default" w:ascii="Times New Roman" w:hAnsi="Times New Roman" w:cs="Times New Roman"/>
          <w:color w:val="000000"/>
          <w:kern w:val="0"/>
          <w:sz w:val="24"/>
          <w:szCs w:val="24"/>
          <w:highlight w:val="none"/>
          <w:lang w:val="en-US" w:eastAsia="zh-CN" w:bidi="ar-SA"/>
        </w:rPr>
        <w:t>具体原则如下：</w:t>
      </w:r>
    </w:p>
    <w:p w14:paraId="1235B5D0">
      <w:pPr>
        <w:pStyle w:val="2"/>
        <w:keepNext w:val="0"/>
        <w:keepLines w:val="0"/>
        <w:pageBreakBefore w:val="0"/>
        <w:widowControl w:val="0"/>
        <w:numPr>
          <w:ilvl w:val="0"/>
          <w:numId w:val="8"/>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000000"/>
          <w:kern w:val="0"/>
          <w:sz w:val="24"/>
          <w:szCs w:val="24"/>
          <w:highlight w:val="none"/>
          <w:lang w:val="en-US" w:eastAsia="zh-CN" w:bidi="ar-SA"/>
        </w:rPr>
      </w:pPr>
      <w:r>
        <w:rPr>
          <w:rFonts w:hint="default" w:ascii="Times New Roman" w:hAnsi="Times New Roman" w:cs="Times New Roman"/>
          <w:color w:val="000000"/>
          <w:kern w:val="0"/>
          <w:sz w:val="24"/>
          <w:szCs w:val="24"/>
          <w:highlight w:val="none"/>
          <w:lang w:val="en-US" w:eastAsia="zh-CN" w:bidi="ar-SA"/>
        </w:rPr>
        <w:t>园区周边土壤点位根据现场踏勘结合谷歌卫片，采用现状用地类型进行评估；</w:t>
      </w:r>
    </w:p>
    <w:p w14:paraId="6B27254D">
      <w:pPr>
        <w:pStyle w:val="2"/>
        <w:keepNext w:val="0"/>
        <w:keepLines w:val="0"/>
        <w:pageBreakBefore w:val="0"/>
        <w:widowControl w:val="0"/>
        <w:numPr>
          <w:ilvl w:val="0"/>
          <w:numId w:val="8"/>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000000"/>
          <w:kern w:val="0"/>
          <w:sz w:val="24"/>
          <w:szCs w:val="24"/>
          <w:highlight w:val="none"/>
          <w:lang w:val="en-US" w:eastAsia="zh-CN" w:bidi="ar-SA"/>
        </w:rPr>
      </w:pPr>
      <w:r>
        <w:rPr>
          <w:rFonts w:hint="default" w:ascii="Times New Roman" w:hAnsi="Times New Roman" w:cs="Times New Roman"/>
          <w:color w:val="000000"/>
          <w:kern w:val="0"/>
          <w:sz w:val="24"/>
          <w:szCs w:val="24"/>
          <w:highlight w:val="none"/>
          <w:lang w:val="en-US" w:eastAsia="zh-CN" w:bidi="ar-SA"/>
        </w:rPr>
        <w:t>已建成企业聚集区周边点位根据</w:t>
      </w:r>
      <w:r>
        <w:rPr>
          <w:rFonts w:hint="eastAsia" w:cs="Times New Roman"/>
          <w:color w:val="000000" w:themeColor="text1"/>
          <w:kern w:val="0"/>
          <w:sz w:val="24"/>
          <w:highlight w:val="none"/>
          <w:lang w:val="en-US" w:eastAsia="zh-CN"/>
          <w14:textFill>
            <w14:solidFill>
              <w14:schemeClr w14:val="tx1"/>
            </w14:solidFill>
          </w14:textFill>
        </w:rPr>
        <w:t>华容城区控制性详规图</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w:t>
      </w:r>
      <w:r>
        <w:rPr>
          <w:rFonts w:hint="default" w:ascii="Times New Roman" w:hAnsi="Times New Roman" w:cs="Times New Roman"/>
          <w:color w:val="000000"/>
          <w:kern w:val="0"/>
          <w:sz w:val="24"/>
          <w:szCs w:val="24"/>
          <w:highlight w:val="none"/>
          <w:lang w:val="en-US" w:eastAsia="zh-CN" w:bidi="ar-SA"/>
        </w:rPr>
        <w:t>采用规划用地类型进行评估；</w:t>
      </w:r>
    </w:p>
    <w:p w14:paraId="00E58E82">
      <w:pPr>
        <w:pStyle w:val="2"/>
        <w:keepNext w:val="0"/>
        <w:keepLines w:val="0"/>
        <w:pageBreakBefore w:val="0"/>
        <w:widowControl w:val="0"/>
        <w:numPr>
          <w:ilvl w:val="0"/>
          <w:numId w:val="8"/>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000000"/>
          <w:kern w:val="0"/>
          <w:sz w:val="24"/>
          <w:szCs w:val="24"/>
          <w:highlight w:val="none"/>
          <w:lang w:val="en-US" w:eastAsia="zh-CN" w:bidi="ar-SA"/>
        </w:rPr>
      </w:pPr>
      <w:r>
        <w:rPr>
          <w:rFonts w:hint="default" w:ascii="Times New Roman" w:hAnsi="Times New Roman" w:cs="Times New Roman"/>
          <w:color w:val="000000"/>
          <w:kern w:val="0"/>
          <w:sz w:val="24"/>
          <w:szCs w:val="24"/>
          <w:highlight w:val="none"/>
          <w:lang w:val="en-US" w:eastAsia="zh-CN" w:bidi="ar-SA"/>
        </w:rPr>
        <w:t>对于园区周边土壤中现状用地为农用地的点位，GB15618</w:t>
      </w:r>
      <w:r>
        <w:rPr>
          <w:rFonts w:hint="eastAsia" w:cs="Times New Roman"/>
          <w:color w:val="000000"/>
          <w:kern w:val="0"/>
          <w:sz w:val="24"/>
          <w:szCs w:val="24"/>
          <w:highlight w:val="none"/>
          <w:lang w:val="en-US" w:eastAsia="zh-CN" w:bidi="ar-SA"/>
        </w:rPr>
        <w:t>中未涉及的因子</w:t>
      </w:r>
      <w:r>
        <w:rPr>
          <w:rFonts w:hint="eastAsia"/>
          <w:color w:val="000000"/>
          <w:kern w:val="0"/>
          <w:highlight w:val="none"/>
          <w:lang w:val="en-US" w:eastAsia="zh-CN"/>
        </w:rPr>
        <w:t>参照</w:t>
      </w:r>
      <w:r>
        <w:rPr>
          <w:rFonts w:hint="default" w:ascii="Times New Roman" w:hAnsi="Times New Roman" w:cs="Times New Roman"/>
          <w:color w:val="000000"/>
          <w:kern w:val="0"/>
          <w:sz w:val="24"/>
          <w:szCs w:val="24"/>
          <w:highlight w:val="none"/>
          <w:lang w:val="en-US" w:eastAsia="zh-CN" w:bidi="ar-SA"/>
        </w:rPr>
        <w:t>GB36600第一类用地筛选值进行评估。</w:t>
      </w:r>
    </w:p>
    <w:p w14:paraId="5225C8C2">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000000"/>
          <w:kern w:val="0"/>
          <w:sz w:val="24"/>
          <w:szCs w:val="24"/>
          <w:highlight w:val="none"/>
          <w:lang w:val="en-US" w:eastAsia="zh-CN" w:bidi="ar-SA"/>
        </w:rPr>
      </w:pPr>
      <w:r>
        <w:rPr>
          <w:rFonts w:hint="default" w:ascii="Times New Roman" w:hAnsi="Times New Roman" w:cs="Times New Roman"/>
          <w:color w:val="000000"/>
          <w:kern w:val="0"/>
          <w:sz w:val="24"/>
          <w:szCs w:val="24"/>
          <w:highlight w:val="none"/>
          <w:lang w:val="en-US" w:eastAsia="zh-CN" w:bidi="ar-SA"/>
        </w:rPr>
        <w:t>各点位参考标准</w:t>
      </w:r>
      <w:r>
        <w:rPr>
          <w:rFonts w:hint="default" w:ascii="Times New Roman" w:hAnsi="Times New Roman" w:eastAsia="宋体" w:cs="Times New Roman"/>
          <w:color w:val="000000"/>
          <w:kern w:val="0"/>
          <w:sz w:val="24"/>
          <w:szCs w:val="24"/>
          <w:highlight w:val="none"/>
          <w:lang w:val="en-US" w:eastAsia="zh-CN" w:bidi="ar-SA"/>
        </w:rPr>
        <w:t>具体如下</w:t>
      </w:r>
      <w:r>
        <w:rPr>
          <w:rFonts w:hint="default" w:ascii="Times New Roman" w:hAnsi="Times New Roman" w:cs="Times New Roman"/>
          <w:color w:val="000000"/>
          <w:kern w:val="0"/>
          <w:sz w:val="24"/>
          <w:szCs w:val="24"/>
          <w:highlight w:val="none"/>
          <w:lang w:val="en-US" w:eastAsia="zh-CN" w:bidi="ar-SA"/>
        </w:rPr>
        <w:t>表所示。</w:t>
      </w:r>
    </w:p>
    <w:p w14:paraId="3998D18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highlight w:val="none"/>
          <w:lang w:val="en-US" w:eastAsia="zh-CN"/>
        </w:rPr>
      </w:pPr>
      <w:r>
        <w:rPr>
          <w:rFonts w:hint="default" w:ascii="Times New Roman" w:hAnsi="Times New Roman" w:eastAsia="黑体" w:cs="Times New Roman"/>
          <w:b/>
          <w:bCs/>
          <w:sz w:val="24"/>
          <w:highlight w:val="none"/>
        </w:rPr>
        <w:t>表5-1-</w:t>
      </w:r>
      <w:r>
        <w:rPr>
          <w:rFonts w:hint="default" w:ascii="Times New Roman" w:hAnsi="Times New Roman" w:eastAsia="黑体" w:cs="Times New Roman"/>
          <w:b/>
          <w:bCs/>
          <w:sz w:val="24"/>
          <w:highlight w:val="none"/>
          <w:lang w:val="en-US" w:eastAsia="zh-CN"/>
        </w:rPr>
        <w:t xml:space="preserve">1 </w:t>
      </w:r>
      <w:r>
        <w:rPr>
          <w:rFonts w:hint="default" w:ascii="Times New Roman" w:hAnsi="Times New Roman" w:eastAsia="黑体" w:cs="Times New Roman"/>
          <w:b/>
          <w:bCs/>
          <w:sz w:val="24"/>
          <w:highlight w:val="none"/>
          <w:lang w:eastAsia="zh-CN"/>
        </w:rPr>
        <w:t>华容创业园区土壤点位参考标准一览表</w:t>
      </w:r>
    </w:p>
    <w:tbl>
      <w:tblPr>
        <w:tblStyle w:val="21"/>
        <w:tblW w:w="9612"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634"/>
        <w:gridCol w:w="1155"/>
        <w:gridCol w:w="1080"/>
        <w:gridCol w:w="2640"/>
        <w:gridCol w:w="4103"/>
      </w:tblGrid>
      <w:tr w14:paraId="7AA94C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tblHeader/>
          <w:jc w:val="center"/>
        </w:trPr>
        <w:tc>
          <w:tcPr>
            <w:tcW w:w="634" w:type="dxa"/>
            <w:tcBorders>
              <w:bottom w:val="single" w:color="000000" w:sz="12" w:space="0"/>
            </w:tcBorders>
            <w:shd w:val="clear" w:color="auto" w:fill="auto"/>
            <w:noWrap/>
            <w:tcMar>
              <w:top w:w="15" w:type="dxa"/>
              <w:left w:w="15" w:type="dxa"/>
              <w:right w:w="15" w:type="dxa"/>
            </w:tcMar>
            <w:vAlign w:val="center"/>
          </w:tcPr>
          <w:p w14:paraId="379415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序号</w:t>
            </w:r>
          </w:p>
        </w:tc>
        <w:tc>
          <w:tcPr>
            <w:tcW w:w="1155" w:type="dxa"/>
            <w:tcBorders>
              <w:bottom w:val="single" w:color="000000" w:sz="12" w:space="0"/>
            </w:tcBorders>
            <w:shd w:val="clear" w:color="auto" w:fill="auto"/>
            <w:noWrap/>
            <w:tcMar>
              <w:top w:w="15" w:type="dxa"/>
              <w:left w:w="15" w:type="dxa"/>
              <w:right w:w="15" w:type="dxa"/>
            </w:tcMar>
            <w:vAlign w:val="center"/>
          </w:tcPr>
          <w:p w14:paraId="35A217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点位编号</w:t>
            </w:r>
          </w:p>
        </w:tc>
        <w:tc>
          <w:tcPr>
            <w:tcW w:w="1080" w:type="dxa"/>
            <w:tcBorders>
              <w:bottom w:val="single" w:color="000000" w:sz="12" w:space="0"/>
            </w:tcBorders>
            <w:shd w:val="clear" w:color="auto" w:fill="auto"/>
            <w:noWrap/>
            <w:tcMar>
              <w:top w:w="15" w:type="dxa"/>
              <w:left w:w="15" w:type="dxa"/>
              <w:right w:w="15" w:type="dxa"/>
            </w:tcMar>
            <w:vAlign w:val="center"/>
          </w:tcPr>
          <w:p w14:paraId="7CFA5E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cs="Times New Roman"/>
                <w:b/>
                <w:bCs/>
                <w:i w:val="0"/>
                <w:color w:val="000000"/>
                <w:kern w:val="0"/>
                <w:sz w:val="21"/>
                <w:szCs w:val="21"/>
                <w:highlight w:val="none"/>
                <w:u w:val="none"/>
                <w:lang w:val="en-US" w:eastAsia="zh-CN" w:bidi="ar"/>
              </w:rPr>
              <w:t>点位类型</w:t>
            </w:r>
          </w:p>
        </w:tc>
        <w:tc>
          <w:tcPr>
            <w:tcW w:w="2640" w:type="dxa"/>
            <w:tcBorders>
              <w:bottom w:val="single" w:color="000000" w:sz="12" w:space="0"/>
            </w:tcBorders>
            <w:shd w:val="clear" w:color="auto" w:fill="auto"/>
            <w:noWrap/>
            <w:tcMar>
              <w:top w:w="15" w:type="dxa"/>
              <w:left w:w="15" w:type="dxa"/>
              <w:right w:w="15" w:type="dxa"/>
            </w:tcMar>
            <w:vAlign w:val="center"/>
          </w:tcPr>
          <w:p w14:paraId="496D06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规划/现状用地类型</w:t>
            </w:r>
            <w:r>
              <w:rPr>
                <w:rFonts w:hint="eastAsia" w:cs="Times New Roman"/>
                <w:i w:val="0"/>
                <w:color w:val="000000"/>
                <w:kern w:val="0"/>
                <w:sz w:val="21"/>
                <w:szCs w:val="21"/>
                <w:highlight w:val="none"/>
                <w:u w:val="none"/>
                <w:vertAlign w:val="superscript"/>
                <w:lang w:val="en-US" w:eastAsia="zh-CN" w:bidi="ar"/>
              </w:rPr>
              <w:t>①</w:t>
            </w:r>
          </w:p>
        </w:tc>
        <w:tc>
          <w:tcPr>
            <w:tcW w:w="4103" w:type="dxa"/>
            <w:tcBorders>
              <w:bottom w:val="single" w:color="000000" w:sz="12" w:space="0"/>
            </w:tcBorders>
            <w:shd w:val="clear" w:color="auto" w:fill="auto"/>
            <w:noWrap/>
            <w:tcMar>
              <w:top w:w="15" w:type="dxa"/>
              <w:left w:w="15" w:type="dxa"/>
              <w:right w:w="15" w:type="dxa"/>
            </w:tcMar>
            <w:vAlign w:val="center"/>
          </w:tcPr>
          <w:p w14:paraId="16FD0B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kern w:val="0"/>
                <w:sz w:val="21"/>
                <w:szCs w:val="21"/>
                <w:highlight w:val="none"/>
                <w:u w:val="none"/>
                <w:lang w:val="en-US" w:eastAsia="zh-CN" w:bidi="ar"/>
              </w:rPr>
            </w:pPr>
            <w:r>
              <w:rPr>
                <w:rFonts w:hint="default" w:ascii="Times New Roman" w:hAnsi="Times New Roman" w:cs="Times New Roman"/>
                <w:b/>
                <w:bCs/>
                <w:i w:val="0"/>
                <w:color w:val="000000"/>
                <w:kern w:val="0"/>
                <w:sz w:val="21"/>
                <w:szCs w:val="21"/>
                <w:highlight w:val="none"/>
                <w:u w:val="none"/>
                <w:lang w:val="en-US" w:eastAsia="zh-CN" w:bidi="ar"/>
              </w:rPr>
              <w:t>参考标准</w:t>
            </w:r>
          </w:p>
        </w:tc>
      </w:tr>
      <w:tr w14:paraId="0BB2D2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jc w:val="center"/>
        </w:trPr>
        <w:tc>
          <w:tcPr>
            <w:tcW w:w="634" w:type="dxa"/>
            <w:tcBorders>
              <w:top w:val="single" w:color="000000" w:sz="12" w:space="0"/>
              <w:tl2br w:val="nil"/>
              <w:tr2bl w:val="nil"/>
            </w:tcBorders>
            <w:shd w:val="clear" w:color="auto" w:fill="auto"/>
            <w:noWrap/>
            <w:tcMar>
              <w:top w:w="15" w:type="dxa"/>
              <w:left w:w="15" w:type="dxa"/>
              <w:right w:w="15" w:type="dxa"/>
            </w:tcMar>
            <w:vAlign w:val="center"/>
          </w:tcPr>
          <w:p w14:paraId="401A80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w:t>
            </w:r>
          </w:p>
        </w:tc>
        <w:tc>
          <w:tcPr>
            <w:tcW w:w="1155" w:type="dxa"/>
            <w:tcBorders>
              <w:top w:val="single" w:color="000000" w:sz="12" w:space="0"/>
              <w:tl2br w:val="nil"/>
              <w:tr2bl w:val="nil"/>
            </w:tcBorders>
            <w:shd w:val="clear" w:color="auto" w:fill="auto"/>
            <w:noWrap/>
            <w:tcMar>
              <w:top w:w="15" w:type="dxa"/>
              <w:left w:w="15" w:type="dxa"/>
              <w:right w:w="15" w:type="dxa"/>
            </w:tcMar>
            <w:vAlign w:val="center"/>
          </w:tcPr>
          <w:p w14:paraId="7F0AAD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HR-1-75</w:t>
            </w:r>
          </w:p>
        </w:tc>
        <w:tc>
          <w:tcPr>
            <w:tcW w:w="1080" w:type="dxa"/>
            <w:vMerge w:val="restart"/>
            <w:tcBorders>
              <w:top w:val="single" w:color="000000" w:sz="12" w:space="0"/>
              <w:tl2br w:val="nil"/>
              <w:tr2bl w:val="nil"/>
            </w:tcBorders>
            <w:shd w:val="clear" w:color="auto" w:fill="auto"/>
            <w:noWrap/>
            <w:tcMar>
              <w:top w:w="15" w:type="dxa"/>
              <w:left w:w="15" w:type="dxa"/>
              <w:right w:w="15" w:type="dxa"/>
            </w:tcMar>
            <w:vAlign w:val="center"/>
          </w:tcPr>
          <w:p w14:paraId="4EB3D6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sz w:val="21"/>
                <w:szCs w:val="21"/>
                <w:highlight w:val="none"/>
                <w:u w:val="none"/>
              </w:rPr>
              <w:t>园区周边土壤点位</w:t>
            </w:r>
          </w:p>
        </w:tc>
        <w:tc>
          <w:tcPr>
            <w:tcW w:w="2640" w:type="dxa"/>
            <w:tcBorders>
              <w:top w:val="single" w:color="000000" w:sz="12" w:space="0"/>
              <w:tl2br w:val="nil"/>
              <w:tr2bl w:val="nil"/>
            </w:tcBorders>
            <w:shd w:val="clear" w:color="auto" w:fill="auto"/>
            <w:noWrap/>
            <w:tcMar>
              <w:top w:w="15" w:type="dxa"/>
              <w:left w:w="15" w:type="dxa"/>
              <w:right w:w="15" w:type="dxa"/>
            </w:tcMar>
            <w:vAlign w:val="center"/>
          </w:tcPr>
          <w:p w14:paraId="0C89FA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000000"/>
                <w:sz w:val="21"/>
                <w:szCs w:val="21"/>
                <w:highlight w:val="none"/>
                <w:u w:val="none"/>
                <w:lang w:eastAsia="zh-CN"/>
              </w:rPr>
            </w:pPr>
            <w:r>
              <w:rPr>
                <w:rFonts w:hint="default" w:ascii="Times New Roman" w:hAnsi="Times New Roman" w:cs="Times New Roman"/>
                <w:i w:val="0"/>
                <w:color w:val="000000"/>
                <w:sz w:val="21"/>
                <w:szCs w:val="21"/>
                <w:highlight w:val="none"/>
                <w:u w:val="none"/>
                <w:lang w:eastAsia="zh-CN"/>
              </w:rPr>
              <w:t>道路与交通设施用地</w:t>
            </w:r>
          </w:p>
        </w:tc>
        <w:tc>
          <w:tcPr>
            <w:tcW w:w="4103" w:type="dxa"/>
            <w:tcBorders>
              <w:top w:val="single" w:color="000000" w:sz="12" w:space="0"/>
              <w:tl2br w:val="nil"/>
              <w:tr2bl w:val="nil"/>
            </w:tcBorders>
            <w:shd w:val="clear" w:color="auto" w:fill="auto"/>
            <w:noWrap/>
            <w:tcMar>
              <w:top w:w="15" w:type="dxa"/>
              <w:left w:w="15" w:type="dxa"/>
              <w:right w:w="15" w:type="dxa"/>
            </w:tcMar>
            <w:vAlign w:val="center"/>
          </w:tcPr>
          <w:p w14:paraId="1B8A26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000000"/>
                <w:sz w:val="21"/>
                <w:szCs w:val="21"/>
                <w:highlight w:val="none"/>
                <w:u w:val="none"/>
                <w:lang w:val="en-US" w:eastAsia="zh-CN"/>
              </w:rPr>
            </w:pPr>
            <w:r>
              <w:rPr>
                <w:rFonts w:hint="default" w:ascii="Times New Roman" w:hAnsi="Times New Roman" w:cs="Times New Roman"/>
                <w:i w:val="0"/>
                <w:color w:val="000000"/>
                <w:sz w:val="21"/>
                <w:szCs w:val="21"/>
                <w:highlight w:val="none"/>
                <w:u w:val="none"/>
                <w:lang w:val="en-US" w:eastAsia="zh-CN"/>
              </w:rPr>
              <w:t>第二类用地筛选值</w:t>
            </w:r>
            <w:r>
              <w:rPr>
                <w:rFonts w:hint="eastAsia" w:cs="Times New Roman"/>
                <w:i w:val="0"/>
                <w:color w:val="000000"/>
                <w:sz w:val="21"/>
                <w:szCs w:val="21"/>
                <w:highlight w:val="none"/>
                <w:u w:val="none"/>
                <w:vertAlign w:val="superscript"/>
                <w:lang w:val="en-US" w:eastAsia="zh-CN"/>
              </w:rPr>
              <w:t>②</w:t>
            </w:r>
          </w:p>
        </w:tc>
      </w:tr>
      <w:tr w14:paraId="4134A7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398E2A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w:t>
            </w:r>
          </w:p>
        </w:tc>
        <w:tc>
          <w:tcPr>
            <w:tcW w:w="1155" w:type="dxa"/>
            <w:tcBorders>
              <w:tl2br w:val="nil"/>
              <w:tr2bl w:val="nil"/>
            </w:tcBorders>
            <w:shd w:val="clear" w:color="auto" w:fill="auto"/>
            <w:noWrap/>
            <w:tcMar>
              <w:top w:w="15" w:type="dxa"/>
              <w:left w:w="15" w:type="dxa"/>
              <w:right w:w="15" w:type="dxa"/>
            </w:tcMar>
            <w:vAlign w:val="center"/>
          </w:tcPr>
          <w:p w14:paraId="377277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HR-1-200</w:t>
            </w:r>
          </w:p>
        </w:tc>
        <w:tc>
          <w:tcPr>
            <w:tcW w:w="1080" w:type="dxa"/>
            <w:vMerge w:val="continue"/>
            <w:tcBorders>
              <w:tl2br w:val="nil"/>
              <w:tr2bl w:val="nil"/>
            </w:tcBorders>
            <w:shd w:val="clear" w:color="auto" w:fill="auto"/>
            <w:noWrap/>
            <w:tcMar>
              <w:top w:w="15" w:type="dxa"/>
              <w:left w:w="15" w:type="dxa"/>
              <w:right w:w="15" w:type="dxa"/>
            </w:tcMar>
            <w:vAlign w:val="center"/>
          </w:tcPr>
          <w:p w14:paraId="3EE777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4CE605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sz w:val="21"/>
                <w:szCs w:val="21"/>
                <w:highlight w:val="none"/>
                <w:u w:val="none"/>
                <w:lang w:eastAsia="zh-CN"/>
              </w:rPr>
              <w:t>道路与交通设施用地</w:t>
            </w:r>
          </w:p>
        </w:tc>
        <w:tc>
          <w:tcPr>
            <w:tcW w:w="4103" w:type="dxa"/>
            <w:tcBorders>
              <w:tl2br w:val="nil"/>
              <w:tr2bl w:val="nil"/>
            </w:tcBorders>
            <w:shd w:val="clear" w:color="auto" w:fill="auto"/>
            <w:noWrap/>
            <w:tcMar>
              <w:top w:w="15" w:type="dxa"/>
              <w:left w:w="15" w:type="dxa"/>
              <w:right w:w="15" w:type="dxa"/>
            </w:tcMar>
            <w:vAlign w:val="center"/>
          </w:tcPr>
          <w:p w14:paraId="013E7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cs="Times New Roman"/>
                <w:i w:val="0"/>
                <w:color w:val="000000"/>
                <w:sz w:val="21"/>
                <w:szCs w:val="21"/>
                <w:highlight w:val="none"/>
                <w:u w:val="none"/>
                <w:lang w:val="en-US" w:eastAsia="zh-CN"/>
              </w:rPr>
              <w:t>第二类用地筛选值</w:t>
            </w:r>
          </w:p>
        </w:tc>
      </w:tr>
      <w:tr w14:paraId="524703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08A7AD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w:t>
            </w:r>
          </w:p>
        </w:tc>
        <w:tc>
          <w:tcPr>
            <w:tcW w:w="1155" w:type="dxa"/>
            <w:tcBorders>
              <w:tl2br w:val="nil"/>
              <w:tr2bl w:val="nil"/>
            </w:tcBorders>
            <w:shd w:val="clear" w:color="auto" w:fill="auto"/>
            <w:noWrap/>
            <w:tcMar>
              <w:top w:w="15" w:type="dxa"/>
              <w:left w:w="15" w:type="dxa"/>
              <w:right w:w="15" w:type="dxa"/>
            </w:tcMar>
            <w:vAlign w:val="center"/>
          </w:tcPr>
          <w:p w14:paraId="3C3038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HR-1-400</w:t>
            </w:r>
          </w:p>
        </w:tc>
        <w:tc>
          <w:tcPr>
            <w:tcW w:w="1080" w:type="dxa"/>
            <w:vMerge w:val="continue"/>
            <w:tcBorders>
              <w:tl2br w:val="nil"/>
              <w:tr2bl w:val="nil"/>
            </w:tcBorders>
            <w:shd w:val="clear" w:color="auto" w:fill="auto"/>
            <w:noWrap/>
            <w:tcMar>
              <w:top w:w="15" w:type="dxa"/>
              <w:left w:w="15" w:type="dxa"/>
              <w:right w:w="15" w:type="dxa"/>
            </w:tcMar>
            <w:vAlign w:val="center"/>
          </w:tcPr>
          <w:p w14:paraId="77CBCE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708CCF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sz w:val="21"/>
                <w:szCs w:val="21"/>
                <w:highlight w:val="none"/>
                <w:u w:val="none"/>
                <w:lang w:eastAsia="zh-CN"/>
              </w:rPr>
              <w:t>道路与交通设施用地</w:t>
            </w:r>
          </w:p>
        </w:tc>
        <w:tc>
          <w:tcPr>
            <w:tcW w:w="4103" w:type="dxa"/>
            <w:tcBorders>
              <w:tl2br w:val="nil"/>
              <w:tr2bl w:val="nil"/>
            </w:tcBorders>
            <w:shd w:val="clear" w:color="auto" w:fill="auto"/>
            <w:noWrap/>
            <w:tcMar>
              <w:top w:w="15" w:type="dxa"/>
              <w:left w:w="15" w:type="dxa"/>
              <w:right w:w="15" w:type="dxa"/>
            </w:tcMar>
            <w:vAlign w:val="center"/>
          </w:tcPr>
          <w:p w14:paraId="173FD8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cs="Times New Roman"/>
                <w:i w:val="0"/>
                <w:color w:val="000000"/>
                <w:sz w:val="21"/>
                <w:szCs w:val="21"/>
                <w:highlight w:val="none"/>
                <w:u w:val="none"/>
                <w:lang w:val="en-US" w:eastAsia="zh-CN"/>
              </w:rPr>
              <w:t>第二类用地筛选值</w:t>
            </w:r>
          </w:p>
        </w:tc>
      </w:tr>
      <w:tr w14:paraId="324D56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7C6AC1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w:t>
            </w:r>
          </w:p>
        </w:tc>
        <w:tc>
          <w:tcPr>
            <w:tcW w:w="1155" w:type="dxa"/>
            <w:tcBorders>
              <w:tl2br w:val="nil"/>
              <w:tr2bl w:val="nil"/>
            </w:tcBorders>
            <w:shd w:val="clear" w:color="auto" w:fill="auto"/>
            <w:noWrap/>
            <w:tcMar>
              <w:top w:w="15" w:type="dxa"/>
              <w:left w:w="15" w:type="dxa"/>
              <w:right w:w="15" w:type="dxa"/>
            </w:tcMar>
            <w:vAlign w:val="center"/>
          </w:tcPr>
          <w:p w14:paraId="670A44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HR-2-75</w:t>
            </w:r>
          </w:p>
        </w:tc>
        <w:tc>
          <w:tcPr>
            <w:tcW w:w="1080" w:type="dxa"/>
            <w:vMerge w:val="continue"/>
            <w:tcBorders>
              <w:tl2br w:val="nil"/>
              <w:tr2bl w:val="nil"/>
            </w:tcBorders>
            <w:shd w:val="clear" w:color="auto" w:fill="auto"/>
            <w:noWrap/>
            <w:tcMar>
              <w:top w:w="15" w:type="dxa"/>
              <w:left w:w="15" w:type="dxa"/>
              <w:right w:w="15" w:type="dxa"/>
            </w:tcMar>
            <w:vAlign w:val="center"/>
          </w:tcPr>
          <w:p w14:paraId="0A71B7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6C2297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sz w:val="21"/>
                <w:szCs w:val="21"/>
                <w:highlight w:val="none"/>
                <w:u w:val="none"/>
                <w:lang w:eastAsia="zh-CN"/>
              </w:rPr>
              <w:t>道路与交通设施用地</w:t>
            </w:r>
          </w:p>
        </w:tc>
        <w:tc>
          <w:tcPr>
            <w:tcW w:w="4103" w:type="dxa"/>
            <w:tcBorders>
              <w:tl2br w:val="nil"/>
              <w:tr2bl w:val="nil"/>
            </w:tcBorders>
            <w:shd w:val="clear" w:color="auto" w:fill="auto"/>
            <w:noWrap/>
            <w:tcMar>
              <w:top w:w="15" w:type="dxa"/>
              <w:left w:w="15" w:type="dxa"/>
              <w:right w:w="15" w:type="dxa"/>
            </w:tcMar>
            <w:vAlign w:val="center"/>
          </w:tcPr>
          <w:p w14:paraId="24E3DF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cs="Times New Roman"/>
                <w:i w:val="0"/>
                <w:color w:val="000000"/>
                <w:sz w:val="21"/>
                <w:szCs w:val="21"/>
                <w:highlight w:val="none"/>
                <w:u w:val="none"/>
                <w:lang w:val="en-US" w:eastAsia="zh-CN"/>
              </w:rPr>
              <w:t>第二类用地筛选值</w:t>
            </w:r>
          </w:p>
        </w:tc>
      </w:tr>
      <w:tr w14:paraId="2BB69A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4CF8AC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w:t>
            </w:r>
          </w:p>
        </w:tc>
        <w:tc>
          <w:tcPr>
            <w:tcW w:w="1155" w:type="dxa"/>
            <w:tcBorders>
              <w:tl2br w:val="nil"/>
              <w:tr2bl w:val="nil"/>
            </w:tcBorders>
            <w:shd w:val="clear" w:color="auto" w:fill="auto"/>
            <w:noWrap/>
            <w:tcMar>
              <w:top w:w="15" w:type="dxa"/>
              <w:left w:w="15" w:type="dxa"/>
              <w:right w:w="15" w:type="dxa"/>
            </w:tcMar>
            <w:vAlign w:val="center"/>
          </w:tcPr>
          <w:p w14:paraId="3B83A2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HR-2-200</w:t>
            </w:r>
          </w:p>
        </w:tc>
        <w:tc>
          <w:tcPr>
            <w:tcW w:w="1080" w:type="dxa"/>
            <w:vMerge w:val="continue"/>
            <w:tcBorders>
              <w:tl2br w:val="nil"/>
              <w:tr2bl w:val="nil"/>
            </w:tcBorders>
            <w:shd w:val="clear" w:color="auto" w:fill="auto"/>
            <w:noWrap/>
            <w:tcMar>
              <w:top w:w="15" w:type="dxa"/>
              <w:left w:w="15" w:type="dxa"/>
              <w:right w:w="15" w:type="dxa"/>
            </w:tcMar>
            <w:vAlign w:val="center"/>
          </w:tcPr>
          <w:p w14:paraId="6918DC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4C2A6C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sz w:val="21"/>
                <w:szCs w:val="21"/>
                <w:highlight w:val="none"/>
                <w:u w:val="none"/>
                <w:lang w:eastAsia="zh-CN"/>
              </w:rPr>
              <w:t>道路与交通设施用地</w:t>
            </w:r>
          </w:p>
        </w:tc>
        <w:tc>
          <w:tcPr>
            <w:tcW w:w="4103" w:type="dxa"/>
            <w:tcBorders>
              <w:tl2br w:val="nil"/>
              <w:tr2bl w:val="nil"/>
            </w:tcBorders>
            <w:shd w:val="clear" w:color="auto" w:fill="auto"/>
            <w:noWrap/>
            <w:tcMar>
              <w:top w:w="15" w:type="dxa"/>
              <w:left w:w="15" w:type="dxa"/>
              <w:right w:w="15" w:type="dxa"/>
            </w:tcMar>
            <w:vAlign w:val="center"/>
          </w:tcPr>
          <w:p w14:paraId="488121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cs="Times New Roman"/>
                <w:i w:val="0"/>
                <w:color w:val="000000"/>
                <w:sz w:val="21"/>
                <w:szCs w:val="21"/>
                <w:highlight w:val="none"/>
                <w:u w:val="none"/>
                <w:lang w:val="en-US" w:eastAsia="zh-CN"/>
              </w:rPr>
              <w:t>第二类用地筛选值</w:t>
            </w:r>
          </w:p>
        </w:tc>
      </w:tr>
      <w:tr w14:paraId="64CC215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0DE210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w:t>
            </w:r>
          </w:p>
        </w:tc>
        <w:tc>
          <w:tcPr>
            <w:tcW w:w="1155" w:type="dxa"/>
            <w:tcBorders>
              <w:tl2br w:val="nil"/>
              <w:tr2bl w:val="nil"/>
            </w:tcBorders>
            <w:shd w:val="clear" w:color="auto" w:fill="auto"/>
            <w:noWrap/>
            <w:tcMar>
              <w:top w:w="15" w:type="dxa"/>
              <w:left w:w="15" w:type="dxa"/>
              <w:right w:w="15" w:type="dxa"/>
            </w:tcMar>
            <w:vAlign w:val="center"/>
          </w:tcPr>
          <w:p w14:paraId="590B13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HR-2-400</w:t>
            </w:r>
          </w:p>
        </w:tc>
        <w:tc>
          <w:tcPr>
            <w:tcW w:w="1080" w:type="dxa"/>
            <w:vMerge w:val="continue"/>
            <w:tcBorders>
              <w:tl2br w:val="nil"/>
              <w:tr2bl w:val="nil"/>
            </w:tcBorders>
            <w:shd w:val="clear" w:color="auto" w:fill="auto"/>
            <w:noWrap/>
            <w:tcMar>
              <w:top w:w="15" w:type="dxa"/>
              <w:left w:w="15" w:type="dxa"/>
              <w:right w:w="15" w:type="dxa"/>
            </w:tcMar>
            <w:vAlign w:val="center"/>
          </w:tcPr>
          <w:p w14:paraId="7709D6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363DF9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sz w:val="21"/>
                <w:szCs w:val="21"/>
                <w:highlight w:val="none"/>
                <w:u w:val="none"/>
                <w:lang w:eastAsia="zh-CN"/>
              </w:rPr>
              <w:t>道路与交通设施用地</w:t>
            </w:r>
          </w:p>
        </w:tc>
        <w:tc>
          <w:tcPr>
            <w:tcW w:w="4103" w:type="dxa"/>
            <w:tcBorders>
              <w:tl2br w:val="nil"/>
              <w:tr2bl w:val="nil"/>
            </w:tcBorders>
            <w:shd w:val="clear" w:color="auto" w:fill="auto"/>
            <w:noWrap/>
            <w:tcMar>
              <w:top w:w="15" w:type="dxa"/>
              <w:left w:w="15" w:type="dxa"/>
              <w:right w:w="15" w:type="dxa"/>
            </w:tcMar>
            <w:vAlign w:val="center"/>
          </w:tcPr>
          <w:p w14:paraId="6D2018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cs="Times New Roman"/>
                <w:i w:val="0"/>
                <w:color w:val="000000"/>
                <w:sz w:val="21"/>
                <w:szCs w:val="21"/>
                <w:highlight w:val="none"/>
                <w:u w:val="none"/>
                <w:lang w:val="en-US" w:eastAsia="zh-CN"/>
              </w:rPr>
              <w:t>第二类用地筛选值</w:t>
            </w:r>
          </w:p>
        </w:tc>
      </w:tr>
      <w:tr w14:paraId="6C4F8D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124FC9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w:t>
            </w:r>
          </w:p>
        </w:tc>
        <w:tc>
          <w:tcPr>
            <w:tcW w:w="1155" w:type="dxa"/>
            <w:tcBorders>
              <w:tl2br w:val="nil"/>
              <w:tr2bl w:val="nil"/>
            </w:tcBorders>
            <w:shd w:val="clear" w:color="auto" w:fill="auto"/>
            <w:noWrap/>
            <w:tcMar>
              <w:top w:w="15" w:type="dxa"/>
              <w:left w:w="15" w:type="dxa"/>
              <w:right w:w="15" w:type="dxa"/>
            </w:tcMar>
            <w:vAlign w:val="center"/>
          </w:tcPr>
          <w:p w14:paraId="57A713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HR-3-75</w:t>
            </w:r>
          </w:p>
        </w:tc>
        <w:tc>
          <w:tcPr>
            <w:tcW w:w="1080" w:type="dxa"/>
            <w:vMerge w:val="continue"/>
            <w:tcBorders>
              <w:tl2br w:val="nil"/>
              <w:tr2bl w:val="nil"/>
            </w:tcBorders>
            <w:shd w:val="clear" w:color="auto" w:fill="auto"/>
            <w:noWrap/>
            <w:tcMar>
              <w:top w:w="15" w:type="dxa"/>
              <w:left w:w="15" w:type="dxa"/>
              <w:right w:w="15" w:type="dxa"/>
            </w:tcMar>
            <w:vAlign w:val="center"/>
          </w:tcPr>
          <w:p w14:paraId="78ECA9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051DBF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eastAsia="zh-CN"/>
              </w:rPr>
            </w:pPr>
            <w:r>
              <w:rPr>
                <w:rFonts w:hint="default" w:ascii="Times New Roman" w:hAnsi="Times New Roman" w:cs="Times New Roman"/>
                <w:i w:val="0"/>
                <w:color w:val="000000"/>
                <w:sz w:val="21"/>
                <w:szCs w:val="21"/>
                <w:highlight w:val="none"/>
                <w:u w:val="none"/>
                <w:lang w:eastAsia="zh-CN"/>
              </w:rPr>
              <w:t>农用地：其它</w:t>
            </w:r>
            <w:r>
              <w:rPr>
                <w:rFonts w:hint="eastAsia" w:cs="Times New Roman"/>
                <w:i w:val="0"/>
                <w:color w:val="000000"/>
                <w:sz w:val="21"/>
                <w:szCs w:val="21"/>
                <w:highlight w:val="none"/>
                <w:u w:val="none"/>
                <w:vertAlign w:val="superscript"/>
                <w:lang w:val="en-US" w:eastAsia="zh-CN"/>
              </w:rPr>
              <w:t>③</w:t>
            </w:r>
          </w:p>
        </w:tc>
        <w:tc>
          <w:tcPr>
            <w:tcW w:w="4103" w:type="dxa"/>
            <w:tcBorders>
              <w:tl2br w:val="nil"/>
              <w:tr2bl w:val="nil"/>
            </w:tcBorders>
            <w:shd w:val="clear" w:color="auto" w:fill="auto"/>
            <w:noWrap/>
            <w:tcMar>
              <w:top w:w="15" w:type="dxa"/>
              <w:left w:w="15" w:type="dxa"/>
              <w:right w:w="15" w:type="dxa"/>
            </w:tcMar>
            <w:vAlign w:val="center"/>
          </w:tcPr>
          <w:p w14:paraId="0E6E5E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cs="Times New Roman"/>
                <w:i w:val="0"/>
                <w:color w:val="000000"/>
                <w:sz w:val="21"/>
                <w:szCs w:val="21"/>
                <w:highlight w:val="none"/>
                <w:u w:val="none"/>
                <w:lang w:val="en-US" w:eastAsia="zh-CN"/>
              </w:rPr>
              <w:t>第一类用地筛选值</w:t>
            </w:r>
            <w:r>
              <w:rPr>
                <w:rFonts w:hint="eastAsia" w:cs="Times New Roman"/>
                <w:i w:val="0"/>
                <w:color w:val="000000"/>
                <w:sz w:val="21"/>
                <w:szCs w:val="21"/>
                <w:highlight w:val="none"/>
                <w:u w:val="none"/>
                <w:lang w:val="en-US" w:eastAsia="zh-CN"/>
              </w:rPr>
              <w:t>、</w:t>
            </w:r>
            <w:r>
              <w:rPr>
                <w:rFonts w:hint="default" w:ascii="Times New Roman" w:hAnsi="Times New Roman" w:cs="Times New Roman"/>
                <w:i w:val="0"/>
                <w:color w:val="000000"/>
                <w:sz w:val="21"/>
                <w:szCs w:val="21"/>
                <w:highlight w:val="none"/>
                <w:u w:val="none"/>
                <w:lang w:val="en-US" w:eastAsia="zh-CN"/>
              </w:rPr>
              <w:t>GB15618</w:t>
            </w:r>
            <w:r>
              <w:rPr>
                <w:rFonts w:hint="default" w:ascii="Times New Roman" w:hAnsi="Times New Roman" w:cs="Times New Roman"/>
                <w:i w:val="0"/>
                <w:color w:val="000000"/>
                <w:sz w:val="21"/>
                <w:szCs w:val="21"/>
                <w:highlight w:val="none"/>
                <w:u w:val="none"/>
                <w:lang w:eastAsia="zh-CN"/>
              </w:rPr>
              <w:t>其它</w:t>
            </w:r>
          </w:p>
        </w:tc>
      </w:tr>
      <w:tr w14:paraId="432FE7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3A01F4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w:t>
            </w:r>
          </w:p>
        </w:tc>
        <w:tc>
          <w:tcPr>
            <w:tcW w:w="1155" w:type="dxa"/>
            <w:tcBorders>
              <w:tl2br w:val="nil"/>
              <w:tr2bl w:val="nil"/>
            </w:tcBorders>
            <w:shd w:val="clear" w:color="auto" w:fill="auto"/>
            <w:noWrap/>
            <w:tcMar>
              <w:top w:w="15" w:type="dxa"/>
              <w:left w:w="15" w:type="dxa"/>
              <w:right w:w="15" w:type="dxa"/>
            </w:tcMar>
            <w:vAlign w:val="center"/>
          </w:tcPr>
          <w:p w14:paraId="5365B3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HR-3-200</w:t>
            </w:r>
          </w:p>
        </w:tc>
        <w:tc>
          <w:tcPr>
            <w:tcW w:w="1080" w:type="dxa"/>
            <w:vMerge w:val="continue"/>
            <w:tcBorders>
              <w:tl2br w:val="nil"/>
              <w:tr2bl w:val="nil"/>
            </w:tcBorders>
            <w:shd w:val="clear" w:color="auto" w:fill="auto"/>
            <w:noWrap/>
            <w:tcMar>
              <w:top w:w="15" w:type="dxa"/>
              <w:left w:w="15" w:type="dxa"/>
              <w:right w:w="15" w:type="dxa"/>
            </w:tcMar>
            <w:vAlign w:val="center"/>
          </w:tcPr>
          <w:p w14:paraId="1C924D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19B41B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sz w:val="21"/>
                <w:szCs w:val="21"/>
                <w:highlight w:val="none"/>
                <w:u w:val="none"/>
                <w:lang w:eastAsia="zh-CN"/>
              </w:rPr>
              <w:t>农用地：其它</w:t>
            </w:r>
          </w:p>
        </w:tc>
        <w:tc>
          <w:tcPr>
            <w:tcW w:w="4103" w:type="dxa"/>
            <w:tcBorders>
              <w:tl2br w:val="nil"/>
              <w:tr2bl w:val="nil"/>
            </w:tcBorders>
            <w:shd w:val="clear" w:color="auto" w:fill="auto"/>
            <w:noWrap/>
            <w:tcMar>
              <w:top w:w="15" w:type="dxa"/>
              <w:left w:w="15" w:type="dxa"/>
              <w:right w:w="15" w:type="dxa"/>
            </w:tcMar>
            <w:vAlign w:val="center"/>
          </w:tcPr>
          <w:p w14:paraId="6AA847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cs="Times New Roman"/>
                <w:i w:val="0"/>
                <w:color w:val="000000"/>
                <w:sz w:val="21"/>
                <w:szCs w:val="21"/>
                <w:highlight w:val="none"/>
                <w:u w:val="none"/>
                <w:lang w:val="en-US" w:eastAsia="zh-CN"/>
              </w:rPr>
              <w:t>第一类用地筛选值</w:t>
            </w:r>
            <w:r>
              <w:rPr>
                <w:rFonts w:hint="eastAsia" w:cs="Times New Roman"/>
                <w:i w:val="0"/>
                <w:color w:val="000000"/>
                <w:sz w:val="21"/>
                <w:szCs w:val="21"/>
                <w:highlight w:val="none"/>
                <w:u w:val="none"/>
                <w:lang w:val="en-US" w:eastAsia="zh-CN"/>
              </w:rPr>
              <w:t>、</w:t>
            </w:r>
            <w:r>
              <w:rPr>
                <w:rFonts w:hint="default" w:ascii="Times New Roman" w:hAnsi="Times New Roman" w:cs="Times New Roman"/>
                <w:i w:val="0"/>
                <w:color w:val="000000"/>
                <w:sz w:val="21"/>
                <w:szCs w:val="21"/>
                <w:highlight w:val="none"/>
                <w:u w:val="none"/>
                <w:lang w:val="en-US" w:eastAsia="zh-CN"/>
              </w:rPr>
              <w:t>GB15618</w:t>
            </w:r>
            <w:r>
              <w:rPr>
                <w:rFonts w:hint="default" w:ascii="Times New Roman" w:hAnsi="Times New Roman" w:cs="Times New Roman"/>
                <w:i w:val="0"/>
                <w:color w:val="000000"/>
                <w:sz w:val="21"/>
                <w:szCs w:val="21"/>
                <w:highlight w:val="none"/>
                <w:u w:val="none"/>
                <w:lang w:eastAsia="zh-CN"/>
              </w:rPr>
              <w:t>其它</w:t>
            </w:r>
          </w:p>
        </w:tc>
      </w:tr>
      <w:tr w14:paraId="3B8761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26778E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9</w:t>
            </w:r>
          </w:p>
        </w:tc>
        <w:tc>
          <w:tcPr>
            <w:tcW w:w="1155" w:type="dxa"/>
            <w:tcBorders>
              <w:tl2br w:val="nil"/>
              <w:tr2bl w:val="nil"/>
            </w:tcBorders>
            <w:shd w:val="clear" w:color="auto" w:fill="auto"/>
            <w:noWrap/>
            <w:tcMar>
              <w:top w:w="15" w:type="dxa"/>
              <w:left w:w="15" w:type="dxa"/>
              <w:right w:w="15" w:type="dxa"/>
            </w:tcMar>
            <w:vAlign w:val="center"/>
          </w:tcPr>
          <w:p w14:paraId="27D57F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HR-3-400</w:t>
            </w:r>
          </w:p>
        </w:tc>
        <w:tc>
          <w:tcPr>
            <w:tcW w:w="1080" w:type="dxa"/>
            <w:vMerge w:val="continue"/>
            <w:tcBorders>
              <w:tl2br w:val="nil"/>
              <w:tr2bl w:val="nil"/>
            </w:tcBorders>
            <w:shd w:val="clear" w:color="auto" w:fill="auto"/>
            <w:noWrap/>
            <w:tcMar>
              <w:top w:w="15" w:type="dxa"/>
              <w:left w:w="15" w:type="dxa"/>
              <w:right w:w="15" w:type="dxa"/>
            </w:tcMar>
            <w:vAlign w:val="center"/>
          </w:tcPr>
          <w:p w14:paraId="294BFF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53864C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000000"/>
                <w:sz w:val="21"/>
                <w:szCs w:val="21"/>
                <w:highlight w:val="none"/>
                <w:u w:val="none"/>
                <w:lang w:eastAsia="zh-CN"/>
              </w:rPr>
            </w:pPr>
            <w:r>
              <w:rPr>
                <w:rFonts w:hint="default" w:ascii="Times New Roman" w:hAnsi="Times New Roman" w:cs="Times New Roman"/>
                <w:i w:val="0"/>
                <w:color w:val="000000"/>
                <w:sz w:val="21"/>
                <w:szCs w:val="21"/>
                <w:highlight w:val="none"/>
                <w:u w:val="none"/>
                <w:lang w:eastAsia="zh-CN"/>
              </w:rPr>
              <w:t>农用地：其它</w:t>
            </w:r>
          </w:p>
        </w:tc>
        <w:tc>
          <w:tcPr>
            <w:tcW w:w="4103" w:type="dxa"/>
            <w:tcBorders>
              <w:tl2br w:val="nil"/>
              <w:tr2bl w:val="nil"/>
            </w:tcBorders>
            <w:shd w:val="clear" w:color="auto" w:fill="auto"/>
            <w:noWrap/>
            <w:tcMar>
              <w:top w:w="15" w:type="dxa"/>
              <w:left w:w="15" w:type="dxa"/>
              <w:right w:w="15" w:type="dxa"/>
            </w:tcMar>
            <w:vAlign w:val="center"/>
          </w:tcPr>
          <w:p w14:paraId="444B0F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000000"/>
                <w:sz w:val="21"/>
                <w:szCs w:val="21"/>
                <w:highlight w:val="none"/>
                <w:u w:val="none"/>
                <w:lang w:eastAsia="zh-CN"/>
              </w:rPr>
            </w:pPr>
            <w:r>
              <w:rPr>
                <w:rFonts w:hint="default" w:ascii="Times New Roman" w:hAnsi="Times New Roman" w:cs="Times New Roman"/>
                <w:i w:val="0"/>
                <w:color w:val="000000"/>
                <w:sz w:val="21"/>
                <w:szCs w:val="21"/>
                <w:highlight w:val="none"/>
                <w:u w:val="none"/>
                <w:lang w:val="en-US" w:eastAsia="zh-CN"/>
              </w:rPr>
              <w:t>第一类用地筛选值</w:t>
            </w:r>
            <w:r>
              <w:rPr>
                <w:rFonts w:hint="eastAsia" w:cs="Times New Roman"/>
                <w:i w:val="0"/>
                <w:color w:val="000000"/>
                <w:sz w:val="21"/>
                <w:szCs w:val="21"/>
                <w:highlight w:val="none"/>
                <w:u w:val="none"/>
                <w:lang w:val="en-US" w:eastAsia="zh-CN"/>
              </w:rPr>
              <w:t>、</w:t>
            </w:r>
            <w:r>
              <w:rPr>
                <w:rFonts w:hint="default" w:ascii="Times New Roman" w:hAnsi="Times New Roman" w:cs="Times New Roman"/>
                <w:i w:val="0"/>
                <w:color w:val="000000"/>
                <w:sz w:val="21"/>
                <w:szCs w:val="21"/>
                <w:highlight w:val="none"/>
                <w:u w:val="none"/>
                <w:lang w:val="en-US" w:eastAsia="zh-CN"/>
              </w:rPr>
              <w:t>GB15618</w:t>
            </w:r>
            <w:r>
              <w:rPr>
                <w:rFonts w:hint="default" w:ascii="Times New Roman" w:hAnsi="Times New Roman" w:cs="Times New Roman"/>
                <w:i w:val="0"/>
                <w:color w:val="000000"/>
                <w:sz w:val="21"/>
                <w:szCs w:val="21"/>
                <w:highlight w:val="none"/>
                <w:u w:val="none"/>
                <w:lang w:eastAsia="zh-CN"/>
              </w:rPr>
              <w:t>其它</w:t>
            </w:r>
          </w:p>
        </w:tc>
      </w:tr>
      <w:tr w14:paraId="58F6E3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113A5A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w:t>
            </w:r>
          </w:p>
        </w:tc>
        <w:tc>
          <w:tcPr>
            <w:tcW w:w="1155" w:type="dxa"/>
            <w:tcBorders>
              <w:tl2br w:val="nil"/>
              <w:tr2bl w:val="nil"/>
            </w:tcBorders>
            <w:shd w:val="clear" w:color="auto" w:fill="auto"/>
            <w:noWrap/>
            <w:tcMar>
              <w:top w:w="15" w:type="dxa"/>
              <w:left w:w="15" w:type="dxa"/>
              <w:right w:w="15" w:type="dxa"/>
            </w:tcMar>
            <w:vAlign w:val="center"/>
          </w:tcPr>
          <w:p w14:paraId="798B49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HR-4-75</w:t>
            </w:r>
          </w:p>
        </w:tc>
        <w:tc>
          <w:tcPr>
            <w:tcW w:w="1080" w:type="dxa"/>
            <w:vMerge w:val="continue"/>
            <w:tcBorders>
              <w:tl2br w:val="nil"/>
              <w:tr2bl w:val="nil"/>
            </w:tcBorders>
            <w:shd w:val="clear" w:color="auto" w:fill="auto"/>
            <w:noWrap/>
            <w:tcMar>
              <w:top w:w="15" w:type="dxa"/>
              <w:left w:w="15" w:type="dxa"/>
              <w:right w:w="15" w:type="dxa"/>
            </w:tcMar>
            <w:vAlign w:val="center"/>
          </w:tcPr>
          <w:p w14:paraId="0186F8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7973A6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000000"/>
                <w:sz w:val="21"/>
                <w:szCs w:val="21"/>
                <w:highlight w:val="none"/>
                <w:u w:val="none"/>
                <w:lang w:eastAsia="zh-CN"/>
              </w:rPr>
            </w:pPr>
            <w:r>
              <w:rPr>
                <w:rFonts w:hint="default" w:ascii="Times New Roman" w:hAnsi="Times New Roman" w:cs="Times New Roman"/>
                <w:i w:val="0"/>
                <w:color w:val="000000"/>
                <w:sz w:val="21"/>
                <w:szCs w:val="21"/>
                <w:highlight w:val="none"/>
                <w:u w:val="none"/>
                <w:lang w:eastAsia="zh-CN"/>
              </w:rPr>
              <w:t>农用地：其它</w:t>
            </w:r>
          </w:p>
        </w:tc>
        <w:tc>
          <w:tcPr>
            <w:tcW w:w="4103" w:type="dxa"/>
            <w:tcBorders>
              <w:tl2br w:val="nil"/>
              <w:tr2bl w:val="nil"/>
            </w:tcBorders>
            <w:shd w:val="clear" w:color="auto" w:fill="auto"/>
            <w:noWrap/>
            <w:tcMar>
              <w:top w:w="15" w:type="dxa"/>
              <w:left w:w="15" w:type="dxa"/>
              <w:right w:w="15" w:type="dxa"/>
            </w:tcMar>
            <w:vAlign w:val="center"/>
          </w:tcPr>
          <w:p w14:paraId="59D8B6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000000"/>
                <w:sz w:val="21"/>
                <w:szCs w:val="21"/>
                <w:highlight w:val="none"/>
                <w:u w:val="none"/>
                <w:lang w:eastAsia="zh-CN"/>
              </w:rPr>
            </w:pPr>
            <w:r>
              <w:rPr>
                <w:rFonts w:hint="default" w:ascii="Times New Roman" w:hAnsi="Times New Roman" w:cs="Times New Roman"/>
                <w:i w:val="0"/>
                <w:color w:val="000000"/>
                <w:sz w:val="21"/>
                <w:szCs w:val="21"/>
                <w:highlight w:val="none"/>
                <w:u w:val="none"/>
                <w:lang w:val="en-US" w:eastAsia="zh-CN"/>
              </w:rPr>
              <w:t>第一类用地筛选值</w:t>
            </w:r>
            <w:r>
              <w:rPr>
                <w:rFonts w:hint="eastAsia" w:cs="Times New Roman"/>
                <w:i w:val="0"/>
                <w:color w:val="000000"/>
                <w:sz w:val="21"/>
                <w:szCs w:val="21"/>
                <w:highlight w:val="none"/>
                <w:u w:val="none"/>
                <w:lang w:val="en-US" w:eastAsia="zh-CN"/>
              </w:rPr>
              <w:t>、</w:t>
            </w:r>
            <w:r>
              <w:rPr>
                <w:rFonts w:hint="default" w:ascii="Times New Roman" w:hAnsi="Times New Roman" w:cs="Times New Roman"/>
                <w:i w:val="0"/>
                <w:color w:val="000000"/>
                <w:sz w:val="21"/>
                <w:szCs w:val="21"/>
                <w:highlight w:val="none"/>
                <w:u w:val="none"/>
                <w:lang w:val="en-US" w:eastAsia="zh-CN"/>
              </w:rPr>
              <w:t>GB15618</w:t>
            </w:r>
            <w:r>
              <w:rPr>
                <w:rFonts w:hint="default" w:ascii="Times New Roman" w:hAnsi="Times New Roman" w:cs="Times New Roman"/>
                <w:i w:val="0"/>
                <w:color w:val="000000"/>
                <w:sz w:val="21"/>
                <w:szCs w:val="21"/>
                <w:highlight w:val="none"/>
                <w:u w:val="none"/>
                <w:lang w:eastAsia="zh-CN"/>
              </w:rPr>
              <w:t>其它</w:t>
            </w:r>
          </w:p>
        </w:tc>
      </w:tr>
      <w:tr w14:paraId="0208777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29F384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w:t>
            </w:r>
          </w:p>
        </w:tc>
        <w:tc>
          <w:tcPr>
            <w:tcW w:w="1155" w:type="dxa"/>
            <w:tcBorders>
              <w:tl2br w:val="nil"/>
              <w:tr2bl w:val="nil"/>
            </w:tcBorders>
            <w:shd w:val="clear" w:color="auto" w:fill="auto"/>
            <w:noWrap/>
            <w:tcMar>
              <w:top w:w="15" w:type="dxa"/>
              <w:left w:w="15" w:type="dxa"/>
              <w:right w:w="15" w:type="dxa"/>
            </w:tcMar>
            <w:vAlign w:val="center"/>
          </w:tcPr>
          <w:p w14:paraId="191BB2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HR-4-200</w:t>
            </w:r>
          </w:p>
        </w:tc>
        <w:tc>
          <w:tcPr>
            <w:tcW w:w="1080" w:type="dxa"/>
            <w:vMerge w:val="continue"/>
            <w:tcBorders>
              <w:tl2br w:val="nil"/>
              <w:tr2bl w:val="nil"/>
            </w:tcBorders>
            <w:shd w:val="clear" w:color="auto" w:fill="auto"/>
            <w:noWrap/>
            <w:tcMar>
              <w:top w:w="15" w:type="dxa"/>
              <w:left w:w="15" w:type="dxa"/>
              <w:right w:w="15" w:type="dxa"/>
            </w:tcMar>
            <w:vAlign w:val="center"/>
          </w:tcPr>
          <w:p w14:paraId="487DBE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371F3E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sz w:val="21"/>
                <w:szCs w:val="21"/>
                <w:highlight w:val="none"/>
                <w:u w:val="none"/>
                <w:lang w:eastAsia="zh-CN"/>
              </w:rPr>
              <w:t>农用地：其它</w:t>
            </w:r>
          </w:p>
        </w:tc>
        <w:tc>
          <w:tcPr>
            <w:tcW w:w="4103" w:type="dxa"/>
            <w:tcBorders>
              <w:tl2br w:val="nil"/>
              <w:tr2bl w:val="nil"/>
            </w:tcBorders>
            <w:shd w:val="clear" w:color="auto" w:fill="auto"/>
            <w:noWrap/>
            <w:tcMar>
              <w:top w:w="15" w:type="dxa"/>
              <w:left w:w="15" w:type="dxa"/>
              <w:right w:w="15" w:type="dxa"/>
            </w:tcMar>
            <w:vAlign w:val="center"/>
          </w:tcPr>
          <w:p w14:paraId="021B0C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cs="Times New Roman"/>
                <w:i w:val="0"/>
                <w:color w:val="000000"/>
                <w:sz w:val="21"/>
                <w:szCs w:val="21"/>
                <w:highlight w:val="none"/>
                <w:u w:val="none"/>
                <w:lang w:val="en-US" w:eastAsia="zh-CN"/>
              </w:rPr>
              <w:t>第一类用地筛选值</w:t>
            </w:r>
            <w:r>
              <w:rPr>
                <w:rFonts w:hint="eastAsia" w:cs="Times New Roman"/>
                <w:i w:val="0"/>
                <w:color w:val="000000"/>
                <w:sz w:val="21"/>
                <w:szCs w:val="21"/>
                <w:highlight w:val="none"/>
                <w:u w:val="none"/>
                <w:lang w:val="en-US" w:eastAsia="zh-CN"/>
              </w:rPr>
              <w:t>、</w:t>
            </w:r>
            <w:r>
              <w:rPr>
                <w:rFonts w:hint="default" w:ascii="Times New Roman" w:hAnsi="Times New Roman" w:cs="Times New Roman"/>
                <w:i w:val="0"/>
                <w:color w:val="000000"/>
                <w:sz w:val="21"/>
                <w:szCs w:val="21"/>
                <w:highlight w:val="none"/>
                <w:u w:val="none"/>
                <w:lang w:val="en-US" w:eastAsia="zh-CN"/>
              </w:rPr>
              <w:t>GB15618</w:t>
            </w:r>
            <w:r>
              <w:rPr>
                <w:rFonts w:hint="default" w:ascii="Times New Roman" w:hAnsi="Times New Roman" w:cs="Times New Roman"/>
                <w:i w:val="0"/>
                <w:color w:val="000000"/>
                <w:sz w:val="21"/>
                <w:szCs w:val="21"/>
                <w:highlight w:val="none"/>
                <w:u w:val="none"/>
                <w:lang w:eastAsia="zh-CN"/>
              </w:rPr>
              <w:t>其它</w:t>
            </w:r>
          </w:p>
        </w:tc>
      </w:tr>
      <w:tr w14:paraId="24ED5E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2AC583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12</w:t>
            </w:r>
          </w:p>
        </w:tc>
        <w:tc>
          <w:tcPr>
            <w:tcW w:w="1155" w:type="dxa"/>
            <w:tcBorders>
              <w:tl2br w:val="nil"/>
              <w:tr2bl w:val="nil"/>
            </w:tcBorders>
            <w:shd w:val="clear" w:color="auto" w:fill="auto"/>
            <w:noWrap/>
            <w:tcMar>
              <w:top w:w="15" w:type="dxa"/>
              <w:left w:w="15" w:type="dxa"/>
              <w:right w:w="15" w:type="dxa"/>
            </w:tcMar>
            <w:vAlign w:val="center"/>
          </w:tcPr>
          <w:p w14:paraId="6748D2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HR-4-400</w:t>
            </w:r>
          </w:p>
        </w:tc>
        <w:tc>
          <w:tcPr>
            <w:tcW w:w="1080" w:type="dxa"/>
            <w:vMerge w:val="continue"/>
            <w:tcBorders>
              <w:tl2br w:val="nil"/>
              <w:tr2bl w:val="nil"/>
            </w:tcBorders>
            <w:shd w:val="clear" w:color="auto" w:fill="auto"/>
            <w:noWrap/>
            <w:tcMar>
              <w:top w:w="15" w:type="dxa"/>
              <w:left w:w="15" w:type="dxa"/>
              <w:right w:w="15" w:type="dxa"/>
            </w:tcMar>
            <w:vAlign w:val="center"/>
          </w:tcPr>
          <w:p w14:paraId="7F1685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2BB54F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sz w:val="21"/>
                <w:szCs w:val="21"/>
                <w:highlight w:val="none"/>
                <w:u w:val="none"/>
                <w:lang w:eastAsia="zh-CN"/>
              </w:rPr>
              <w:t>农用地：其它</w:t>
            </w:r>
          </w:p>
        </w:tc>
        <w:tc>
          <w:tcPr>
            <w:tcW w:w="4103" w:type="dxa"/>
            <w:tcBorders>
              <w:tl2br w:val="nil"/>
              <w:tr2bl w:val="nil"/>
            </w:tcBorders>
            <w:shd w:val="clear" w:color="auto" w:fill="auto"/>
            <w:noWrap/>
            <w:tcMar>
              <w:top w:w="15" w:type="dxa"/>
              <w:left w:w="15" w:type="dxa"/>
              <w:right w:w="15" w:type="dxa"/>
            </w:tcMar>
            <w:vAlign w:val="center"/>
          </w:tcPr>
          <w:p w14:paraId="198624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cs="Times New Roman"/>
                <w:i w:val="0"/>
                <w:color w:val="000000"/>
                <w:sz w:val="21"/>
                <w:szCs w:val="21"/>
                <w:highlight w:val="none"/>
                <w:u w:val="none"/>
                <w:lang w:val="en-US" w:eastAsia="zh-CN"/>
              </w:rPr>
              <w:t>第一类用地筛选值</w:t>
            </w:r>
            <w:r>
              <w:rPr>
                <w:rFonts w:hint="eastAsia" w:cs="Times New Roman"/>
                <w:i w:val="0"/>
                <w:color w:val="000000"/>
                <w:sz w:val="21"/>
                <w:szCs w:val="21"/>
                <w:highlight w:val="none"/>
                <w:u w:val="none"/>
                <w:lang w:val="en-US" w:eastAsia="zh-CN"/>
              </w:rPr>
              <w:t>、</w:t>
            </w:r>
            <w:r>
              <w:rPr>
                <w:rFonts w:hint="default" w:ascii="Times New Roman" w:hAnsi="Times New Roman" w:cs="Times New Roman"/>
                <w:i w:val="0"/>
                <w:color w:val="000000"/>
                <w:sz w:val="21"/>
                <w:szCs w:val="21"/>
                <w:highlight w:val="none"/>
                <w:u w:val="none"/>
                <w:lang w:val="en-US" w:eastAsia="zh-CN"/>
              </w:rPr>
              <w:t>GB15618</w:t>
            </w:r>
            <w:r>
              <w:rPr>
                <w:rFonts w:hint="default" w:ascii="Times New Roman" w:hAnsi="Times New Roman" w:cs="Times New Roman"/>
                <w:i w:val="0"/>
                <w:color w:val="000000"/>
                <w:sz w:val="21"/>
                <w:szCs w:val="21"/>
                <w:highlight w:val="none"/>
                <w:u w:val="none"/>
                <w:lang w:eastAsia="zh-CN"/>
              </w:rPr>
              <w:t>其它</w:t>
            </w:r>
          </w:p>
        </w:tc>
      </w:tr>
      <w:tr w14:paraId="3C5169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3B638D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13</w:t>
            </w:r>
          </w:p>
        </w:tc>
        <w:tc>
          <w:tcPr>
            <w:tcW w:w="1155" w:type="dxa"/>
            <w:tcBorders>
              <w:tl2br w:val="nil"/>
              <w:tr2bl w:val="nil"/>
            </w:tcBorders>
            <w:shd w:val="clear" w:color="auto" w:fill="auto"/>
            <w:noWrap/>
            <w:tcMar>
              <w:top w:w="15" w:type="dxa"/>
              <w:left w:w="15" w:type="dxa"/>
              <w:right w:w="15" w:type="dxa"/>
            </w:tcMar>
            <w:vAlign w:val="center"/>
          </w:tcPr>
          <w:p w14:paraId="15BBB3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HR-5</w:t>
            </w:r>
          </w:p>
        </w:tc>
        <w:tc>
          <w:tcPr>
            <w:tcW w:w="1080" w:type="dxa"/>
            <w:vMerge w:val="continue"/>
            <w:tcBorders>
              <w:tl2br w:val="nil"/>
              <w:tr2bl w:val="nil"/>
            </w:tcBorders>
            <w:shd w:val="clear" w:color="auto" w:fill="auto"/>
            <w:noWrap/>
            <w:tcMar>
              <w:top w:w="15" w:type="dxa"/>
              <w:left w:w="15" w:type="dxa"/>
              <w:right w:w="15" w:type="dxa"/>
            </w:tcMar>
            <w:vAlign w:val="center"/>
          </w:tcPr>
          <w:p w14:paraId="202CB6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68C60C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sz w:val="21"/>
                <w:szCs w:val="21"/>
                <w:highlight w:val="none"/>
                <w:u w:val="none"/>
                <w:lang w:eastAsia="zh-CN"/>
              </w:rPr>
              <w:t>农用地：其它</w:t>
            </w:r>
          </w:p>
        </w:tc>
        <w:tc>
          <w:tcPr>
            <w:tcW w:w="4103" w:type="dxa"/>
            <w:tcBorders>
              <w:tl2br w:val="nil"/>
              <w:tr2bl w:val="nil"/>
            </w:tcBorders>
            <w:shd w:val="clear" w:color="auto" w:fill="auto"/>
            <w:noWrap/>
            <w:tcMar>
              <w:top w:w="15" w:type="dxa"/>
              <w:left w:w="15" w:type="dxa"/>
              <w:right w:w="15" w:type="dxa"/>
            </w:tcMar>
            <w:vAlign w:val="center"/>
          </w:tcPr>
          <w:p w14:paraId="4911CF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cs="Times New Roman"/>
                <w:i w:val="0"/>
                <w:color w:val="000000"/>
                <w:sz w:val="21"/>
                <w:szCs w:val="21"/>
                <w:highlight w:val="none"/>
                <w:u w:val="none"/>
                <w:lang w:val="en-US" w:eastAsia="zh-CN"/>
              </w:rPr>
              <w:t>第一类用地筛选值</w:t>
            </w:r>
            <w:r>
              <w:rPr>
                <w:rFonts w:hint="eastAsia" w:cs="Times New Roman"/>
                <w:i w:val="0"/>
                <w:color w:val="000000"/>
                <w:sz w:val="21"/>
                <w:szCs w:val="21"/>
                <w:highlight w:val="none"/>
                <w:u w:val="none"/>
                <w:lang w:val="en-US" w:eastAsia="zh-CN"/>
              </w:rPr>
              <w:t>、</w:t>
            </w:r>
            <w:r>
              <w:rPr>
                <w:rFonts w:hint="default" w:ascii="Times New Roman" w:hAnsi="Times New Roman" w:cs="Times New Roman"/>
                <w:i w:val="0"/>
                <w:color w:val="000000"/>
                <w:sz w:val="21"/>
                <w:szCs w:val="21"/>
                <w:highlight w:val="none"/>
                <w:u w:val="none"/>
                <w:lang w:val="en-US" w:eastAsia="zh-CN"/>
              </w:rPr>
              <w:t>GB15618</w:t>
            </w:r>
            <w:r>
              <w:rPr>
                <w:rFonts w:hint="default" w:ascii="Times New Roman" w:hAnsi="Times New Roman" w:cs="Times New Roman"/>
                <w:i w:val="0"/>
                <w:color w:val="000000"/>
                <w:sz w:val="21"/>
                <w:szCs w:val="21"/>
                <w:highlight w:val="none"/>
                <w:u w:val="none"/>
                <w:lang w:eastAsia="zh-CN"/>
              </w:rPr>
              <w:t>其它</w:t>
            </w:r>
          </w:p>
        </w:tc>
      </w:tr>
      <w:tr w14:paraId="798C619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0D3E4D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14</w:t>
            </w:r>
          </w:p>
        </w:tc>
        <w:tc>
          <w:tcPr>
            <w:tcW w:w="1155" w:type="dxa"/>
            <w:tcBorders>
              <w:tl2br w:val="nil"/>
              <w:tr2bl w:val="nil"/>
            </w:tcBorders>
            <w:shd w:val="clear" w:color="auto" w:fill="auto"/>
            <w:noWrap/>
            <w:tcMar>
              <w:top w:w="15" w:type="dxa"/>
              <w:left w:w="15" w:type="dxa"/>
              <w:right w:w="15" w:type="dxa"/>
            </w:tcMar>
            <w:vAlign w:val="center"/>
          </w:tcPr>
          <w:p w14:paraId="7D81E2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HR-6</w:t>
            </w:r>
          </w:p>
        </w:tc>
        <w:tc>
          <w:tcPr>
            <w:tcW w:w="1080" w:type="dxa"/>
            <w:vMerge w:val="continue"/>
            <w:tcBorders>
              <w:tl2br w:val="nil"/>
              <w:tr2bl w:val="nil"/>
            </w:tcBorders>
            <w:shd w:val="clear" w:color="auto" w:fill="auto"/>
            <w:noWrap/>
            <w:tcMar>
              <w:top w:w="15" w:type="dxa"/>
              <w:left w:w="15" w:type="dxa"/>
              <w:right w:w="15" w:type="dxa"/>
            </w:tcMar>
            <w:vAlign w:val="center"/>
          </w:tcPr>
          <w:p w14:paraId="5053CF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388175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sz w:val="21"/>
                <w:szCs w:val="21"/>
                <w:highlight w:val="none"/>
                <w:u w:val="none"/>
                <w:lang w:eastAsia="zh-CN"/>
              </w:rPr>
              <w:t>农用地：其它</w:t>
            </w:r>
          </w:p>
        </w:tc>
        <w:tc>
          <w:tcPr>
            <w:tcW w:w="4103" w:type="dxa"/>
            <w:tcBorders>
              <w:tl2br w:val="nil"/>
              <w:tr2bl w:val="nil"/>
            </w:tcBorders>
            <w:shd w:val="clear" w:color="auto" w:fill="auto"/>
            <w:noWrap/>
            <w:tcMar>
              <w:top w:w="15" w:type="dxa"/>
              <w:left w:w="15" w:type="dxa"/>
              <w:right w:w="15" w:type="dxa"/>
            </w:tcMar>
            <w:vAlign w:val="center"/>
          </w:tcPr>
          <w:p w14:paraId="557EA7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cs="Times New Roman"/>
                <w:i w:val="0"/>
                <w:color w:val="000000"/>
                <w:sz w:val="21"/>
                <w:szCs w:val="21"/>
                <w:highlight w:val="none"/>
                <w:u w:val="none"/>
                <w:lang w:val="en-US" w:eastAsia="zh-CN"/>
              </w:rPr>
              <w:t>第一类用地筛选值</w:t>
            </w:r>
            <w:r>
              <w:rPr>
                <w:rFonts w:hint="eastAsia" w:cs="Times New Roman"/>
                <w:i w:val="0"/>
                <w:color w:val="000000"/>
                <w:sz w:val="21"/>
                <w:szCs w:val="21"/>
                <w:highlight w:val="none"/>
                <w:u w:val="none"/>
                <w:lang w:val="en-US" w:eastAsia="zh-CN"/>
              </w:rPr>
              <w:t>、</w:t>
            </w:r>
            <w:r>
              <w:rPr>
                <w:rFonts w:hint="default" w:ascii="Times New Roman" w:hAnsi="Times New Roman" w:cs="Times New Roman"/>
                <w:i w:val="0"/>
                <w:color w:val="000000"/>
                <w:sz w:val="21"/>
                <w:szCs w:val="21"/>
                <w:highlight w:val="none"/>
                <w:u w:val="none"/>
                <w:lang w:val="en-US" w:eastAsia="zh-CN"/>
              </w:rPr>
              <w:t>GB15618</w:t>
            </w:r>
            <w:r>
              <w:rPr>
                <w:rFonts w:hint="default" w:ascii="Times New Roman" w:hAnsi="Times New Roman" w:cs="Times New Roman"/>
                <w:i w:val="0"/>
                <w:color w:val="000000"/>
                <w:sz w:val="21"/>
                <w:szCs w:val="21"/>
                <w:highlight w:val="none"/>
                <w:u w:val="none"/>
                <w:lang w:eastAsia="zh-CN"/>
              </w:rPr>
              <w:t>其它</w:t>
            </w:r>
          </w:p>
        </w:tc>
      </w:tr>
      <w:tr w14:paraId="52EEBC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3EF54D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15</w:t>
            </w:r>
          </w:p>
        </w:tc>
        <w:tc>
          <w:tcPr>
            <w:tcW w:w="1155" w:type="dxa"/>
            <w:tcBorders>
              <w:tl2br w:val="nil"/>
              <w:tr2bl w:val="nil"/>
            </w:tcBorders>
            <w:shd w:val="clear" w:color="auto" w:fill="auto"/>
            <w:noWrap/>
            <w:tcMar>
              <w:top w:w="15" w:type="dxa"/>
              <w:left w:w="15" w:type="dxa"/>
              <w:right w:w="15" w:type="dxa"/>
            </w:tcMar>
            <w:vAlign w:val="center"/>
          </w:tcPr>
          <w:p w14:paraId="269364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HR-JJ-1</w:t>
            </w:r>
          </w:p>
        </w:tc>
        <w:tc>
          <w:tcPr>
            <w:tcW w:w="1080" w:type="dxa"/>
            <w:vMerge w:val="restart"/>
            <w:tcBorders>
              <w:tl2br w:val="nil"/>
              <w:tr2bl w:val="nil"/>
            </w:tcBorders>
            <w:shd w:val="clear" w:color="auto" w:fill="auto"/>
            <w:noWrap/>
            <w:tcMar>
              <w:top w:w="15" w:type="dxa"/>
              <w:left w:w="15" w:type="dxa"/>
              <w:right w:w="15" w:type="dxa"/>
            </w:tcMar>
            <w:vAlign w:val="center"/>
          </w:tcPr>
          <w:p w14:paraId="35A738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sz w:val="21"/>
                <w:szCs w:val="21"/>
                <w:highlight w:val="none"/>
                <w:u w:val="none"/>
              </w:rPr>
              <w:t>已建成企业聚集区周边点位</w:t>
            </w:r>
          </w:p>
        </w:tc>
        <w:tc>
          <w:tcPr>
            <w:tcW w:w="2640" w:type="dxa"/>
            <w:tcBorders>
              <w:tl2br w:val="nil"/>
              <w:tr2bl w:val="nil"/>
            </w:tcBorders>
            <w:shd w:val="clear" w:color="auto" w:fill="auto"/>
            <w:noWrap/>
            <w:tcMar>
              <w:top w:w="15" w:type="dxa"/>
              <w:left w:w="15" w:type="dxa"/>
              <w:right w:w="15" w:type="dxa"/>
            </w:tcMar>
            <w:vAlign w:val="center"/>
          </w:tcPr>
          <w:p w14:paraId="28FD24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eastAsia="zh-CN"/>
              </w:rPr>
            </w:pPr>
            <w:r>
              <w:rPr>
                <w:rFonts w:hint="default" w:ascii="Times New Roman" w:hAnsi="Times New Roman" w:cs="Times New Roman"/>
                <w:i w:val="0"/>
                <w:color w:val="000000"/>
                <w:sz w:val="21"/>
                <w:szCs w:val="21"/>
                <w:highlight w:val="none"/>
                <w:u w:val="none"/>
                <w:lang w:eastAsia="zh-CN"/>
              </w:rPr>
              <w:t>居住用地</w:t>
            </w:r>
          </w:p>
        </w:tc>
        <w:tc>
          <w:tcPr>
            <w:tcW w:w="4103" w:type="dxa"/>
            <w:tcBorders>
              <w:tl2br w:val="nil"/>
              <w:tr2bl w:val="nil"/>
            </w:tcBorders>
            <w:shd w:val="clear" w:color="auto" w:fill="auto"/>
            <w:noWrap/>
            <w:tcMar>
              <w:top w:w="15" w:type="dxa"/>
              <w:left w:w="15" w:type="dxa"/>
              <w:right w:w="15" w:type="dxa"/>
            </w:tcMar>
            <w:vAlign w:val="center"/>
          </w:tcPr>
          <w:p w14:paraId="1C50CA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cs="Times New Roman"/>
                <w:i w:val="0"/>
                <w:color w:val="000000"/>
                <w:sz w:val="21"/>
                <w:szCs w:val="21"/>
                <w:highlight w:val="none"/>
                <w:u w:val="none"/>
                <w:lang w:val="en-US" w:eastAsia="zh-CN"/>
              </w:rPr>
              <w:t>第一类用地筛选值</w:t>
            </w:r>
          </w:p>
        </w:tc>
      </w:tr>
      <w:tr w14:paraId="6A2C126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4DE3A4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16</w:t>
            </w:r>
          </w:p>
        </w:tc>
        <w:tc>
          <w:tcPr>
            <w:tcW w:w="1155" w:type="dxa"/>
            <w:tcBorders>
              <w:tl2br w:val="nil"/>
              <w:tr2bl w:val="nil"/>
            </w:tcBorders>
            <w:shd w:val="clear" w:color="auto" w:fill="auto"/>
            <w:noWrap/>
            <w:tcMar>
              <w:top w:w="15" w:type="dxa"/>
              <w:left w:w="15" w:type="dxa"/>
              <w:right w:w="15" w:type="dxa"/>
            </w:tcMar>
            <w:vAlign w:val="center"/>
          </w:tcPr>
          <w:p w14:paraId="6F59EF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HR-JJ-2</w:t>
            </w:r>
          </w:p>
        </w:tc>
        <w:tc>
          <w:tcPr>
            <w:tcW w:w="1080" w:type="dxa"/>
            <w:vMerge w:val="continue"/>
            <w:tcBorders>
              <w:tl2br w:val="nil"/>
              <w:tr2bl w:val="nil"/>
            </w:tcBorders>
            <w:shd w:val="clear" w:color="auto" w:fill="auto"/>
            <w:noWrap/>
            <w:tcMar>
              <w:top w:w="15" w:type="dxa"/>
              <w:left w:w="15" w:type="dxa"/>
              <w:right w:w="15" w:type="dxa"/>
            </w:tcMar>
            <w:vAlign w:val="center"/>
          </w:tcPr>
          <w:p w14:paraId="3335DB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120003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eastAsia="zh-CN"/>
              </w:rPr>
            </w:pPr>
            <w:r>
              <w:rPr>
                <w:rFonts w:hint="default" w:ascii="Times New Roman" w:hAnsi="Times New Roman" w:cs="Times New Roman"/>
                <w:i w:val="0"/>
                <w:color w:val="000000"/>
                <w:sz w:val="21"/>
                <w:szCs w:val="21"/>
                <w:highlight w:val="none"/>
                <w:u w:val="none"/>
                <w:lang w:eastAsia="zh-CN"/>
              </w:rPr>
              <w:t>工业用地</w:t>
            </w:r>
          </w:p>
        </w:tc>
        <w:tc>
          <w:tcPr>
            <w:tcW w:w="4103" w:type="dxa"/>
            <w:tcBorders>
              <w:tl2br w:val="nil"/>
              <w:tr2bl w:val="nil"/>
            </w:tcBorders>
            <w:shd w:val="clear" w:color="auto" w:fill="auto"/>
            <w:noWrap/>
            <w:tcMar>
              <w:top w:w="15" w:type="dxa"/>
              <w:left w:w="15" w:type="dxa"/>
              <w:right w:w="15" w:type="dxa"/>
            </w:tcMar>
            <w:vAlign w:val="center"/>
          </w:tcPr>
          <w:p w14:paraId="0C1F00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cs="Times New Roman"/>
                <w:i w:val="0"/>
                <w:color w:val="000000"/>
                <w:sz w:val="21"/>
                <w:szCs w:val="21"/>
                <w:highlight w:val="none"/>
                <w:u w:val="none"/>
                <w:lang w:val="en-US" w:eastAsia="zh-CN"/>
              </w:rPr>
              <w:t>第一类用地筛选值</w:t>
            </w:r>
          </w:p>
        </w:tc>
      </w:tr>
      <w:tr w14:paraId="33FD961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7553B4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17</w:t>
            </w:r>
          </w:p>
        </w:tc>
        <w:tc>
          <w:tcPr>
            <w:tcW w:w="1155" w:type="dxa"/>
            <w:tcBorders>
              <w:tl2br w:val="nil"/>
              <w:tr2bl w:val="nil"/>
            </w:tcBorders>
            <w:shd w:val="clear" w:color="auto" w:fill="auto"/>
            <w:noWrap/>
            <w:tcMar>
              <w:top w:w="15" w:type="dxa"/>
              <w:left w:w="15" w:type="dxa"/>
              <w:right w:w="15" w:type="dxa"/>
            </w:tcMar>
            <w:vAlign w:val="center"/>
          </w:tcPr>
          <w:p w14:paraId="10FEEF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HR-JJ-3</w:t>
            </w:r>
          </w:p>
        </w:tc>
        <w:tc>
          <w:tcPr>
            <w:tcW w:w="1080" w:type="dxa"/>
            <w:vMerge w:val="continue"/>
            <w:tcBorders>
              <w:tl2br w:val="nil"/>
              <w:tr2bl w:val="nil"/>
            </w:tcBorders>
            <w:shd w:val="clear" w:color="auto" w:fill="auto"/>
            <w:noWrap/>
            <w:tcMar>
              <w:top w:w="15" w:type="dxa"/>
              <w:left w:w="15" w:type="dxa"/>
              <w:right w:w="15" w:type="dxa"/>
            </w:tcMar>
            <w:vAlign w:val="center"/>
          </w:tcPr>
          <w:p w14:paraId="629B99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07E9AC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sz w:val="21"/>
                <w:szCs w:val="21"/>
                <w:highlight w:val="none"/>
                <w:u w:val="none"/>
                <w:lang w:eastAsia="zh-CN"/>
              </w:rPr>
              <w:t>工业用地</w:t>
            </w:r>
          </w:p>
        </w:tc>
        <w:tc>
          <w:tcPr>
            <w:tcW w:w="4103" w:type="dxa"/>
            <w:tcBorders>
              <w:tl2br w:val="nil"/>
              <w:tr2bl w:val="nil"/>
            </w:tcBorders>
            <w:shd w:val="clear" w:color="auto" w:fill="auto"/>
            <w:noWrap/>
            <w:tcMar>
              <w:top w:w="15" w:type="dxa"/>
              <w:left w:w="15" w:type="dxa"/>
              <w:right w:w="15" w:type="dxa"/>
            </w:tcMar>
            <w:vAlign w:val="center"/>
          </w:tcPr>
          <w:p w14:paraId="35A5B5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cs="Times New Roman"/>
                <w:i w:val="0"/>
                <w:color w:val="000000"/>
                <w:sz w:val="21"/>
                <w:szCs w:val="21"/>
                <w:highlight w:val="none"/>
                <w:u w:val="none"/>
                <w:lang w:val="en-US" w:eastAsia="zh-CN"/>
              </w:rPr>
              <w:t>第一类用地筛选值</w:t>
            </w:r>
          </w:p>
        </w:tc>
      </w:tr>
      <w:tr w14:paraId="4F8606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52F593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18</w:t>
            </w:r>
          </w:p>
        </w:tc>
        <w:tc>
          <w:tcPr>
            <w:tcW w:w="1155" w:type="dxa"/>
            <w:tcBorders>
              <w:tl2br w:val="nil"/>
              <w:tr2bl w:val="nil"/>
            </w:tcBorders>
            <w:shd w:val="clear" w:color="auto" w:fill="auto"/>
            <w:noWrap/>
            <w:tcMar>
              <w:top w:w="15" w:type="dxa"/>
              <w:left w:w="15" w:type="dxa"/>
              <w:right w:w="15" w:type="dxa"/>
            </w:tcMar>
            <w:vAlign w:val="center"/>
          </w:tcPr>
          <w:p w14:paraId="642211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HR-JJ-4</w:t>
            </w:r>
          </w:p>
        </w:tc>
        <w:tc>
          <w:tcPr>
            <w:tcW w:w="1080" w:type="dxa"/>
            <w:vMerge w:val="continue"/>
            <w:tcBorders>
              <w:tl2br w:val="nil"/>
              <w:tr2bl w:val="nil"/>
            </w:tcBorders>
            <w:shd w:val="clear" w:color="auto" w:fill="auto"/>
            <w:noWrap/>
            <w:tcMar>
              <w:top w:w="15" w:type="dxa"/>
              <w:left w:w="15" w:type="dxa"/>
              <w:right w:w="15" w:type="dxa"/>
            </w:tcMar>
            <w:vAlign w:val="center"/>
          </w:tcPr>
          <w:p w14:paraId="1FFA17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545A83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sz w:val="21"/>
                <w:szCs w:val="21"/>
                <w:highlight w:val="none"/>
                <w:u w:val="none"/>
                <w:lang w:eastAsia="zh-CN"/>
              </w:rPr>
              <w:t>工业用地</w:t>
            </w:r>
          </w:p>
        </w:tc>
        <w:tc>
          <w:tcPr>
            <w:tcW w:w="4103" w:type="dxa"/>
            <w:tcBorders>
              <w:tl2br w:val="nil"/>
              <w:tr2bl w:val="nil"/>
            </w:tcBorders>
            <w:shd w:val="clear" w:color="auto" w:fill="auto"/>
            <w:noWrap/>
            <w:tcMar>
              <w:top w:w="15" w:type="dxa"/>
              <w:left w:w="15" w:type="dxa"/>
              <w:right w:w="15" w:type="dxa"/>
            </w:tcMar>
            <w:vAlign w:val="center"/>
          </w:tcPr>
          <w:p w14:paraId="49C809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cs="Times New Roman"/>
                <w:i w:val="0"/>
                <w:color w:val="000000"/>
                <w:sz w:val="21"/>
                <w:szCs w:val="21"/>
                <w:highlight w:val="none"/>
                <w:u w:val="none"/>
                <w:lang w:val="en-US" w:eastAsia="zh-CN"/>
              </w:rPr>
              <w:t>第一类用地筛选值</w:t>
            </w:r>
          </w:p>
        </w:tc>
      </w:tr>
      <w:tr w14:paraId="39F176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111793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19</w:t>
            </w:r>
          </w:p>
        </w:tc>
        <w:tc>
          <w:tcPr>
            <w:tcW w:w="1155" w:type="dxa"/>
            <w:tcBorders>
              <w:tl2br w:val="nil"/>
              <w:tr2bl w:val="nil"/>
            </w:tcBorders>
            <w:shd w:val="clear" w:color="auto" w:fill="auto"/>
            <w:noWrap/>
            <w:tcMar>
              <w:top w:w="15" w:type="dxa"/>
              <w:left w:w="15" w:type="dxa"/>
              <w:right w:w="15" w:type="dxa"/>
            </w:tcMar>
            <w:vAlign w:val="center"/>
          </w:tcPr>
          <w:p w14:paraId="04A35B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HR-JJ-5</w:t>
            </w:r>
          </w:p>
        </w:tc>
        <w:tc>
          <w:tcPr>
            <w:tcW w:w="1080" w:type="dxa"/>
            <w:vMerge w:val="continue"/>
            <w:tcBorders>
              <w:tl2br w:val="nil"/>
              <w:tr2bl w:val="nil"/>
            </w:tcBorders>
            <w:shd w:val="clear" w:color="auto" w:fill="auto"/>
            <w:noWrap/>
            <w:tcMar>
              <w:top w:w="15" w:type="dxa"/>
              <w:left w:w="15" w:type="dxa"/>
              <w:right w:w="15" w:type="dxa"/>
            </w:tcMar>
            <w:vAlign w:val="center"/>
          </w:tcPr>
          <w:p w14:paraId="72CEFB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33DAA4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sz w:val="21"/>
                <w:szCs w:val="21"/>
                <w:highlight w:val="none"/>
                <w:u w:val="none"/>
                <w:lang w:eastAsia="zh-CN"/>
              </w:rPr>
              <w:t>居住用地</w:t>
            </w:r>
          </w:p>
        </w:tc>
        <w:tc>
          <w:tcPr>
            <w:tcW w:w="4103" w:type="dxa"/>
            <w:tcBorders>
              <w:tl2br w:val="nil"/>
              <w:tr2bl w:val="nil"/>
            </w:tcBorders>
            <w:shd w:val="clear" w:color="auto" w:fill="auto"/>
            <w:noWrap/>
            <w:tcMar>
              <w:top w:w="15" w:type="dxa"/>
              <w:left w:w="15" w:type="dxa"/>
              <w:right w:w="15" w:type="dxa"/>
            </w:tcMar>
            <w:vAlign w:val="center"/>
          </w:tcPr>
          <w:p w14:paraId="36FAD8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cs="Times New Roman"/>
                <w:i w:val="0"/>
                <w:color w:val="000000"/>
                <w:sz w:val="21"/>
                <w:szCs w:val="21"/>
                <w:highlight w:val="none"/>
                <w:u w:val="none"/>
                <w:lang w:val="en-US" w:eastAsia="zh-CN"/>
              </w:rPr>
              <w:t>第一类用地筛选值</w:t>
            </w:r>
          </w:p>
        </w:tc>
      </w:tr>
      <w:tr w14:paraId="4D77E2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634" w:type="dxa"/>
            <w:tcBorders>
              <w:tl2br w:val="nil"/>
              <w:tr2bl w:val="nil"/>
            </w:tcBorders>
            <w:shd w:val="clear" w:color="auto" w:fill="auto"/>
            <w:noWrap/>
            <w:tcMar>
              <w:top w:w="15" w:type="dxa"/>
              <w:left w:w="15" w:type="dxa"/>
              <w:right w:w="15" w:type="dxa"/>
            </w:tcMar>
            <w:vAlign w:val="center"/>
          </w:tcPr>
          <w:p w14:paraId="1F1AFD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20</w:t>
            </w:r>
          </w:p>
        </w:tc>
        <w:tc>
          <w:tcPr>
            <w:tcW w:w="1155" w:type="dxa"/>
            <w:tcBorders>
              <w:tl2br w:val="nil"/>
              <w:tr2bl w:val="nil"/>
            </w:tcBorders>
            <w:shd w:val="clear" w:color="auto" w:fill="auto"/>
            <w:noWrap/>
            <w:tcMar>
              <w:top w:w="15" w:type="dxa"/>
              <w:left w:w="15" w:type="dxa"/>
              <w:right w:w="15" w:type="dxa"/>
            </w:tcMar>
            <w:vAlign w:val="center"/>
          </w:tcPr>
          <w:p w14:paraId="148AC3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HR-JJ-6</w:t>
            </w:r>
          </w:p>
        </w:tc>
        <w:tc>
          <w:tcPr>
            <w:tcW w:w="1080" w:type="dxa"/>
            <w:vMerge w:val="continue"/>
            <w:tcBorders>
              <w:tl2br w:val="nil"/>
              <w:tr2bl w:val="nil"/>
            </w:tcBorders>
            <w:shd w:val="clear" w:color="auto" w:fill="auto"/>
            <w:noWrap/>
            <w:tcMar>
              <w:top w:w="15" w:type="dxa"/>
              <w:left w:w="15" w:type="dxa"/>
              <w:right w:w="15" w:type="dxa"/>
            </w:tcMar>
            <w:vAlign w:val="center"/>
          </w:tcPr>
          <w:p w14:paraId="4A3C61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p>
        </w:tc>
        <w:tc>
          <w:tcPr>
            <w:tcW w:w="2640" w:type="dxa"/>
            <w:tcBorders>
              <w:tl2br w:val="nil"/>
              <w:tr2bl w:val="nil"/>
            </w:tcBorders>
            <w:shd w:val="clear" w:color="auto" w:fill="auto"/>
            <w:noWrap/>
            <w:tcMar>
              <w:top w:w="15" w:type="dxa"/>
              <w:left w:w="15" w:type="dxa"/>
              <w:right w:w="15" w:type="dxa"/>
            </w:tcMar>
            <w:vAlign w:val="center"/>
          </w:tcPr>
          <w:p w14:paraId="38D6C7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sz w:val="21"/>
                <w:szCs w:val="21"/>
                <w:highlight w:val="none"/>
                <w:u w:val="none"/>
                <w:lang w:eastAsia="zh-CN"/>
              </w:rPr>
              <w:t>居住用地</w:t>
            </w:r>
          </w:p>
        </w:tc>
        <w:tc>
          <w:tcPr>
            <w:tcW w:w="4103" w:type="dxa"/>
            <w:tcBorders>
              <w:tl2br w:val="nil"/>
              <w:tr2bl w:val="nil"/>
            </w:tcBorders>
            <w:shd w:val="clear" w:color="auto" w:fill="auto"/>
            <w:noWrap/>
            <w:tcMar>
              <w:top w:w="15" w:type="dxa"/>
              <w:left w:w="15" w:type="dxa"/>
              <w:right w:w="15" w:type="dxa"/>
            </w:tcMar>
            <w:vAlign w:val="center"/>
          </w:tcPr>
          <w:p w14:paraId="7C86B7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21"/>
                <w:szCs w:val="21"/>
                <w:highlight w:val="none"/>
              </w:rPr>
            </w:pPr>
            <w:r>
              <w:rPr>
                <w:rFonts w:hint="default" w:ascii="Times New Roman" w:hAnsi="Times New Roman" w:cs="Times New Roman"/>
                <w:i w:val="0"/>
                <w:color w:val="000000"/>
                <w:sz w:val="21"/>
                <w:szCs w:val="21"/>
                <w:highlight w:val="none"/>
                <w:u w:val="none"/>
                <w:lang w:val="en-US" w:eastAsia="zh-CN"/>
              </w:rPr>
              <w:t>第一类用地筛选值</w:t>
            </w:r>
          </w:p>
        </w:tc>
      </w:tr>
    </w:tbl>
    <w:p w14:paraId="63B3A093">
      <w:pPr>
        <w:pStyle w:val="2"/>
        <w:spacing w:after="0" w:line="240" w:lineRule="auto"/>
        <w:rPr>
          <w:b/>
          <w:bCs/>
          <w:color w:val="000000"/>
          <w:kern w:val="0"/>
          <w:sz w:val="18"/>
          <w:szCs w:val="18"/>
          <w:highlight w:val="none"/>
        </w:rPr>
      </w:pPr>
      <w:r>
        <w:rPr>
          <w:rFonts w:hint="default" w:ascii="Times New Roman" w:hAnsi="Times New Roman" w:cs="Times New Roman"/>
          <w:b/>
          <w:bCs/>
          <w:color w:val="000000"/>
          <w:kern w:val="0"/>
          <w:sz w:val="18"/>
          <w:szCs w:val="18"/>
          <w:highlight w:val="none"/>
          <w:lang w:val="en-US" w:eastAsia="zh-CN" w:bidi="ar-SA"/>
        </w:rPr>
        <w:t>注：</w:t>
      </w:r>
      <w:r>
        <w:rPr>
          <w:rFonts w:hint="eastAsia"/>
          <w:b/>
          <w:bCs/>
          <w:color w:val="000000"/>
          <w:kern w:val="0"/>
          <w:sz w:val="18"/>
          <w:szCs w:val="18"/>
          <w:highlight w:val="none"/>
        </w:rPr>
        <w:t>①表列园区周边土壤点位用地类型为现状用地类型，已建成企业聚集区周边点位用地类型为规划用地类型；</w:t>
      </w:r>
    </w:p>
    <w:p w14:paraId="0CE0B794">
      <w:pPr>
        <w:pStyle w:val="2"/>
        <w:spacing w:after="0" w:line="240" w:lineRule="auto"/>
        <w:ind w:firstLine="361" w:firstLineChars="200"/>
        <w:rPr>
          <w:rFonts w:hint="default"/>
          <w:b/>
          <w:bCs/>
          <w:color w:val="000000"/>
          <w:kern w:val="0"/>
          <w:sz w:val="18"/>
          <w:szCs w:val="18"/>
          <w:highlight w:val="none"/>
          <w:lang w:val="en-US"/>
        </w:rPr>
      </w:pPr>
      <w:r>
        <w:rPr>
          <w:rFonts w:hint="eastAsia"/>
          <w:b/>
          <w:bCs/>
          <w:color w:val="000000"/>
          <w:kern w:val="0"/>
          <w:sz w:val="18"/>
          <w:szCs w:val="18"/>
          <w:highlight w:val="none"/>
        </w:rPr>
        <w:t>②</w:t>
      </w:r>
      <w:r>
        <w:rPr>
          <w:rFonts w:hint="eastAsia"/>
          <w:b/>
          <w:bCs/>
          <w:color w:val="000000"/>
          <w:kern w:val="0"/>
          <w:sz w:val="18"/>
          <w:szCs w:val="18"/>
          <w:highlight w:val="none"/>
          <w:lang w:val="en-US" w:eastAsia="zh-CN"/>
        </w:rPr>
        <w:t>根据上文中评价标准选择原则，</w:t>
      </w:r>
      <w:r>
        <w:rPr>
          <w:rFonts w:hint="default" w:ascii="Times New Roman" w:hAnsi="Times New Roman" w:cs="Times New Roman"/>
          <w:b/>
          <w:bCs/>
          <w:i w:val="0"/>
          <w:color w:val="000000"/>
          <w:sz w:val="18"/>
          <w:szCs w:val="18"/>
          <w:highlight w:val="none"/>
          <w:u w:val="none"/>
          <w:lang w:val="en-US" w:eastAsia="zh-CN"/>
        </w:rPr>
        <w:t>第一类</w:t>
      </w:r>
      <w:r>
        <w:rPr>
          <w:rFonts w:hint="eastAsia" w:cs="Times New Roman"/>
          <w:b/>
          <w:bCs/>
          <w:i w:val="0"/>
          <w:color w:val="000000"/>
          <w:sz w:val="18"/>
          <w:szCs w:val="18"/>
          <w:highlight w:val="none"/>
          <w:u w:val="none"/>
          <w:lang w:val="en-US" w:eastAsia="zh-CN"/>
        </w:rPr>
        <w:t>/第二类</w:t>
      </w:r>
      <w:r>
        <w:rPr>
          <w:rFonts w:hint="default" w:ascii="Times New Roman" w:hAnsi="Times New Roman" w:cs="Times New Roman"/>
          <w:b/>
          <w:bCs/>
          <w:i w:val="0"/>
          <w:color w:val="000000"/>
          <w:sz w:val="18"/>
          <w:szCs w:val="18"/>
          <w:highlight w:val="none"/>
          <w:u w:val="none"/>
          <w:lang w:val="en-US" w:eastAsia="zh-CN"/>
        </w:rPr>
        <w:t>用地筛选值</w:t>
      </w:r>
      <w:r>
        <w:rPr>
          <w:rFonts w:hint="eastAsia" w:cs="Times New Roman"/>
          <w:b/>
          <w:bCs/>
          <w:i w:val="0"/>
          <w:color w:val="000000"/>
          <w:sz w:val="18"/>
          <w:szCs w:val="18"/>
          <w:highlight w:val="none"/>
          <w:u w:val="none"/>
          <w:lang w:val="en-US" w:eastAsia="zh-CN"/>
        </w:rPr>
        <w:t>按GB36600优先于深圳标准进行选择；</w:t>
      </w:r>
    </w:p>
    <w:p w14:paraId="72BCC118">
      <w:pPr>
        <w:pStyle w:val="2"/>
        <w:spacing w:after="0" w:line="240" w:lineRule="auto"/>
        <w:ind w:firstLine="361" w:firstLineChars="200"/>
        <w:rPr>
          <w:b/>
          <w:bCs/>
          <w:color w:val="000000"/>
          <w:kern w:val="0"/>
          <w:sz w:val="18"/>
          <w:szCs w:val="18"/>
          <w:highlight w:val="none"/>
        </w:rPr>
      </w:pPr>
      <w:r>
        <w:rPr>
          <w:rFonts w:hint="eastAsia"/>
          <w:b/>
          <w:bCs/>
          <w:color w:val="000000"/>
          <w:kern w:val="0"/>
          <w:sz w:val="18"/>
          <w:szCs w:val="18"/>
          <w:highlight w:val="none"/>
          <w:lang w:val="en-US" w:eastAsia="zh-CN"/>
        </w:rPr>
        <w:t>③</w:t>
      </w:r>
      <w:r>
        <w:rPr>
          <w:b/>
          <w:bCs/>
          <w:color w:val="000000"/>
          <w:kern w:val="0"/>
          <w:sz w:val="18"/>
          <w:szCs w:val="18"/>
          <w:highlight w:val="none"/>
        </w:rPr>
        <w:t>其它指GB15618农用地中除果园、水田外的用地</w:t>
      </w:r>
      <w:r>
        <w:rPr>
          <w:rFonts w:hint="eastAsia"/>
          <w:b/>
          <w:bCs/>
          <w:color w:val="000000"/>
          <w:kern w:val="0"/>
          <w:sz w:val="18"/>
          <w:szCs w:val="18"/>
          <w:highlight w:val="none"/>
        </w:rPr>
        <w:t>。</w:t>
      </w:r>
    </w:p>
    <w:p w14:paraId="4FABA81E">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000000"/>
          <w:kern w:val="0"/>
          <w:sz w:val="24"/>
          <w:szCs w:val="24"/>
          <w:highlight w:val="none"/>
          <w:lang w:val="en-US" w:eastAsia="zh-CN" w:bidi="ar-SA"/>
        </w:rPr>
      </w:pPr>
      <w:r>
        <w:rPr>
          <w:rFonts w:hint="default" w:ascii="Times New Roman" w:hAnsi="Times New Roman" w:cs="Times New Roman"/>
          <w:color w:val="000000"/>
          <w:kern w:val="0"/>
          <w:sz w:val="24"/>
          <w:szCs w:val="24"/>
          <w:highlight w:val="none"/>
          <w:lang w:val="en-US" w:eastAsia="zh-CN" w:bidi="ar-SA"/>
        </w:rPr>
        <w:t>具体标准值如下：</w:t>
      </w:r>
    </w:p>
    <w:p w14:paraId="0F443E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
          <w:bCs/>
          <w:sz w:val="24"/>
          <w:highlight w:val="none"/>
        </w:rPr>
      </w:pPr>
      <w:r>
        <w:rPr>
          <w:rFonts w:hint="default" w:ascii="Times New Roman" w:hAnsi="Times New Roman" w:eastAsia="黑体" w:cs="Times New Roman"/>
          <w:b/>
          <w:bCs/>
          <w:sz w:val="24"/>
          <w:highlight w:val="none"/>
        </w:rPr>
        <w:t>表5-1-</w:t>
      </w:r>
      <w:r>
        <w:rPr>
          <w:rFonts w:hint="default" w:ascii="Times New Roman" w:hAnsi="Times New Roman" w:eastAsia="黑体" w:cs="Times New Roman"/>
          <w:b/>
          <w:bCs/>
          <w:sz w:val="24"/>
          <w:highlight w:val="none"/>
          <w:lang w:val="en-US" w:eastAsia="zh-CN"/>
        </w:rPr>
        <w:t xml:space="preserve">2 </w:t>
      </w:r>
      <w:r>
        <w:rPr>
          <w:rFonts w:hint="default" w:ascii="Times New Roman" w:hAnsi="Times New Roman" w:eastAsia="黑体" w:cs="Times New Roman"/>
          <w:b/>
          <w:bCs/>
          <w:sz w:val="24"/>
          <w:highlight w:val="none"/>
        </w:rPr>
        <w:t>建设用地土壤污染风险筛选值（单位：mg/kg）</w:t>
      </w:r>
    </w:p>
    <w:tbl>
      <w:tblPr>
        <w:tblStyle w:val="21"/>
        <w:tblW w:w="9668" w:type="dxa"/>
        <w:jc w:val="center"/>
        <w:shd w:val="clear" w:color="auto" w:fill="auto"/>
        <w:tblLayout w:type="fixed"/>
        <w:tblCellMar>
          <w:top w:w="0" w:type="dxa"/>
          <w:left w:w="0" w:type="dxa"/>
          <w:bottom w:w="0" w:type="dxa"/>
          <w:right w:w="0" w:type="dxa"/>
        </w:tblCellMar>
      </w:tblPr>
      <w:tblGrid>
        <w:gridCol w:w="1110"/>
        <w:gridCol w:w="2381"/>
        <w:gridCol w:w="1538"/>
        <w:gridCol w:w="2319"/>
        <w:gridCol w:w="2320"/>
      </w:tblGrid>
      <w:tr w14:paraId="3A7D8DD2">
        <w:tblPrEx>
          <w:shd w:val="clear" w:color="auto" w:fill="auto"/>
          <w:tblCellMar>
            <w:top w:w="0" w:type="dxa"/>
            <w:left w:w="0" w:type="dxa"/>
            <w:bottom w:w="0" w:type="dxa"/>
            <w:right w:w="0" w:type="dxa"/>
          </w:tblCellMar>
        </w:tblPrEx>
        <w:trPr>
          <w:trHeight w:val="23" w:hRule="atLeast"/>
          <w:tblHeader/>
          <w:jc w:val="center"/>
        </w:trPr>
        <w:tc>
          <w:tcPr>
            <w:tcW w:w="1110" w:type="dxa"/>
            <w:tcBorders>
              <w:top w:val="single" w:color="000000" w:sz="12" w:space="0"/>
              <w:left w:val="nil"/>
              <w:bottom w:val="single" w:color="000000" w:sz="12" w:space="0"/>
              <w:right w:val="single" w:color="000000" w:sz="4" w:space="0"/>
            </w:tcBorders>
            <w:shd w:val="clear" w:color="auto" w:fill="auto"/>
            <w:noWrap/>
            <w:tcMar>
              <w:top w:w="15" w:type="dxa"/>
              <w:left w:w="15" w:type="dxa"/>
              <w:right w:w="15" w:type="dxa"/>
            </w:tcMar>
            <w:vAlign w:val="center"/>
          </w:tcPr>
          <w:p w14:paraId="4B4052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序号</w:t>
            </w:r>
          </w:p>
        </w:tc>
        <w:tc>
          <w:tcPr>
            <w:tcW w:w="2381" w:type="dxa"/>
            <w:tcBorders>
              <w:top w:val="single" w:color="000000" w:sz="12" w:space="0"/>
              <w:left w:val="single" w:color="000000" w:sz="4" w:space="0"/>
              <w:bottom w:val="single" w:color="000000" w:sz="12" w:space="0"/>
              <w:right w:val="single" w:color="000000" w:sz="4" w:space="0"/>
            </w:tcBorders>
            <w:shd w:val="clear" w:color="auto" w:fill="auto"/>
            <w:noWrap/>
            <w:tcMar>
              <w:top w:w="15" w:type="dxa"/>
              <w:left w:w="15" w:type="dxa"/>
              <w:right w:w="15" w:type="dxa"/>
            </w:tcMar>
            <w:vAlign w:val="center"/>
          </w:tcPr>
          <w:p w14:paraId="6BB54F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污染物项目</w:t>
            </w:r>
          </w:p>
        </w:tc>
        <w:tc>
          <w:tcPr>
            <w:tcW w:w="1538" w:type="dxa"/>
            <w:tcBorders>
              <w:top w:val="single" w:color="000000" w:sz="12" w:space="0"/>
              <w:left w:val="single" w:color="000000" w:sz="4" w:space="0"/>
              <w:bottom w:val="single" w:color="000000" w:sz="12" w:space="0"/>
              <w:right w:val="single" w:color="000000" w:sz="4" w:space="0"/>
            </w:tcBorders>
            <w:shd w:val="clear" w:color="auto" w:fill="auto"/>
            <w:noWrap/>
            <w:tcMar>
              <w:top w:w="15" w:type="dxa"/>
              <w:left w:w="15" w:type="dxa"/>
              <w:right w:w="15" w:type="dxa"/>
            </w:tcMar>
            <w:vAlign w:val="center"/>
          </w:tcPr>
          <w:p w14:paraId="33B5B7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CAS号</w:t>
            </w:r>
          </w:p>
        </w:tc>
        <w:tc>
          <w:tcPr>
            <w:tcW w:w="2319" w:type="dxa"/>
            <w:tcBorders>
              <w:top w:val="single" w:color="000000" w:sz="12" w:space="0"/>
              <w:left w:val="single" w:color="000000" w:sz="4" w:space="0"/>
              <w:bottom w:val="single" w:color="000000" w:sz="12" w:space="0"/>
              <w:right w:val="single" w:color="000000" w:sz="4" w:space="0"/>
            </w:tcBorders>
            <w:shd w:val="clear" w:color="auto" w:fill="auto"/>
            <w:noWrap/>
            <w:tcMar>
              <w:top w:w="15" w:type="dxa"/>
              <w:left w:w="15" w:type="dxa"/>
              <w:right w:w="15" w:type="dxa"/>
            </w:tcMar>
            <w:vAlign w:val="center"/>
          </w:tcPr>
          <w:p w14:paraId="54A53E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第一类用地筛选值</w:t>
            </w:r>
          </w:p>
        </w:tc>
        <w:tc>
          <w:tcPr>
            <w:tcW w:w="2320" w:type="dxa"/>
            <w:tcBorders>
              <w:top w:val="single" w:color="000000" w:sz="12" w:space="0"/>
              <w:left w:val="single" w:color="000000" w:sz="4" w:space="0"/>
              <w:bottom w:val="single" w:color="000000" w:sz="12" w:space="0"/>
              <w:right w:val="nil"/>
            </w:tcBorders>
            <w:shd w:val="clear" w:color="auto" w:fill="auto"/>
            <w:noWrap/>
            <w:tcMar>
              <w:top w:w="15" w:type="dxa"/>
              <w:left w:w="15" w:type="dxa"/>
              <w:right w:w="15" w:type="dxa"/>
            </w:tcMar>
            <w:vAlign w:val="center"/>
          </w:tcPr>
          <w:p w14:paraId="371532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第二类用地筛选值</w:t>
            </w:r>
          </w:p>
        </w:tc>
      </w:tr>
      <w:tr w14:paraId="6E1E2B71">
        <w:tblPrEx>
          <w:shd w:val="clear" w:color="auto" w:fill="auto"/>
          <w:tblCellMar>
            <w:top w:w="0" w:type="dxa"/>
            <w:left w:w="0" w:type="dxa"/>
            <w:bottom w:w="0" w:type="dxa"/>
            <w:right w:w="0" w:type="dxa"/>
          </w:tblCellMar>
        </w:tblPrEx>
        <w:trPr>
          <w:cantSplit/>
          <w:trHeight w:val="23" w:hRule="atLeast"/>
          <w:jc w:val="center"/>
        </w:trPr>
        <w:tc>
          <w:tcPr>
            <w:tcW w:w="9668" w:type="dxa"/>
            <w:gridSpan w:val="5"/>
            <w:tcBorders>
              <w:top w:val="single" w:color="000000" w:sz="12" w:space="0"/>
              <w:left w:val="nil"/>
              <w:bottom w:val="single" w:color="000000" w:sz="4" w:space="0"/>
              <w:right w:val="nil"/>
            </w:tcBorders>
            <w:shd w:val="clear" w:color="auto" w:fill="auto"/>
            <w:noWrap/>
            <w:tcMar>
              <w:top w:w="15" w:type="dxa"/>
              <w:left w:w="15" w:type="dxa"/>
              <w:right w:w="15" w:type="dxa"/>
            </w:tcMar>
            <w:vAlign w:val="center"/>
          </w:tcPr>
          <w:p w14:paraId="2D0DAF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重金属和无机物</w:t>
            </w:r>
          </w:p>
        </w:tc>
      </w:tr>
      <w:tr w14:paraId="175A27D3">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F3B02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75B4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总氟化物</w:t>
            </w:r>
            <w:r>
              <w:rPr>
                <w:rFonts w:hint="default" w:ascii="Times New Roman" w:hAnsi="Times New Roman" w:cs="Times New Roman"/>
                <w:i w:val="0"/>
                <w:color w:val="auto"/>
                <w:kern w:val="0"/>
                <w:sz w:val="21"/>
                <w:szCs w:val="21"/>
                <w:highlight w:val="none"/>
                <w:u w:val="none"/>
                <w:vertAlign w:val="superscript"/>
                <w:lang w:val="en-US" w:eastAsia="zh-CN" w:bidi="ar"/>
              </w:rPr>
              <w:t>①</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4ABE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sz w:val="21"/>
                <w:szCs w:val="21"/>
                <w:highlight w:val="none"/>
                <w:u w:val="none"/>
              </w:rPr>
              <w:t>16984-48-8</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541D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1960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450D26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10000</w:t>
            </w:r>
          </w:p>
        </w:tc>
      </w:tr>
      <w:tr w14:paraId="2F3B3E76">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auto" w:sz="4" w:space="0"/>
              <w:right w:val="single" w:color="000000" w:sz="4" w:space="0"/>
            </w:tcBorders>
            <w:shd w:val="clear" w:color="auto" w:fill="auto"/>
            <w:noWrap/>
            <w:tcMar>
              <w:top w:w="15" w:type="dxa"/>
              <w:left w:w="15" w:type="dxa"/>
              <w:right w:w="15" w:type="dxa"/>
            </w:tcMar>
            <w:vAlign w:val="center"/>
          </w:tcPr>
          <w:p w14:paraId="2DAA13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2381"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3CEAE8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氰化物</w:t>
            </w:r>
          </w:p>
        </w:tc>
        <w:tc>
          <w:tcPr>
            <w:tcW w:w="1538"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17278A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57-12-5</w:t>
            </w:r>
          </w:p>
        </w:tc>
        <w:tc>
          <w:tcPr>
            <w:tcW w:w="2319"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653E4C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22</w:t>
            </w:r>
          </w:p>
        </w:tc>
        <w:tc>
          <w:tcPr>
            <w:tcW w:w="2320" w:type="dxa"/>
            <w:tcBorders>
              <w:top w:val="single" w:color="000000" w:sz="4" w:space="0"/>
              <w:left w:val="single" w:color="000000" w:sz="4" w:space="0"/>
              <w:bottom w:val="single" w:color="auto" w:sz="4" w:space="0"/>
              <w:right w:val="nil"/>
            </w:tcBorders>
            <w:shd w:val="clear" w:color="auto" w:fill="auto"/>
            <w:noWrap/>
            <w:tcMar>
              <w:top w:w="15" w:type="dxa"/>
              <w:left w:w="15" w:type="dxa"/>
              <w:right w:w="15" w:type="dxa"/>
            </w:tcMar>
            <w:vAlign w:val="center"/>
          </w:tcPr>
          <w:p w14:paraId="1B10FA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135</w:t>
            </w:r>
          </w:p>
        </w:tc>
      </w:tr>
      <w:tr w14:paraId="59F9FFD8">
        <w:tblPrEx>
          <w:tblCellMar>
            <w:top w:w="0" w:type="dxa"/>
            <w:left w:w="0" w:type="dxa"/>
            <w:bottom w:w="0" w:type="dxa"/>
            <w:right w:w="0" w:type="dxa"/>
          </w:tblCellMar>
        </w:tblPrEx>
        <w:trPr>
          <w:cantSplit/>
          <w:trHeight w:val="23" w:hRule="atLeast"/>
          <w:jc w:val="center"/>
        </w:trPr>
        <w:tc>
          <w:tcPr>
            <w:tcW w:w="1110" w:type="dxa"/>
            <w:tcBorders>
              <w:top w:val="single" w:color="auto"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34F32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2381"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EC58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铅</w:t>
            </w:r>
          </w:p>
        </w:tc>
        <w:tc>
          <w:tcPr>
            <w:tcW w:w="1538"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D15E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7439-92-1</w:t>
            </w:r>
          </w:p>
        </w:tc>
        <w:tc>
          <w:tcPr>
            <w:tcW w:w="2319"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4F3E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400</w:t>
            </w:r>
          </w:p>
        </w:tc>
        <w:tc>
          <w:tcPr>
            <w:tcW w:w="2320" w:type="dxa"/>
            <w:tcBorders>
              <w:top w:val="single" w:color="auto"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32CE9A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800</w:t>
            </w:r>
          </w:p>
        </w:tc>
      </w:tr>
      <w:tr w14:paraId="3713CC3A">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CCD7A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F10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汞</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96CE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7439-97-6</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C7AF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EDFB9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38</w:t>
            </w:r>
          </w:p>
        </w:tc>
      </w:tr>
      <w:tr w14:paraId="2B1505EA">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1CCF8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86CC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钴</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22D0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7440-48-4</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4F7C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36CC4E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70</w:t>
            </w:r>
          </w:p>
        </w:tc>
      </w:tr>
      <w:tr w14:paraId="33F6665C">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64A13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173A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镉</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25EA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7440-43-9</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C3B4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CCE82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65</w:t>
            </w:r>
          </w:p>
        </w:tc>
      </w:tr>
      <w:tr w14:paraId="2179BF3D">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AC4A0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E97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铜</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EB04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7440-50-8</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CDFF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2000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83660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18000</w:t>
            </w:r>
          </w:p>
        </w:tc>
      </w:tr>
      <w:tr w14:paraId="57E77B12">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D6D8F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cs="Times New Roman"/>
                <w:i w:val="0"/>
                <w:color w:val="auto"/>
                <w:kern w:val="0"/>
                <w:sz w:val="21"/>
                <w:szCs w:val="21"/>
                <w:highlight w:val="none"/>
                <w:u w:val="none"/>
                <w:lang w:val="en-US" w:eastAsia="zh-CN" w:bidi="ar"/>
              </w:rPr>
              <w:t>8</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5CCD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镍</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9DF3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7440-02-0</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5EE9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14C3A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900</w:t>
            </w:r>
          </w:p>
        </w:tc>
      </w:tr>
      <w:tr w14:paraId="01D3FD5A">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EF533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9</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C857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铬</w:t>
            </w:r>
            <w:r>
              <w:rPr>
                <w:rFonts w:hint="default" w:ascii="Times New Roman" w:hAnsi="Times New Roman" w:cs="Times New Roman"/>
                <w:i w:val="0"/>
                <w:color w:val="auto"/>
                <w:kern w:val="0"/>
                <w:sz w:val="21"/>
                <w:szCs w:val="21"/>
                <w:highlight w:val="none"/>
                <w:u w:val="none"/>
                <w:vertAlign w:val="superscript"/>
                <w:lang w:val="en-US" w:eastAsia="zh-CN" w:bidi="ar"/>
              </w:rPr>
              <w:t>①</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BBBF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7440-47-3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AB3E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1210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3EA2C3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2420</w:t>
            </w:r>
          </w:p>
        </w:tc>
      </w:tr>
      <w:tr w14:paraId="18D5173A">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48BE8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10</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30BB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铬（六价）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D074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18540-29-9</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D1C4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3.0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E44AD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5.7</w:t>
            </w:r>
          </w:p>
        </w:tc>
      </w:tr>
      <w:tr w14:paraId="772F64B0">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357A0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5223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6CD3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7440-38-2</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4177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20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30EAD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60</w:t>
            </w:r>
          </w:p>
        </w:tc>
      </w:tr>
      <w:tr w14:paraId="04FB5FD6">
        <w:tblPrEx>
          <w:shd w:val="clear" w:color="auto" w:fill="auto"/>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5833FE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有机物</w:t>
            </w:r>
            <w:r>
              <w:rPr>
                <w:rFonts w:hint="default" w:ascii="Times New Roman" w:hAnsi="Times New Roman" w:eastAsia="宋体" w:cs="Times New Roman"/>
                <w:i w:val="0"/>
                <w:color w:val="auto"/>
                <w:kern w:val="0"/>
                <w:sz w:val="21"/>
                <w:szCs w:val="21"/>
                <w:highlight w:val="none"/>
                <w:u w:val="none"/>
                <w:lang w:val="en-US" w:eastAsia="zh-CN" w:bidi="ar"/>
              </w:rPr>
              <w:t xml:space="preserve"> - </w:t>
            </w:r>
            <w:r>
              <w:rPr>
                <w:rFonts w:hint="default" w:ascii="Times New Roman" w:hAnsi="Times New Roman" w:cs="Times New Roman"/>
                <w:i w:val="0"/>
                <w:color w:val="auto"/>
                <w:kern w:val="0"/>
                <w:sz w:val="21"/>
                <w:szCs w:val="21"/>
                <w:highlight w:val="none"/>
                <w:u w:val="none"/>
                <w:lang w:val="en-US" w:eastAsia="zh-CN" w:bidi="ar"/>
              </w:rPr>
              <w:t>石油烃</w:t>
            </w:r>
          </w:p>
        </w:tc>
      </w:tr>
      <w:tr w14:paraId="6CC86493">
        <w:tblPrEx>
          <w:shd w:val="clear" w:color="auto" w:fill="auto"/>
          <w:tblCellMar>
            <w:top w:w="0" w:type="dxa"/>
            <w:left w:w="0" w:type="dxa"/>
            <w:bottom w:w="0" w:type="dxa"/>
            <w:right w:w="0" w:type="dxa"/>
          </w:tblCellMar>
        </w:tblPrEx>
        <w:trPr>
          <w:cantSplit/>
          <w:trHeight w:val="90"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947AD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12</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BAC6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石油烃（C</w:t>
            </w:r>
            <w:r>
              <w:rPr>
                <w:rFonts w:hint="default" w:ascii="Times New Roman" w:hAnsi="Times New Roman" w:cs="Times New Roman"/>
                <w:i w:val="0"/>
                <w:color w:val="auto"/>
                <w:kern w:val="0"/>
                <w:sz w:val="21"/>
                <w:szCs w:val="21"/>
                <w:highlight w:val="none"/>
                <w:u w:val="none"/>
                <w:vertAlign w:val="subscript"/>
                <w:lang w:val="en-US" w:eastAsia="zh-CN" w:bidi="ar"/>
              </w:rPr>
              <w:t>10</w:t>
            </w:r>
            <w:r>
              <w:rPr>
                <w:rFonts w:hint="default" w:ascii="Times New Roman" w:hAnsi="Times New Roman" w:cs="Times New Roman"/>
                <w:i w:val="0"/>
                <w:color w:val="auto"/>
                <w:kern w:val="0"/>
                <w:sz w:val="21"/>
                <w:szCs w:val="21"/>
                <w:highlight w:val="none"/>
                <w:u w:val="none"/>
                <w:lang w:val="en-US" w:eastAsia="zh-CN" w:bidi="ar"/>
              </w:rPr>
              <w:t>-C</w:t>
            </w:r>
            <w:r>
              <w:rPr>
                <w:rFonts w:hint="default" w:ascii="Times New Roman" w:hAnsi="Times New Roman" w:cs="Times New Roman"/>
                <w:i w:val="0"/>
                <w:color w:val="auto"/>
                <w:kern w:val="0"/>
                <w:sz w:val="21"/>
                <w:szCs w:val="21"/>
                <w:highlight w:val="none"/>
                <w:u w:val="none"/>
                <w:vertAlign w:val="subscript"/>
                <w:lang w:val="en-US" w:eastAsia="zh-CN" w:bidi="ar"/>
              </w:rPr>
              <w:t>40</w:t>
            </w:r>
            <w:r>
              <w:rPr>
                <w:rFonts w:hint="default" w:ascii="Times New Roman" w:hAnsi="Times New Roman" w:cs="Times New Roman"/>
                <w:i w:val="0"/>
                <w:color w:val="auto"/>
                <w:kern w:val="0"/>
                <w:sz w:val="21"/>
                <w:szCs w:val="21"/>
                <w:highlight w:val="none"/>
                <w:u w:val="none"/>
                <w:lang w:val="en-US" w:eastAsia="zh-CN" w:bidi="ar"/>
              </w:rPr>
              <w:t>）</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6907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CA6A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826</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342B32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4500</w:t>
            </w:r>
          </w:p>
        </w:tc>
      </w:tr>
      <w:tr w14:paraId="0EA31679">
        <w:tblPrEx>
          <w:shd w:val="clear" w:color="auto" w:fill="auto"/>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520723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挥发性有机物 - 单环芳烃类(MAH)</w:t>
            </w:r>
          </w:p>
        </w:tc>
      </w:tr>
      <w:tr w14:paraId="3427398B">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88EAF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533A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2ECA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71-43-2</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1ED7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02F2B0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r>
      <w:tr w14:paraId="56293D23">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B3040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14</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BCBE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甲苯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66DE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108-88-3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7870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1200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B9E5B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1200</w:t>
            </w:r>
          </w:p>
        </w:tc>
      </w:tr>
      <w:tr w14:paraId="2B0C724E">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007AD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4BC2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乙苯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0F47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100-41-4</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66F3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7.2</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07355C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28</w:t>
            </w:r>
          </w:p>
        </w:tc>
      </w:tr>
      <w:tr w14:paraId="4D8E1672">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16072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16</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FA09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间-二甲苯和对-二甲苯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343F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108-38-3 106-42-3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FBB6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163</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DE932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570</w:t>
            </w:r>
          </w:p>
        </w:tc>
      </w:tr>
      <w:tr w14:paraId="25B93B68">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A8100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17</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9877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邻-二甲苯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0855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95-47-6</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8B0C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222</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49A5F6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640</w:t>
            </w:r>
          </w:p>
        </w:tc>
      </w:tr>
      <w:tr w14:paraId="118BC613">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102CF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18</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D568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苯乙烯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ECC9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100-42-5</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FA69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1290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79882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1290</w:t>
            </w:r>
          </w:p>
        </w:tc>
      </w:tr>
      <w:tr w14:paraId="19441103">
        <w:tblPrEx>
          <w:shd w:val="clear" w:color="auto" w:fill="auto"/>
          <w:tblCellMar>
            <w:top w:w="0" w:type="dxa"/>
            <w:left w:w="0" w:type="dxa"/>
            <w:bottom w:w="0" w:type="dxa"/>
            <w:right w:w="0" w:type="dxa"/>
          </w:tblCellMar>
        </w:tblPrEx>
        <w:trPr>
          <w:cantSplit/>
          <w:trHeight w:val="90"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546C67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挥发性有机物 - 卤代脂肪烃</w:t>
            </w:r>
          </w:p>
        </w:tc>
      </w:tr>
      <w:tr w14:paraId="3A1A5219">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DBBBB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4595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氯甲烷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C4D5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74-87-3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8BDF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D3E3F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37</w:t>
            </w:r>
          </w:p>
        </w:tc>
      </w:tr>
      <w:tr w14:paraId="039E5868">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0EFBE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E005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氯乙烯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BFCF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1975</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1</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4</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CCDD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0.12</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C9FA1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0.43</w:t>
            </w:r>
          </w:p>
        </w:tc>
      </w:tr>
      <w:tr w14:paraId="1F28CEC4">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4D436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21</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5044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1,1-二氯乙烯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A11C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75-35-4</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71B1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2CF304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66</w:t>
            </w:r>
          </w:p>
        </w:tc>
      </w:tr>
      <w:tr w14:paraId="69F7AFFD">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6C046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22</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D496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二氯甲烷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A36D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1975</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9</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2</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7127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94</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0B5364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616</w:t>
            </w:r>
          </w:p>
        </w:tc>
      </w:tr>
      <w:tr w14:paraId="6137B08D">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B3083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23</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AA25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反式-1,2-二氯乙烯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8099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156-60-5</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6E16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3306E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54</w:t>
            </w:r>
          </w:p>
        </w:tc>
      </w:tr>
      <w:tr w14:paraId="31CE229F">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7E280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24</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FFF1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1,1-二氯乙烷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9626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75-34-3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0FE3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6B878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w:t>
            </w:r>
          </w:p>
        </w:tc>
      </w:tr>
      <w:tr w14:paraId="59848D1B">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7AED2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25</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B338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顺式-1,2-二氯乙烯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0BEA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156-59-2</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1F48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66</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48AF54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596</w:t>
            </w:r>
          </w:p>
        </w:tc>
      </w:tr>
      <w:tr w14:paraId="30D3785F">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45E9E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26</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FF70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1,1,1-三氯乙烷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F329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71-55-6</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ECF7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701</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2856E5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840</w:t>
            </w:r>
          </w:p>
        </w:tc>
      </w:tr>
      <w:tr w14:paraId="0791B13C">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FEEDB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27</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0C21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四氯化碳</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3697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56-23-5</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15F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0.9</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055C9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2.8</w:t>
            </w:r>
          </w:p>
        </w:tc>
      </w:tr>
      <w:tr w14:paraId="215CF2F4">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DF39A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28</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197E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1,2-二氯乙烷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14A2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107-06-2</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CBC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0.52</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37E4F6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r>
      <w:tr w14:paraId="75B540DD">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E5471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29</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F361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三氯乙烯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ECBC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1979</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1</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6</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D60C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0.7</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06FE6F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2.8</w:t>
            </w:r>
          </w:p>
        </w:tc>
      </w:tr>
      <w:tr w14:paraId="060F3FE4">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4E1D1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0444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1,2-二氯丙烷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ECDE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78-87-5</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DF49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E4661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r>
      <w:tr w14:paraId="640BEA00">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DD279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31</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B79C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1,1,2-三氯乙烷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4AC5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79-00-5</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195A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0.6</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D68E8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2.8</w:t>
            </w:r>
          </w:p>
        </w:tc>
      </w:tr>
      <w:tr w14:paraId="3B2A404C">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69D51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32</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BE42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四氯乙烯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C2F8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127-18-4</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262D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E7174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53</w:t>
            </w:r>
          </w:p>
        </w:tc>
      </w:tr>
      <w:tr w14:paraId="131A2FAB">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50FF0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33</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209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1,1,1,2-四氯乙烷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EB18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630-20-6</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72BB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2.6</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21082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w:t>
            </w:r>
          </w:p>
        </w:tc>
      </w:tr>
      <w:tr w14:paraId="61FE2118">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15981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34</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07F9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1,1,2,2-四氯乙烷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DD1A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630-20-6</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A1C9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1.6</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A5AA7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6.8</w:t>
            </w:r>
          </w:p>
        </w:tc>
      </w:tr>
      <w:tr w14:paraId="59D061AB">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88491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35</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3C9E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1,2,3-三氯丙烷</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6709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96-18-4</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34F1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0.05</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E2BA1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0.5</w:t>
            </w:r>
          </w:p>
        </w:tc>
      </w:tr>
      <w:tr w14:paraId="0CFFB702">
        <w:tblPrEx>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445185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挥发性有机物 - 卤代芳香烃</w:t>
            </w:r>
          </w:p>
        </w:tc>
      </w:tr>
      <w:tr w14:paraId="69D41928">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19B05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36</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5916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氯苯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6A93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108-90-7</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EAC9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68</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70EB2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270</w:t>
            </w:r>
          </w:p>
        </w:tc>
      </w:tr>
      <w:tr w14:paraId="0CDAEF7E">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E696C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37</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0A2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1,4-二氯苯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4253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106-46-7</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A867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5.6</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82CCE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w:t>
            </w:r>
          </w:p>
        </w:tc>
      </w:tr>
      <w:tr w14:paraId="5E5EE368">
        <w:tblPrEx>
          <w:shd w:val="clear" w:color="auto" w:fill="auto"/>
          <w:tblCellMar>
            <w:top w:w="0" w:type="dxa"/>
            <w:left w:w="0" w:type="dxa"/>
            <w:bottom w:w="0" w:type="dxa"/>
            <w:right w:w="0" w:type="dxa"/>
          </w:tblCellMar>
        </w:tblPrEx>
        <w:trPr>
          <w:cantSplit/>
          <w:trHeight w:val="90"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EDEFD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38</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78AC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1,2-二氯苯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FFB3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95-50-1</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82F4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560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48F8BF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560</w:t>
            </w:r>
          </w:p>
        </w:tc>
      </w:tr>
      <w:tr w14:paraId="5FD2249B">
        <w:tblPrEx>
          <w:shd w:val="clear" w:color="auto" w:fill="auto"/>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6008AA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挥发性有机物 - 三卤甲烷 (THM)</w:t>
            </w:r>
          </w:p>
        </w:tc>
      </w:tr>
      <w:tr w14:paraId="24782BF8">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FEEAE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cs="Times New Roman"/>
                <w:i w:val="0"/>
                <w:color w:val="auto"/>
                <w:kern w:val="0"/>
                <w:sz w:val="21"/>
                <w:szCs w:val="21"/>
                <w:highlight w:val="none"/>
                <w:u w:val="none"/>
                <w:lang w:val="en-US" w:eastAsia="zh-CN" w:bidi="ar"/>
              </w:rPr>
              <w:t>39</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2ED0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氯仿</w:t>
            </w:r>
            <w:r>
              <w:rPr>
                <w:rFonts w:hint="default" w:ascii="Times New Roman" w:hAnsi="Times New Roman" w:eastAsia="宋体" w:cs="Times New Roman"/>
                <w:i w:val="0"/>
                <w:color w:val="auto"/>
                <w:kern w:val="0"/>
                <w:sz w:val="21"/>
                <w:szCs w:val="21"/>
                <w:highlight w:val="none"/>
                <w:u w:val="none"/>
                <w:lang w:val="en-US" w:eastAsia="zh-CN" w:bidi="ar"/>
              </w:rPr>
              <w:t>(氯仿)</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7401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lang w:val="en-US" w:eastAsia="zh-CN"/>
              </w:rPr>
            </w:pPr>
            <w:r>
              <w:rPr>
                <w:rFonts w:hint="eastAsia" w:cs="Times New Roman"/>
                <w:i w:val="0"/>
                <w:color w:val="auto"/>
                <w:sz w:val="21"/>
                <w:szCs w:val="21"/>
                <w:highlight w:val="none"/>
                <w:u w:val="none"/>
                <w:lang w:val="en-US" w:eastAsia="zh-CN"/>
              </w:rPr>
              <w:t>67-66-3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B4E6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D73B6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0.9</w:t>
            </w:r>
          </w:p>
        </w:tc>
      </w:tr>
      <w:tr w14:paraId="249D42A2">
        <w:tblPrEx>
          <w:shd w:val="clear" w:color="auto" w:fill="auto"/>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0709B8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半挥发性有机物 - 苯酚类</w:t>
            </w:r>
          </w:p>
        </w:tc>
      </w:tr>
      <w:tr w14:paraId="78BDB82B">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CAE4D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40</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A7651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苯酚</w:t>
            </w:r>
            <w:r>
              <w:rPr>
                <w:rFonts w:hint="default" w:ascii="Times New Roman" w:hAnsi="Times New Roman" w:cs="Times New Roman"/>
                <w:i w:val="0"/>
                <w:color w:val="auto"/>
                <w:kern w:val="0"/>
                <w:sz w:val="21"/>
                <w:szCs w:val="21"/>
                <w:highlight w:val="none"/>
                <w:u w:val="none"/>
                <w:vertAlign w:val="superscript"/>
                <w:lang w:val="en-US" w:eastAsia="zh-CN" w:bidi="ar"/>
              </w:rPr>
              <w:t>②</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7AA90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108-95-2</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0C11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4160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4727ED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24200</w:t>
            </w:r>
          </w:p>
        </w:tc>
      </w:tr>
      <w:tr w14:paraId="036FCBF4">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B5CE8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41</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D92B9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2-氯酚</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0631D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95-57-8</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25E6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250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3778D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2256</w:t>
            </w:r>
          </w:p>
        </w:tc>
      </w:tr>
      <w:tr w14:paraId="16905515">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A16F8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42</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D8F9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2-甲基酚</w:t>
            </w:r>
            <w:r>
              <w:rPr>
                <w:rFonts w:hint="default" w:ascii="Times New Roman" w:hAnsi="Times New Roman" w:cs="Times New Roman"/>
                <w:i w:val="0"/>
                <w:color w:val="auto"/>
                <w:kern w:val="0"/>
                <w:sz w:val="21"/>
                <w:szCs w:val="21"/>
                <w:highlight w:val="none"/>
                <w:u w:val="none"/>
                <w:vertAlign w:val="superscript"/>
                <w:lang w:val="en-US" w:eastAsia="zh-CN" w:bidi="ar"/>
              </w:rPr>
              <w:t>①</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F1738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95-48-7</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2F2B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1580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88E48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9990</w:t>
            </w:r>
          </w:p>
        </w:tc>
      </w:tr>
      <w:tr w14:paraId="341CC379">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48FE7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43</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BF4C1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4-甲基酚</w:t>
            </w:r>
            <w:r>
              <w:rPr>
                <w:rFonts w:hint="default" w:ascii="Times New Roman" w:hAnsi="Times New Roman" w:cs="Times New Roman"/>
                <w:i w:val="0"/>
                <w:color w:val="auto"/>
                <w:kern w:val="0"/>
                <w:sz w:val="21"/>
                <w:szCs w:val="21"/>
                <w:highlight w:val="none"/>
                <w:u w:val="none"/>
                <w:vertAlign w:val="superscript"/>
                <w:lang w:val="en-US" w:eastAsia="zh-CN" w:bidi="ar"/>
              </w:rPr>
              <w:t>①</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E2F6E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106-44-5</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48D1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173</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2522DF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1160</w:t>
            </w:r>
          </w:p>
        </w:tc>
      </w:tr>
      <w:tr w14:paraId="089102DE">
        <w:tblPrEx>
          <w:shd w:val="clear" w:color="auto" w:fill="auto"/>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195B30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半挥发性有机物 - 多环芳烃类(PAHs)</w:t>
            </w:r>
          </w:p>
        </w:tc>
      </w:tr>
      <w:tr w14:paraId="2BB7A6D0">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34C8D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48</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072E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萘</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5F3D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91-20-3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611A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25</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47D56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70</w:t>
            </w:r>
          </w:p>
        </w:tc>
      </w:tr>
      <w:tr w14:paraId="61C4C864">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A725D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49</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6889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苯并(a)蒽</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32CC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56-55-3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0034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5.5</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16153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r>
      <w:tr w14:paraId="1443BD94">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DE484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50</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E3F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䓛</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5296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218-01-9</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6D70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480</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3EF494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1293</w:t>
            </w:r>
          </w:p>
        </w:tc>
      </w:tr>
      <w:tr w14:paraId="4A56A85E">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6CBCD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51</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B30A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苯并(b)荧蒽</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315E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205-99-2</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D267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5.5</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C299F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r>
      <w:tr w14:paraId="51B546D2">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64342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52</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4A6D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苯并(k)荧蒽</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41EC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207-08-9</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01F3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55</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28591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151</w:t>
            </w:r>
          </w:p>
        </w:tc>
      </w:tr>
      <w:tr w14:paraId="3B2CBC0F">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E36D6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53</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0007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苯并(a)芘</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430B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50-32-8</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7AF1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0.55</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4B20B8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r>
      <w:tr w14:paraId="4EAAA29D">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2B0A8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54</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FD8D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茚并(1,2,3-cd)芘</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8FB3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193-39-5</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4270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5.5</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551F1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r>
      <w:tr w14:paraId="4E9FA003">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3E886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55</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E91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二苯并(a,h)蒽</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F02D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53-70-3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D723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0.55</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2A698F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1.5</w:t>
            </w:r>
          </w:p>
        </w:tc>
      </w:tr>
      <w:tr w14:paraId="4088D906">
        <w:tblPrEx>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02A6A3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半挥发性有机物 - 硝基芳烃和酮类</w:t>
            </w:r>
          </w:p>
        </w:tc>
      </w:tr>
      <w:tr w14:paraId="212C33DC">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6CCBA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56</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8E39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硝基苯</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1E1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98-95-3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F994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34</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4359F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76</w:t>
            </w:r>
          </w:p>
        </w:tc>
      </w:tr>
      <w:tr w14:paraId="06A57571">
        <w:tblPrEx>
          <w:shd w:val="clear" w:color="auto" w:fill="auto"/>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77649E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半挥发性有机物 - 苯胺和联苯胺类</w:t>
            </w:r>
          </w:p>
        </w:tc>
      </w:tr>
      <w:tr w14:paraId="25BD853A">
        <w:tblPrEx>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F0023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57</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0911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苯胺</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B96C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62-53-3</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D2C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92</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322950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260</w:t>
            </w:r>
          </w:p>
        </w:tc>
      </w:tr>
      <w:tr w14:paraId="4E8A371B">
        <w:tblPrEx>
          <w:shd w:val="clear" w:color="auto" w:fill="auto"/>
          <w:tblCellMar>
            <w:top w:w="0" w:type="dxa"/>
            <w:left w:w="0" w:type="dxa"/>
            <w:bottom w:w="0" w:type="dxa"/>
            <w:right w:w="0" w:type="dxa"/>
          </w:tblCellMar>
        </w:tblPrEx>
        <w:trPr>
          <w:cantSplit/>
          <w:trHeight w:val="23" w:hRule="atLeast"/>
          <w:jc w:val="center"/>
        </w:trPr>
        <w:tc>
          <w:tcPr>
            <w:tcW w:w="9668" w:type="dxa"/>
            <w:gridSpan w:val="5"/>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14:paraId="7836BE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有机物</w:t>
            </w:r>
            <w:r>
              <w:rPr>
                <w:rFonts w:hint="default" w:ascii="Times New Roman" w:hAnsi="Times New Roman" w:eastAsia="宋体" w:cs="Times New Roman"/>
                <w:i w:val="0"/>
                <w:color w:val="auto"/>
                <w:kern w:val="0"/>
                <w:sz w:val="21"/>
                <w:szCs w:val="21"/>
                <w:highlight w:val="none"/>
                <w:u w:val="none"/>
                <w:lang w:val="en-US" w:eastAsia="zh-CN" w:bidi="ar"/>
              </w:rPr>
              <w:t xml:space="preserve"> - </w:t>
            </w:r>
            <w:r>
              <w:rPr>
                <w:rFonts w:hint="default" w:ascii="Times New Roman" w:hAnsi="Times New Roman" w:cs="Times New Roman"/>
                <w:i w:val="0"/>
                <w:color w:val="auto"/>
                <w:kern w:val="0"/>
                <w:sz w:val="21"/>
                <w:szCs w:val="21"/>
                <w:highlight w:val="none"/>
                <w:u w:val="none"/>
                <w:lang w:val="en-US" w:eastAsia="zh-CN" w:bidi="ar"/>
              </w:rPr>
              <w:t>多氯联苯和二</w:t>
            </w:r>
            <w:r>
              <w:rPr>
                <w:rFonts w:hint="default" w:ascii="Times New Roman" w:hAnsi="Times New Roman" w:eastAsia="宋体" w:cs="Times New Roman"/>
                <w:i w:val="0"/>
                <w:color w:val="auto"/>
                <w:kern w:val="0"/>
                <w:sz w:val="21"/>
                <w:szCs w:val="21"/>
                <w:highlight w:val="none"/>
                <w:u w:val="none"/>
                <w:lang w:val="en-US" w:eastAsia="zh-CN" w:bidi="ar"/>
              </w:rPr>
              <w:t>噁</w:t>
            </w:r>
            <w:r>
              <w:rPr>
                <w:rFonts w:hint="default" w:ascii="Times New Roman" w:hAnsi="Times New Roman" w:cs="Times New Roman"/>
                <w:i w:val="0"/>
                <w:color w:val="auto"/>
                <w:kern w:val="0"/>
                <w:sz w:val="21"/>
                <w:szCs w:val="21"/>
                <w:highlight w:val="none"/>
                <w:u w:val="none"/>
                <w:lang w:val="en-US" w:eastAsia="zh-CN" w:bidi="ar"/>
              </w:rPr>
              <w:t>英类</w:t>
            </w:r>
          </w:p>
        </w:tc>
      </w:tr>
      <w:tr w14:paraId="1026BF2C">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F8D09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58</w:t>
            </w:r>
          </w:p>
        </w:tc>
        <w:tc>
          <w:tcPr>
            <w:tcW w:w="23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176A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多氯联苯类</w:t>
            </w:r>
            <w:r>
              <w:rPr>
                <w:rFonts w:hint="default" w:ascii="Times New Roman" w:hAnsi="Times New Roman" w:cs="Times New Roman"/>
                <w:i w:val="0"/>
                <w:color w:val="auto"/>
                <w:kern w:val="0"/>
                <w:sz w:val="21"/>
                <w:szCs w:val="21"/>
                <w:highlight w:val="none"/>
                <w:u w:val="none"/>
                <w:lang w:val="en-US" w:eastAsia="zh-CN" w:bidi="ar"/>
              </w:rPr>
              <w:t>（</w:t>
            </w:r>
            <w:r>
              <w:rPr>
                <w:rFonts w:hint="default" w:ascii="Times New Roman" w:hAnsi="Times New Roman" w:eastAsia="宋体" w:cs="Times New Roman"/>
                <w:i w:val="0"/>
                <w:color w:val="auto"/>
                <w:kern w:val="0"/>
                <w:sz w:val="21"/>
                <w:szCs w:val="21"/>
                <w:highlight w:val="none"/>
                <w:u w:val="none"/>
                <w:lang w:val="en-US" w:eastAsia="zh-CN" w:bidi="ar"/>
              </w:rPr>
              <w:t>总量</w:t>
            </w:r>
            <w:r>
              <w:rPr>
                <w:rFonts w:hint="default" w:ascii="Times New Roman" w:hAnsi="Times New Roman" w:cs="Times New Roman"/>
                <w:i w:val="0"/>
                <w:color w:val="auto"/>
                <w:kern w:val="0"/>
                <w:sz w:val="21"/>
                <w:szCs w:val="21"/>
                <w:highlight w:val="none"/>
                <w:u w:val="none"/>
                <w:lang w:val="en-US" w:eastAsia="zh-CN" w:bidi="ar"/>
              </w:rPr>
              <w:t>）</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4480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w:t>
            </w:r>
          </w:p>
        </w:tc>
        <w:tc>
          <w:tcPr>
            <w:tcW w:w="23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94C6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0.14</w:t>
            </w:r>
          </w:p>
        </w:tc>
        <w:tc>
          <w:tcPr>
            <w:tcW w:w="2320"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20815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0.38</w:t>
            </w:r>
          </w:p>
        </w:tc>
      </w:tr>
      <w:tr w14:paraId="5E04DD8A">
        <w:tblPrEx>
          <w:shd w:val="clear" w:color="auto" w:fill="auto"/>
          <w:tblCellMar>
            <w:top w:w="0" w:type="dxa"/>
            <w:left w:w="0" w:type="dxa"/>
            <w:bottom w:w="0" w:type="dxa"/>
            <w:right w:w="0" w:type="dxa"/>
          </w:tblCellMar>
        </w:tblPrEx>
        <w:trPr>
          <w:cantSplit/>
          <w:trHeight w:val="23" w:hRule="atLeast"/>
          <w:jc w:val="center"/>
        </w:trPr>
        <w:tc>
          <w:tcPr>
            <w:tcW w:w="1110" w:type="dxa"/>
            <w:tcBorders>
              <w:top w:val="single" w:color="000000" w:sz="4" w:space="0"/>
              <w:left w:val="nil"/>
              <w:bottom w:val="single" w:color="auto" w:sz="12" w:space="0"/>
              <w:right w:val="single" w:color="000000" w:sz="4" w:space="0"/>
            </w:tcBorders>
            <w:shd w:val="clear" w:color="auto" w:fill="auto"/>
            <w:noWrap/>
            <w:tcMar>
              <w:top w:w="15" w:type="dxa"/>
              <w:left w:w="15" w:type="dxa"/>
              <w:right w:w="15" w:type="dxa"/>
            </w:tcMar>
            <w:vAlign w:val="center"/>
          </w:tcPr>
          <w:p w14:paraId="35B1C0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val="en-US" w:eastAsia="zh-CN"/>
              </w:rPr>
              <w:t>59</w:t>
            </w:r>
          </w:p>
        </w:tc>
        <w:tc>
          <w:tcPr>
            <w:tcW w:w="2381" w:type="dxa"/>
            <w:tcBorders>
              <w:top w:val="single" w:color="000000" w:sz="4" w:space="0"/>
              <w:left w:val="single" w:color="000000" w:sz="4" w:space="0"/>
              <w:bottom w:val="single" w:color="auto" w:sz="12" w:space="0"/>
              <w:right w:val="single" w:color="000000" w:sz="4" w:space="0"/>
            </w:tcBorders>
            <w:shd w:val="clear" w:color="auto" w:fill="auto"/>
            <w:noWrap/>
            <w:tcMar>
              <w:top w:w="15" w:type="dxa"/>
              <w:left w:w="15" w:type="dxa"/>
              <w:right w:w="15" w:type="dxa"/>
            </w:tcMar>
            <w:vAlign w:val="center"/>
          </w:tcPr>
          <w:p w14:paraId="27554B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二噁英</w:t>
            </w:r>
          </w:p>
        </w:tc>
        <w:tc>
          <w:tcPr>
            <w:tcW w:w="1538" w:type="dxa"/>
            <w:tcBorders>
              <w:top w:val="single" w:color="000000" w:sz="4" w:space="0"/>
              <w:left w:val="single" w:color="000000" w:sz="4" w:space="0"/>
              <w:bottom w:val="single" w:color="auto" w:sz="12" w:space="0"/>
              <w:right w:val="single" w:color="000000" w:sz="4" w:space="0"/>
            </w:tcBorders>
            <w:shd w:val="clear" w:color="auto" w:fill="auto"/>
            <w:noWrap/>
            <w:tcMar>
              <w:top w:w="15" w:type="dxa"/>
              <w:left w:w="15" w:type="dxa"/>
              <w:right w:w="15" w:type="dxa"/>
            </w:tcMar>
            <w:vAlign w:val="center"/>
          </w:tcPr>
          <w:p w14:paraId="657D40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w:t>
            </w:r>
          </w:p>
        </w:tc>
        <w:tc>
          <w:tcPr>
            <w:tcW w:w="2319" w:type="dxa"/>
            <w:tcBorders>
              <w:top w:val="single" w:color="000000" w:sz="4" w:space="0"/>
              <w:left w:val="single" w:color="000000" w:sz="4" w:space="0"/>
              <w:bottom w:val="single" w:color="auto" w:sz="12" w:space="0"/>
              <w:right w:val="single" w:color="000000" w:sz="4" w:space="0"/>
            </w:tcBorders>
            <w:shd w:val="clear" w:color="auto" w:fill="auto"/>
            <w:noWrap/>
            <w:tcMar>
              <w:top w:w="15" w:type="dxa"/>
              <w:left w:w="15" w:type="dxa"/>
              <w:right w:w="15" w:type="dxa"/>
            </w:tcMar>
            <w:vAlign w:val="center"/>
          </w:tcPr>
          <w:p w14:paraId="53037C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0.00001</w:t>
            </w:r>
          </w:p>
        </w:tc>
        <w:tc>
          <w:tcPr>
            <w:tcW w:w="2320" w:type="dxa"/>
            <w:tcBorders>
              <w:top w:val="single" w:color="000000" w:sz="4" w:space="0"/>
              <w:left w:val="single" w:color="000000" w:sz="4" w:space="0"/>
              <w:bottom w:val="single" w:color="auto" w:sz="12" w:space="0"/>
              <w:right w:val="nil"/>
            </w:tcBorders>
            <w:shd w:val="clear" w:color="auto" w:fill="auto"/>
            <w:noWrap/>
            <w:tcMar>
              <w:top w:w="15" w:type="dxa"/>
              <w:left w:w="15" w:type="dxa"/>
              <w:right w:w="15" w:type="dxa"/>
            </w:tcMar>
            <w:vAlign w:val="center"/>
          </w:tcPr>
          <w:p w14:paraId="13B4FD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0.00004</w:t>
            </w:r>
          </w:p>
        </w:tc>
      </w:tr>
    </w:tbl>
    <w:p w14:paraId="14CCE1F2">
      <w:pPr>
        <w:pStyle w:val="2"/>
        <w:keepNext w:val="0"/>
        <w:keepLines w:val="0"/>
        <w:pageBreakBefore w:val="0"/>
        <w:widowControl w:val="0"/>
        <w:kinsoku/>
        <w:wordWrap/>
        <w:overflowPunct/>
        <w:topLinePunct w:val="0"/>
        <w:autoSpaceDE/>
        <w:autoSpaceDN/>
        <w:bidi w:val="0"/>
        <w:adjustRightInd/>
        <w:snapToGrid/>
        <w:spacing w:after="0" w:line="240" w:lineRule="auto"/>
        <w:ind w:firstLine="361" w:firstLineChars="200"/>
        <w:textAlignment w:val="auto"/>
        <w:rPr>
          <w:rFonts w:hint="default" w:ascii="Times New Roman" w:hAnsi="Times New Roman" w:cs="Times New Roman"/>
          <w:b/>
          <w:bCs/>
          <w:i w:val="0"/>
          <w:color w:val="auto"/>
          <w:kern w:val="0"/>
          <w:sz w:val="18"/>
          <w:szCs w:val="18"/>
          <w:highlight w:val="none"/>
          <w:u w:val="none"/>
          <w:lang w:val="en-US" w:eastAsia="zh-CN" w:bidi="ar"/>
        </w:rPr>
      </w:pPr>
      <w:r>
        <w:rPr>
          <w:rFonts w:hint="default" w:ascii="Times New Roman" w:hAnsi="Times New Roman" w:cs="Times New Roman"/>
          <w:b/>
          <w:bCs/>
          <w:color w:val="auto"/>
          <w:sz w:val="18"/>
          <w:szCs w:val="18"/>
          <w:highlight w:val="none"/>
          <w:lang w:eastAsia="zh-CN"/>
        </w:rPr>
        <w:t>注：①</w:t>
      </w:r>
      <w:r>
        <w:rPr>
          <w:rFonts w:hint="eastAsia" w:cs="Times New Roman"/>
          <w:b/>
          <w:bCs/>
          <w:i w:val="0"/>
          <w:color w:val="auto"/>
          <w:kern w:val="0"/>
          <w:sz w:val="18"/>
          <w:szCs w:val="18"/>
          <w:highlight w:val="none"/>
          <w:u w:val="none"/>
          <w:lang w:val="en-US" w:eastAsia="zh-CN" w:bidi="ar"/>
        </w:rPr>
        <w:t>总氟化物</w:t>
      </w:r>
      <w:r>
        <w:rPr>
          <w:rFonts w:hint="default" w:ascii="Times New Roman" w:hAnsi="Times New Roman" w:cs="Times New Roman"/>
          <w:b/>
          <w:bCs/>
          <w:i w:val="0"/>
          <w:color w:val="auto"/>
          <w:kern w:val="0"/>
          <w:sz w:val="18"/>
          <w:szCs w:val="18"/>
          <w:highlight w:val="none"/>
          <w:u w:val="none"/>
          <w:lang w:val="en-US" w:eastAsia="zh-CN" w:bidi="ar"/>
        </w:rPr>
        <w:t>、铬、2-甲基酚、4-甲基酚污染物项目参考深圳标准进行评价；</w:t>
      </w:r>
    </w:p>
    <w:p w14:paraId="1422A859">
      <w:pPr>
        <w:pStyle w:val="2"/>
        <w:keepNext w:val="0"/>
        <w:keepLines w:val="0"/>
        <w:pageBreakBefore w:val="0"/>
        <w:widowControl w:val="0"/>
        <w:kinsoku/>
        <w:wordWrap/>
        <w:overflowPunct/>
        <w:topLinePunct w:val="0"/>
        <w:autoSpaceDE/>
        <w:autoSpaceDN/>
        <w:bidi w:val="0"/>
        <w:adjustRightInd/>
        <w:snapToGrid/>
        <w:spacing w:after="0" w:line="240" w:lineRule="auto"/>
        <w:ind w:firstLine="361" w:firstLineChars="200"/>
        <w:textAlignment w:val="auto"/>
        <w:rPr>
          <w:rFonts w:hint="default" w:ascii="Times New Roman" w:hAnsi="Times New Roman" w:cs="Times New Roman"/>
          <w:b/>
          <w:bCs/>
          <w:color w:val="auto"/>
          <w:sz w:val="18"/>
          <w:szCs w:val="18"/>
          <w:highlight w:val="none"/>
          <w:lang w:val="en-US" w:eastAsia="zh-CN"/>
        </w:rPr>
      </w:pPr>
      <w:r>
        <w:rPr>
          <w:rFonts w:hint="default" w:ascii="Times New Roman" w:hAnsi="Times New Roman" w:cs="Times New Roman"/>
          <w:b/>
          <w:bCs/>
          <w:color w:val="auto"/>
          <w:sz w:val="18"/>
          <w:szCs w:val="18"/>
          <w:highlight w:val="none"/>
          <w:lang w:val="en-US" w:eastAsia="zh-CN"/>
        </w:rPr>
        <w:t>②苯酚评价标准值根据《建设用地土壤污染风险评估技术导则（HJ 25.3—2019）》按照敏感用地和非敏感用地分别计算得到。</w:t>
      </w:r>
    </w:p>
    <w:p w14:paraId="1923FE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
          <w:bCs/>
          <w:sz w:val="24"/>
          <w:szCs w:val="24"/>
          <w:highlight w:val="none"/>
        </w:rPr>
      </w:pPr>
      <w:r>
        <w:rPr>
          <w:rFonts w:hint="default" w:ascii="Times New Roman" w:hAnsi="Times New Roman" w:eastAsia="黑体" w:cs="Times New Roman"/>
          <w:b/>
          <w:bCs/>
          <w:sz w:val="24"/>
          <w:szCs w:val="24"/>
          <w:highlight w:val="none"/>
        </w:rPr>
        <w:t>表5-1-</w:t>
      </w:r>
      <w:r>
        <w:rPr>
          <w:rFonts w:hint="default" w:ascii="Times New Roman" w:hAnsi="Times New Roman" w:eastAsia="黑体" w:cs="Times New Roman"/>
          <w:b/>
          <w:bCs/>
          <w:sz w:val="24"/>
          <w:szCs w:val="24"/>
          <w:highlight w:val="none"/>
          <w:lang w:val="en-US" w:eastAsia="zh-CN"/>
        </w:rPr>
        <w:t xml:space="preserve">3 </w:t>
      </w:r>
      <w:r>
        <w:rPr>
          <w:rFonts w:hint="default" w:ascii="Times New Roman" w:hAnsi="Times New Roman" w:eastAsia="黑体" w:cs="Times New Roman"/>
          <w:b/>
          <w:bCs/>
          <w:sz w:val="24"/>
          <w:szCs w:val="24"/>
          <w:highlight w:val="none"/>
          <w:lang w:eastAsia="zh-CN"/>
        </w:rPr>
        <w:t>农</w:t>
      </w:r>
      <w:r>
        <w:rPr>
          <w:rFonts w:hint="default" w:ascii="Times New Roman" w:hAnsi="Times New Roman" w:eastAsia="黑体" w:cs="Times New Roman"/>
          <w:b/>
          <w:bCs/>
          <w:sz w:val="24"/>
          <w:szCs w:val="24"/>
          <w:highlight w:val="none"/>
        </w:rPr>
        <w:t>用地土壤污染风险筛选值 （单位：mg/kg）</w:t>
      </w:r>
    </w:p>
    <w:tbl>
      <w:tblPr>
        <w:tblStyle w:val="21"/>
        <w:tblW w:w="966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611"/>
        <w:gridCol w:w="1611"/>
        <w:gridCol w:w="1611"/>
        <w:gridCol w:w="1611"/>
        <w:gridCol w:w="1612"/>
        <w:gridCol w:w="1612"/>
      </w:tblGrid>
      <w:tr w14:paraId="1333E3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611" w:type="dxa"/>
            <w:vMerge w:val="restart"/>
            <w:shd w:val="clear" w:color="auto" w:fill="auto"/>
            <w:noWrap/>
            <w:tcMar>
              <w:top w:w="15" w:type="dxa"/>
              <w:left w:w="15" w:type="dxa"/>
              <w:right w:w="15" w:type="dxa"/>
            </w:tcMar>
            <w:vAlign w:val="center"/>
          </w:tcPr>
          <w:p w14:paraId="4B5704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序号</w:t>
            </w:r>
          </w:p>
        </w:tc>
        <w:tc>
          <w:tcPr>
            <w:tcW w:w="1611" w:type="dxa"/>
            <w:vMerge w:val="restart"/>
            <w:shd w:val="clear" w:color="auto" w:fill="auto"/>
            <w:noWrap/>
            <w:tcMar>
              <w:top w:w="15" w:type="dxa"/>
              <w:left w:w="15" w:type="dxa"/>
              <w:right w:w="15" w:type="dxa"/>
            </w:tcMar>
            <w:vAlign w:val="center"/>
          </w:tcPr>
          <w:p w14:paraId="4E3894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污染物项目</w:t>
            </w:r>
          </w:p>
        </w:tc>
        <w:tc>
          <w:tcPr>
            <w:tcW w:w="6446" w:type="dxa"/>
            <w:gridSpan w:val="4"/>
            <w:shd w:val="clear" w:color="auto" w:fill="auto"/>
            <w:noWrap/>
            <w:tcMar>
              <w:top w:w="15" w:type="dxa"/>
              <w:left w:w="15" w:type="dxa"/>
              <w:right w:w="15" w:type="dxa"/>
            </w:tcMar>
            <w:vAlign w:val="center"/>
          </w:tcPr>
          <w:p w14:paraId="6927BA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风险筛选值</w:t>
            </w:r>
          </w:p>
        </w:tc>
      </w:tr>
      <w:tr w14:paraId="1A14B8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611" w:type="dxa"/>
            <w:vMerge w:val="continue"/>
            <w:tcBorders>
              <w:bottom w:val="single" w:color="auto" w:sz="12" w:space="0"/>
            </w:tcBorders>
            <w:shd w:val="clear" w:color="auto" w:fill="auto"/>
            <w:noWrap/>
            <w:tcMar>
              <w:top w:w="15" w:type="dxa"/>
              <w:left w:w="15" w:type="dxa"/>
              <w:right w:w="15" w:type="dxa"/>
            </w:tcMar>
            <w:vAlign w:val="center"/>
          </w:tcPr>
          <w:p w14:paraId="305BB5A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i w:val="0"/>
                <w:color w:val="000000"/>
                <w:sz w:val="21"/>
                <w:szCs w:val="21"/>
                <w:highlight w:val="none"/>
                <w:u w:val="none"/>
              </w:rPr>
            </w:pPr>
          </w:p>
        </w:tc>
        <w:tc>
          <w:tcPr>
            <w:tcW w:w="1611" w:type="dxa"/>
            <w:vMerge w:val="continue"/>
            <w:tcBorders>
              <w:bottom w:val="single" w:color="auto" w:sz="12" w:space="0"/>
            </w:tcBorders>
            <w:shd w:val="clear" w:color="auto" w:fill="auto"/>
            <w:noWrap/>
            <w:tcMar>
              <w:top w:w="15" w:type="dxa"/>
              <w:left w:w="15" w:type="dxa"/>
              <w:right w:w="15" w:type="dxa"/>
            </w:tcMar>
            <w:vAlign w:val="center"/>
          </w:tcPr>
          <w:p w14:paraId="541D930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i w:val="0"/>
                <w:color w:val="000000"/>
                <w:sz w:val="21"/>
                <w:szCs w:val="21"/>
                <w:highlight w:val="none"/>
                <w:u w:val="none"/>
              </w:rPr>
            </w:pPr>
          </w:p>
        </w:tc>
        <w:tc>
          <w:tcPr>
            <w:tcW w:w="1611" w:type="dxa"/>
            <w:tcBorders>
              <w:bottom w:val="single" w:color="auto" w:sz="12" w:space="0"/>
            </w:tcBorders>
            <w:shd w:val="clear" w:color="auto" w:fill="auto"/>
            <w:tcMar>
              <w:top w:w="15" w:type="dxa"/>
              <w:left w:w="15" w:type="dxa"/>
              <w:right w:w="15" w:type="dxa"/>
            </w:tcMar>
            <w:vAlign w:val="top"/>
          </w:tcPr>
          <w:p w14:paraId="5D862E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top"/>
              <w:rPr>
                <w:rFonts w:hint="default" w:ascii="Times New Roman" w:hAnsi="Times New Roman" w:eastAsia="宋体" w:cs="Times New Roman"/>
                <w:b/>
                <w:i w:val="0"/>
                <w:color w:val="000000"/>
                <w:sz w:val="21"/>
                <w:szCs w:val="21"/>
                <w:highlight w:val="none"/>
                <w:u w:val="none"/>
                <w:lang w:val="en-US"/>
              </w:rPr>
            </w:pPr>
            <w:r>
              <w:rPr>
                <w:rFonts w:hint="default" w:ascii="Times New Roman" w:hAnsi="Times New Roman" w:cs="Times New Roman"/>
                <w:b/>
                <w:i w:val="0"/>
                <w:color w:val="000000"/>
                <w:kern w:val="0"/>
                <w:sz w:val="21"/>
                <w:szCs w:val="21"/>
                <w:highlight w:val="none"/>
                <w:u w:val="none"/>
                <w:lang w:val="en-US" w:eastAsia="zh-CN" w:bidi="ar"/>
              </w:rPr>
              <w:t>pH≤5.5</w:t>
            </w:r>
          </w:p>
        </w:tc>
        <w:tc>
          <w:tcPr>
            <w:tcW w:w="1611" w:type="dxa"/>
            <w:tcBorders>
              <w:bottom w:val="single" w:color="auto" w:sz="12" w:space="0"/>
            </w:tcBorders>
            <w:shd w:val="clear" w:color="auto" w:fill="auto"/>
            <w:tcMar>
              <w:top w:w="15" w:type="dxa"/>
              <w:left w:w="15" w:type="dxa"/>
              <w:right w:w="15" w:type="dxa"/>
            </w:tcMar>
            <w:vAlign w:val="top"/>
          </w:tcPr>
          <w:p w14:paraId="0B7222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top"/>
              <w:rPr>
                <w:rFonts w:hint="default" w:ascii="Times New Roman" w:hAnsi="Times New Roman" w:eastAsia="宋体" w:cs="Times New Roman"/>
                <w:b/>
                <w:i w:val="0"/>
                <w:color w:val="000000"/>
                <w:sz w:val="21"/>
                <w:szCs w:val="21"/>
                <w:highlight w:val="none"/>
                <w:u w:val="none"/>
                <w:lang w:val="en-US"/>
              </w:rPr>
            </w:pPr>
            <w:r>
              <w:rPr>
                <w:rFonts w:hint="default" w:ascii="Times New Roman" w:hAnsi="Times New Roman" w:cs="Times New Roman"/>
                <w:b/>
                <w:i w:val="0"/>
                <w:color w:val="000000"/>
                <w:kern w:val="0"/>
                <w:sz w:val="21"/>
                <w:szCs w:val="21"/>
                <w:highlight w:val="none"/>
                <w:u w:val="none"/>
                <w:lang w:val="en-US" w:eastAsia="zh-CN" w:bidi="ar"/>
              </w:rPr>
              <w:t>5.5＜pH≤6.5</w:t>
            </w:r>
          </w:p>
        </w:tc>
        <w:tc>
          <w:tcPr>
            <w:tcW w:w="1612" w:type="dxa"/>
            <w:tcBorders>
              <w:bottom w:val="single" w:color="auto" w:sz="12" w:space="0"/>
            </w:tcBorders>
            <w:shd w:val="clear" w:color="auto" w:fill="auto"/>
            <w:tcMar>
              <w:top w:w="15" w:type="dxa"/>
              <w:left w:w="15" w:type="dxa"/>
              <w:right w:w="15" w:type="dxa"/>
            </w:tcMar>
            <w:vAlign w:val="top"/>
          </w:tcPr>
          <w:p w14:paraId="479428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top"/>
              <w:rPr>
                <w:rFonts w:hint="default" w:ascii="Times New Roman" w:hAnsi="Times New Roman" w:eastAsia="宋体" w:cs="Times New Roman"/>
                <w:b/>
                <w:i w:val="0"/>
                <w:color w:val="000000"/>
                <w:sz w:val="21"/>
                <w:szCs w:val="21"/>
                <w:highlight w:val="none"/>
                <w:u w:val="none"/>
                <w:lang w:val="en-US"/>
              </w:rPr>
            </w:pPr>
            <w:r>
              <w:rPr>
                <w:rFonts w:hint="default" w:ascii="Times New Roman" w:hAnsi="Times New Roman" w:cs="Times New Roman"/>
                <w:b/>
                <w:i w:val="0"/>
                <w:color w:val="000000"/>
                <w:kern w:val="0"/>
                <w:sz w:val="21"/>
                <w:szCs w:val="21"/>
                <w:highlight w:val="none"/>
                <w:u w:val="none"/>
                <w:lang w:val="en-US" w:eastAsia="zh-CN" w:bidi="ar"/>
              </w:rPr>
              <w:t>6.5＜pH≤7.5</w:t>
            </w:r>
          </w:p>
        </w:tc>
        <w:tc>
          <w:tcPr>
            <w:tcW w:w="1612" w:type="dxa"/>
            <w:tcBorders>
              <w:bottom w:val="single" w:color="auto" w:sz="12" w:space="0"/>
            </w:tcBorders>
            <w:shd w:val="clear" w:color="auto" w:fill="auto"/>
            <w:tcMar>
              <w:top w:w="15" w:type="dxa"/>
              <w:left w:w="15" w:type="dxa"/>
              <w:right w:w="15" w:type="dxa"/>
            </w:tcMar>
            <w:vAlign w:val="top"/>
          </w:tcPr>
          <w:p w14:paraId="26470C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top"/>
              <w:rPr>
                <w:rFonts w:hint="default" w:ascii="Times New Roman" w:hAnsi="Times New Roman" w:eastAsia="宋体" w:cs="Times New Roman"/>
                <w:b/>
                <w:i w:val="0"/>
                <w:color w:val="000000"/>
                <w:sz w:val="21"/>
                <w:szCs w:val="21"/>
                <w:highlight w:val="none"/>
                <w:u w:val="none"/>
                <w:lang w:val="en-US"/>
              </w:rPr>
            </w:pPr>
            <w:r>
              <w:rPr>
                <w:rFonts w:hint="default" w:ascii="Times New Roman" w:hAnsi="Times New Roman" w:cs="Times New Roman"/>
                <w:b/>
                <w:i w:val="0"/>
                <w:color w:val="000000"/>
                <w:kern w:val="0"/>
                <w:sz w:val="21"/>
                <w:szCs w:val="21"/>
                <w:highlight w:val="none"/>
                <w:u w:val="none"/>
                <w:lang w:val="en-US" w:eastAsia="zh-CN" w:bidi="ar"/>
              </w:rPr>
              <w:t>pH＞7.5</w:t>
            </w:r>
          </w:p>
        </w:tc>
      </w:tr>
      <w:tr w14:paraId="3EB6DD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611" w:type="dxa"/>
            <w:tcBorders>
              <w:top w:val="single" w:color="auto" w:sz="12" w:space="0"/>
              <w:tl2br w:val="nil"/>
              <w:tr2bl w:val="nil"/>
            </w:tcBorders>
            <w:shd w:val="clear" w:color="auto" w:fill="auto"/>
            <w:noWrap/>
            <w:tcMar>
              <w:top w:w="15" w:type="dxa"/>
              <w:left w:w="15" w:type="dxa"/>
              <w:right w:w="15" w:type="dxa"/>
            </w:tcMar>
            <w:vAlign w:val="center"/>
          </w:tcPr>
          <w:p w14:paraId="5D86CE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w:t>
            </w:r>
          </w:p>
        </w:tc>
        <w:tc>
          <w:tcPr>
            <w:tcW w:w="1611" w:type="dxa"/>
            <w:tcBorders>
              <w:top w:val="single" w:color="auto" w:sz="12" w:space="0"/>
              <w:tl2br w:val="nil"/>
              <w:tr2bl w:val="nil"/>
            </w:tcBorders>
            <w:shd w:val="clear" w:color="auto" w:fill="auto"/>
            <w:noWrap/>
            <w:tcMar>
              <w:top w:w="15" w:type="dxa"/>
              <w:left w:w="15" w:type="dxa"/>
              <w:right w:w="15" w:type="dxa"/>
            </w:tcMar>
            <w:vAlign w:val="center"/>
          </w:tcPr>
          <w:p w14:paraId="0A5F47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镉</w:t>
            </w:r>
          </w:p>
        </w:tc>
        <w:tc>
          <w:tcPr>
            <w:tcW w:w="1611" w:type="dxa"/>
            <w:tcBorders>
              <w:top w:val="single" w:color="auto" w:sz="12" w:space="0"/>
              <w:tl2br w:val="nil"/>
              <w:tr2bl w:val="nil"/>
            </w:tcBorders>
            <w:shd w:val="clear" w:color="auto" w:fill="auto"/>
            <w:noWrap/>
            <w:tcMar>
              <w:top w:w="15" w:type="dxa"/>
              <w:left w:w="15" w:type="dxa"/>
              <w:right w:w="15" w:type="dxa"/>
            </w:tcMar>
            <w:vAlign w:val="center"/>
          </w:tcPr>
          <w:p w14:paraId="0DB98A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w:t>
            </w:r>
          </w:p>
        </w:tc>
        <w:tc>
          <w:tcPr>
            <w:tcW w:w="1611" w:type="dxa"/>
            <w:tcBorders>
              <w:top w:val="single" w:color="auto" w:sz="12" w:space="0"/>
              <w:tl2br w:val="nil"/>
              <w:tr2bl w:val="nil"/>
            </w:tcBorders>
            <w:shd w:val="clear" w:color="auto" w:fill="auto"/>
            <w:noWrap/>
            <w:tcMar>
              <w:top w:w="15" w:type="dxa"/>
              <w:left w:w="15" w:type="dxa"/>
              <w:right w:w="15" w:type="dxa"/>
            </w:tcMar>
            <w:vAlign w:val="center"/>
          </w:tcPr>
          <w:p w14:paraId="1DC54F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w:t>
            </w:r>
          </w:p>
        </w:tc>
        <w:tc>
          <w:tcPr>
            <w:tcW w:w="1612" w:type="dxa"/>
            <w:tcBorders>
              <w:top w:val="single" w:color="auto" w:sz="12" w:space="0"/>
              <w:tl2br w:val="nil"/>
              <w:tr2bl w:val="nil"/>
            </w:tcBorders>
            <w:shd w:val="clear" w:color="auto" w:fill="auto"/>
            <w:noWrap/>
            <w:tcMar>
              <w:top w:w="15" w:type="dxa"/>
              <w:left w:w="15" w:type="dxa"/>
              <w:right w:w="15" w:type="dxa"/>
            </w:tcMar>
            <w:vAlign w:val="center"/>
          </w:tcPr>
          <w:p w14:paraId="254DA3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w:t>
            </w:r>
          </w:p>
        </w:tc>
        <w:tc>
          <w:tcPr>
            <w:tcW w:w="1612" w:type="dxa"/>
            <w:tcBorders>
              <w:top w:val="single" w:color="auto" w:sz="12" w:space="0"/>
              <w:tl2br w:val="nil"/>
              <w:tr2bl w:val="nil"/>
            </w:tcBorders>
            <w:shd w:val="clear" w:color="auto" w:fill="auto"/>
            <w:noWrap/>
            <w:tcMar>
              <w:top w:w="15" w:type="dxa"/>
              <w:left w:w="15" w:type="dxa"/>
              <w:right w:w="15" w:type="dxa"/>
            </w:tcMar>
            <w:vAlign w:val="center"/>
          </w:tcPr>
          <w:p w14:paraId="6D4600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0.6</w:t>
            </w:r>
          </w:p>
        </w:tc>
      </w:tr>
      <w:tr w14:paraId="4F8581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611" w:type="dxa"/>
            <w:tcBorders>
              <w:tl2br w:val="nil"/>
              <w:tr2bl w:val="nil"/>
            </w:tcBorders>
            <w:shd w:val="clear" w:color="auto" w:fill="auto"/>
            <w:noWrap/>
            <w:tcMar>
              <w:top w:w="15" w:type="dxa"/>
              <w:left w:w="15" w:type="dxa"/>
              <w:right w:w="15" w:type="dxa"/>
            </w:tcMar>
            <w:vAlign w:val="center"/>
          </w:tcPr>
          <w:p w14:paraId="38556D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w:t>
            </w:r>
          </w:p>
        </w:tc>
        <w:tc>
          <w:tcPr>
            <w:tcW w:w="1611" w:type="dxa"/>
            <w:tcBorders>
              <w:tl2br w:val="nil"/>
              <w:tr2bl w:val="nil"/>
            </w:tcBorders>
            <w:shd w:val="clear" w:color="auto" w:fill="auto"/>
            <w:noWrap/>
            <w:tcMar>
              <w:top w:w="15" w:type="dxa"/>
              <w:left w:w="15" w:type="dxa"/>
              <w:right w:w="15" w:type="dxa"/>
            </w:tcMar>
            <w:vAlign w:val="center"/>
          </w:tcPr>
          <w:p w14:paraId="424DE9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汞</w:t>
            </w:r>
          </w:p>
        </w:tc>
        <w:tc>
          <w:tcPr>
            <w:tcW w:w="1611" w:type="dxa"/>
            <w:tcBorders>
              <w:tl2br w:val="nil"/>
              <w:tr2bl w:val="nil"/>
            </w:tcBorders>
            <w:shd w:val="clear" w:color="auto" w:fill="auto"/>
            <w:noWrap/>
            <w:tcMar>
              <w:top w:w="15" w:type="dxa"/>
              <w:left w:w="15" w:type="dxa"/>
              <w:right w:w="15" w:type="dxa"/>
            </w:tcMar>
            <w:vAlign w:val="center"/>
          </w:tcPr>
          <w:p w14:paraId="6EAA91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1.3</w:t>
            </w:r>
          </w:p>
        </w:tc>
        <w:tc>
          <w:tcPr>
            <w:tcW w:w="1611" w:type="dxa"/>
            <w:tcBorders>
              <w:tl2br w:val="nil"/>
              <w:tr2bl w:val="nil"/>
            </w:tcBorders>
            <w:shd w:val="clear" w:color="auto" w:fill="auto"/>
            <w:noWrap/>
            <w:tcMar>
              <w:top w:w="15" w:type="dxa"/>
              <w:left w:w="15" w:type="dxa"/>
              <w:right w:w="15" w:type="dxa"/>
            </w:tcMar>
            <w:vAlign w:val="center"/>
          </w:tcPr>
          <w:p w14:paraId="0B11A4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1.8</w:t>
            </w:r>
          </w:p>
        </w:tc>
        <w:tc>
          <w:tcPr>
            <w:tcW w:w="1612" w:type="dxa"/>
            <w:tcBorders>
              <w:tl2br w:val="nil"/>
              <w:tr2bl w:val="nil"/>
            </w:tcBorders>
            <w:shd w:val="clear" w:color="auto" w:fill="auto"/>
            <w:noWrap/>
            <w:tcMar>
              <w:top w:w="15" w:type="dxa"/>
              <w:left w:w="15" w:type="dxa"/>
              <w:right w:w="15" w:type="dxa"/>
            </w:tcMar>
            <w:vAlign w:val="center"/>
          </w:tcPr>
          <w:p w14:paraId="3519C9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2.4</w:t>
            </w:r>
          </w:p>
        </w:tc>
        <w:tc>
          <w:tcPr>
            <w:tcW w:w="1612" w:type="dxa"/>
            <w:tcBorders>
              <w:tl2br w:val="nil"/>
              <w:tr2bl w:val="nil"/>
            </w:tcBorders>
            <w:shd w:val="clear" w:color="auto" w:fill="auto"/>
            <w:noWrap/>
            <w:tcMar>
              <w:top w:w="15" w:type="dxa"/>
              <w:left w:w="15" w:type="dxa"/>
              <w:right w:w="15" w:type="dxa"/>
            </w:tcMar>
            <w:vAlign w:val="center"/>
          </w:tcPr>
          <w:p w14:paraId="3ADDFD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3.4</w:t>
            </w:r>
          </w:p>
        </w:tc>
      </w:tr>
      <w:tr w14:paraId="4E76D2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1611" w:type="dxa"/>
            <w:tcBorders>
              <w:tl2br w:val="nil"/>
              <w:tr2bl w:val="nil"/>
            </w:tcBorders>
            <w:shd w:val="clear" w:color="auto" w:fill="auto"/>
            <w:noWrap/>
            <w:tcMar>
              <w:top w:w="15" w:type="dxa"/>
              <w:left w:w="15" w:type="dxa"/>
              <w:right w:w="15" w:type="dxa"/>
            </w:tcMar>
            <w:vAlign w:val="center"/>
          </w:tcPr>
          <w:p w14:paraId="4B7D52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w:t>
            </w:r>
          </w:p>
        </w:tc>
        <w:tc>
          <w:tcPr>
            <w:tcW w:w="1611" w:type="dxa"/>
            <w:tcBorders>
              <w:tl2br w:val="nil"/>
              <w:tr2bl w:val="nil"/>
            </w:tcBorders>
            <w:shd w:val="clear" w:color="auto" w:fill="auto"/>
            <w:noWrap/>
            <w:tcMar>
              <w:top w:w="15" w:type="dxa"/>
              <w:left w:w="15" w:type="dxa"/>
              <w:right w:w="15" w:type="dxa"/>
            </w:tcMar>
            <w:vAlign w:val="center"/>
          </w:tcPr>
          <w:p w14:paraId="324C72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砷</w:t>
            </w:r>
          </w:p>
        </w:tc>
        <w:tc>
          <w:tcPr>
            <w:tcW w:w="1611" w:type="dxa"/>
            <w:tcBorders>
              <w:tl2br w:val="nil"/>
              <w:tr2bl w:val="nil"/>
            </w:tcBorders>
            <w:shd w:val="clear" w:color="auto" w:fill="auto"/>
            <w:noWrap/>
            <w:tcMar>
              <w:top w:w="15" w:type="dxa"/>
              <w:left w:w="15" w:type="dxa"/>
              <w:right w:w="15" w:type="dxa"/>
            </w:tcMar>
            <w:vAlign w:val="center"/>
          </w:tcPr>
          <w:p w14:paraId="6FF824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40</w:t>
            </w:r>
          </w:p>
        </w:tc>
        <w:tc>
          <w:tcPr>
            <w:tcW w:w="1611" w:type="dxa"/>
            <w:tcBorders>
              <w:tl2br w:val="nil"/>
              <w:tr2bl w:val="nil"/>
            </w:tcBorders>
            <w:shd w:val="clear" w:color="auto" w:fill="auto"/>
            <w:noWrap/>
            <w:tcMar>
              <w:top w:w="15" w:type="dxa"/>
              <w:left w:w="15" w:type="dxa"/>
              <w:right w:w="15" w:type="dxa"/>
            </w:tcMar>
            <w:vAlign w:val="center"/>
          </w:tcPr>
          <w:p w14:paraId="2200A0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40</w:t>
            </w:r>
          </w:p>
        </w:tc>
        <w:tc>
          <w:tcPr>
            <w:tcW w:w="1612" w:type="dxa"/>
            <w:tcBorders>
              <w:tl2br w:val="nil"/>
              <w:tr2bl w:val="nil"/>
            </w:tcBorders>
            <w:shd w:val="clear" w:color="auto" w:fill="auto"/>
            <w:noWrap/>
            <w:tcMar>
              <w:top w:w="15" w:type="dxa"/>
              <w:left w:w="15" w:type="dxa"/>
              <w:right w:w="15" w:type="dxa"/>
            </w:tcMar>
            <w:vAlign w:val="center"/>
          </w:tcPr>
          <w:p w14:paraId="6A2490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30</w:t>
            </w:r>
          </w:p>
        </w:tc>
        <w:tc>
          <w:tcPr>
            <w:tcW w:w="1612" w:type="dxa"/>
            <w:tcBorders>
              <w:tl2br w:val="nil"/>
              <w:tr2bl w:val="nil"/>
            </w:tcBorders>
            <w:shd w:val="clear" w:color="auto" w:fill="auto"/>
            <w:noWrap/>
            <w:tcMar>
              <w:top w:w="15" w:type="dxa"/>
              <w:left w:w="15" w:type="dxa"/>
              <w:right w:w="15" w:type="dxa"/>
            </w:tcMar>
            <w:vAlign w:val="center"/>
          </w:tcPr>
          <w:p w14:paraId="138AEF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25</w:t>
            </w:r>
          </w:p>
        </w:tc>
      </w:tr>
      <w:tr w14:paraId="567BCD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611" w:type="dxa"/>
            <w:tcBorders>
              <w:tl2br w:val="nil"/>
              <w:tr2bl w:val="nil"/>
            </w:tcBorders>
            <w:shd w:val="clear" w:color="auto" w:fill="auto"/>
            <w:noWrap/>
            <w:tcMar>
              <w:top w:w="15" w:type="dxa"/>
              <w:left w:w="15" w:type="dxa"/>
              <w:right w:w="15" w:type="dxa"/>
            </w:tcMar>
            <w:vAlign w:val="center"/>
          </w:tcPr>
          <w:p w14:paraId="0B915F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w:t>
            </w:r>
          </w:p>
        </w:tc>
        <w:tc>
          <w:tcPr>
            <w:tcW w:w="1611" w:type="dxa"/>
            <w:tcBorders>
              <w:tl2br w:val="nil"/>
              <w:tr2bl w:val="nil"/>
            </w:tcBorders>
            <w:shd w:val="clear" w:color="auto" w:fill="auto"/>
            <w:noWrap/>
            <w:tcMar>
              <w:top w:w="15" w:type="dxa"/>
              <w:left w:w="15" w:type="dxa"/>
              <w:right w:w="15" w:type="dxa"/>
            </w:tcMar>
            <w:vAlign w:val="center"/>
          </w:tcPr>
          <w:p w14:paraId="3EFFC4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铅</w:t>
            </w:r>
          </w:p>
        </w:tc>
        <w:tc>
          <w:tcPr>
            <w:tcW w:w="1611" w:type="dxa"/>
            <w:tcBorders>
              <w:tl2br w:val="nil"/>
              <w:tr2bl w:val="nil"/>
            </w:tcBorders>
            <w:shd w:val="clear" w:color="auto" w:fill="auto"/>
            <w:noWrap/>
            <w:tcMar>
              <w:top w:w="15" w:type="dxa"/>
              <w:left w:w="15" w:type="dxa"/>
              <w:right w:w="15" w:type="dxa"/>
            </w:tcMar>
            <w:vAlign w:val="center"/>
          </w:tcPr>
          <w:p w14:paraId="0FB573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70</w:t>
            </w:r>
          </w:p>
        </w:tc>
        <w:tc>
          <w:tcPr>
            <w:tcW w:w="1611" w:type="dxa"/>
            <w:tcBorders>
              <w:tl2br w:val="nil"/>
              <w:tr2bl w:val="nil"/>
            </w:tcBorders>
            <w:shd w:val="clear" w:color="auto" w:fill="auto"/>
            <w:noWrap/>
            <w:tcMar>
              <w:top w:w="15" w:type="dxa"/>
              <w:left w:w="15" w:type="dxa"/>
              <w:right w:w="15" w:type="dxa"/>
            </w:tcMar>
            <w:vAlign w:val="center"/>
          </w:tcPr>
          <w:p w14:paraId="0F2083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90</w:t>
            </w:r>
          </w:p>
        </w:tc>
        <w:tc>
          <w:tcPr>
            <w:tcW w:w="1612" w:type="dxa"/>
            <w:tcBorders>
              <w:tl2br w:val="nil"/>
              <w:tr2bl w:val="nil"/>
            </w:tcBorders>
            <w:shd w:val="clear" w:color="auto" w:fill="auto"/>
            <w:noWrap/>
            <w:tcMar>
              <w:top w:w="15" w:type="dxa"/>
              <w:left w:w="15" w:type="dxa"/>
              <w:right w:w="15" w:type="dxa"/>
            </w:tcMar>
            <w:vAlign w:val="center"/>
          </w:tcPr>
          <w:p w14:paraId="6C6C0A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120</w:t>
            </w:r>
          </w:p>
        </w:tc>
        <w:tc>
          <w:tcPr>
            <w:tcW w:w="1612" w:type="dxa"/>
            <w:tcBorders>
              <w:tl2br w:val="nil"/>
              <w:tr2bl w:val="nil"/>
            </w:tcBorders>
            <w:shd w:val="clear" w:color="auto" w:fill="auto"/>
            <w:noWrap/>
            <w:tcMar>
              <w:top w:w="15" w:type="dxa"/>
              <w:left w:w="15" w:type="dxa"/>
              <w:right w:w="15" w:type="dxa"/>
            </w:tcMar>
            <w:vAlign w:val="center"/>
          </w:tcPr>
          <w:p w14:paraId="559B1D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170</w:t>
            </w:r>
          </w:p>
        </w:tc>
      </w:tr>
      <w:tr w14:paraId="48EF3E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611" w:type="dxa"/>
            <w:tcBorders>
              <w:tl2br w:val="nil"/>
              <w:tr2bl w:val="nil"/>
            </w:tcBorders>
            <w:shd w:val="clear" w:color="auto" w:fill="auto"/>
            <w:noWrap/>
            <w:tcMar>
              <w:top w:w="15" w:type="dxa"/>
              <w:left w:w="15" w:type="dxa"/>
              <w:right w:w="15" w:type="dxa"/>
            </w:tcMar>
            <w:vAlign w:val="center"/>
          </w:tcPr>
          <w:p w14:paraId="17E9B6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w:t>
            </w:r>
          </w:p>
        </w:tc>
        <w:tc>
          <w:tcPr>
            <w:tcW w:w="1611" w:type="dxa"/>
            <w:tcBorders>
              <w:tl2br w:val="nil"/>
              <w:tr2bl w:val="nil"/>
            </w:tcBorders>
            <w:shd w:val="clear" w:color="auto" w:fill="auto"/>
            <w:noWrap/>
            <w:tcMar>
              <w:top w:w="15" w:type="dxa"/>
              <w:left w:w="15" w:type="dxa"/>
              <w:right w:w="15" w:type="dxa"/>
            </w:tcMar>
            <w:vAlign w:val="center"/>
          </w:tcPr>
          <w:p w14:paraId="37462E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铬</w:t>
            </w:r>
          </w:p>
        </w:tc>
        <w:tc>
          <w:tcPr>
            <w:tcW w:w="1611" w:type="dxa"/>
            <w:tcBorders>
              <w:tl2br w:val="nil"/>
              <w:tr2bl w:val="nil"/>
            </w:tcBorders>
            <w:shd w:val="clear" w:color="auto" w:fill="auto"/>
            <w:noWrap/>
            <w:tcMar>
              <w:top w:w="15" w:type="dxa"/>
              <w:left w:w="15" w:type="dxa"/>
              <w:right w:w="15" w:type="dxa"/>
            </w:tcMar>
            <w:vAlign w:val="center"/>
          </w:tcPr>
          <w:p w14:paraId="0E704F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150</w:t>
            </w:r>
          </w:p>
        </w:tc>
        <w:tc>
          <w:tcPr>
            <w:tcW w:w="1611" w:type="dxa"/>
            <w:tcBorders>
              <w:tl2br w:val="nil"/>
              <w:tr2bl w:val="nil"/>
            </w:tcBorders>
            <w:shd w:val="clear" w:color="auto" w:fill="auto"/>
            <w:noWrap/>
            <w:tcMar>
              <w:top w:w="15" w:type="dxa"/>
              <w:left w:w="15" w:type="dxa"/>
              <w:right w:w="15" w:type="dxa"/>
            </w:tcMar>
            <w:vAlign w:val="center"/>
          </w:tcPr>
          <w:p w14:paraId="447B87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150</w:t>
            </w:r>
          </w:p>
        </w:tc>
        <w:tc>
          <w:tcPr>
            <w:tcW w:w="1612" w:type="dxa"/>
            <w:tcBorders>
              <w:tl2br w:val="nil"/>
              <w:tr2bl w:val="nil"/>
            </w:tcBorders>
            <w:shd w:val="clear" w:color="auto" w:fill="auto"/>
            <w:noWrap/>
            <w:tcMar>
              <w:top w:w="15" w:type="dxa"/>
              <w:left w:w="15" w:type="dxa"/>
              <w:right w:w="15" w:type="dxa"/>
            </w:tcMar>
            <w:vAlign w:val="center"/>
          </w:tcPr>
          <w:p w14:paraId="221280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200</w:t>
            </w:r>
          </w:p>
        </w:tc>
        <w:tc>
          <w:tcPr>
            <w:tcW w:w="1612" w:type="dxa"/>
            <w:tcBorders>
              <w:tl2br w:val="nil"/>
              <w:tr2bl w:val="nil"/>
            </w:tcBorders>
            <w:shd w:val="clear" w:color="auto" w:fill="auto"/>
            <w:noWrap/>
            <w:tcMar>
              <w:top w:w="15" w:type="dxa"/>
              <w:left w:w="15" w:type="dxa"/>
              <w:right w:w="15" w:type="dxa"/>
            </w:tcMar>
            <w:vAlign w:val="center"/>
          </w:tcPr>
          <w:p w14:paraId="344C67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250</w:t>
            </w:r>
          </w:p>
        </w:tc>
      </w:tr>
      <w:tr w14:paraId="418B54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611" w:type="dxa"/>
            <w:tcBorders>
              <w:tl2br w:val="nil"/>
              <w:tr2bl w:val="nil"/>
            </w:tcBorders>
            <w:shd w:val="clear" w:color="auto" w:fill="auto"/>
            <w:noWrap/>
            <w:tcMar>
              <w:top w:w="15" w:type="dxa"/>
              <w:left w:w="15" w:type="dxa"/>
              <w:right w:w="15" w:type="dxa"/>
            </w:tcMar>
            <w:vAlign w:val="center"/>
          </w:tcPr>
          <w:p w14:paraId="69AAB8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w:t>
            </w:r>
          </w:p>
        </w:tc>
        <w:tc>
          <w:tcPr>
            <w:tcW w:w="1611" w:type="dxa"/>
            <w:tcBorders>
              <w:tl2br w:val="nil"/>
              <w:tr2bl w:val="nil"/>
            </w:tcBorders>
            <w:shd w:val="clear" w:color="auto" w:fill="auto"/>
            <w:noWrap/>
            <w:tcMar>
              <w:top w:w="15" w:type="dxa"/>
              <w:left w:w="15" w:type="dxa"/>
              <w:right w:w="15" w:type="dxa"/>
            </w:tcMar>
            <w:vAlign w:val="center"/>
          </w:tcPr>
          <w:p w14:paraId="1C16FB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铜</w:t>
            </w:r>
          </w:p>
        </w:tc>
        <w:tc>
          <w:tcPr>
            <w:tcW w:w="1611" w:type="dxa"/>
            <w:tcBorders>
              <w:tl2br w:val="nil"/>
              <w:tr2bl w:val="nil"/>
            </w:tcBorders>
            <w:shd w:val="clear" w:color="auto" w:fill="auto"/>
            <w:noWrap/>
            <w:tcMar>
              <w:top w:w="15" w:type="dxa"/>
              <w:left w:w="15" w:type="dxa"/>
              <w:right w:w="15" w:type="dxa"/>
            </w:tcMar>
            <w:vAlign w:val="center"/>
          </w:tcPr>
          <w:p w14:paraId="510F1A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50</w:t>
            </w:r>
          </w:p>
        </w:tc>
        <w:tc>
          <w:tcPr>
            <w:tcW w:w="1611" w:type="dxa"/>
            <w:tcBorders>
              <w:tl2br w:val="nil"/>
              <w:tr2bl w:val="nil"/>
            </w:tcBorders>
            <w:shd w:val="clear" w:color="auto" w:fill="auto"/>
            <w:noWrap/>
            <w:tcMar>
              <w:top w:w="15" w:type="dxa"/>
              <w:left w:w="15" w:type="dxa"/>
              <w:right w:w="15" w:type="dxa"/>
            </w:tcMar>
            <w:vAlign w:val="center"/>
          </w:tcPr>
          <w:p w14:paraId="76CF7D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50</w:t>
            </w:r>
          </w:p>
        </w:tc>
        <w:tc>
          <w:tcPr>
            <w:tcW w:w="1612" w:type="dxa"/>
            <w:tcBorders>
              <w:tl2br w:val="nil"/>
              <w:tr2bl w:val="nil"/>
            </w:tcBorders>
            <w:shd w:val="clear" w:color="auto" w:fill="auto"/>
            <w:noWrap/>
            <w:tcMar>
              <w:top w:w="15" w:type="dxa"/>
              <w:left w:w="15" w:type="dxa"/>
              <w:right w:w="15" w:type="dxa"/>
            </w:tcMar>
            <w:vAlign w:val="center"/>
          </w:tcPr>
          <w:p w14:paraId="2153AE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100</w:t>
            </w:r>
          </w:p>
        </w:tc>
        <w:tc>
          <w:tcPr>
            <w:tcW w:w="1612" w:type="dxa"/>
            <w:tcBorders>
              <w:tl2br w:val="nil"/>
              <w:tr2bl w:val="nil"/>
            </w:tcBorders>
            <w:shd w:val="clear" w:color="auto" w:fill="auto"/>
            <w:noWrap/>
            <w:tcMar>
              <w:top w:w="15" w:type="dxa"/>
              <w:left w:w="15" w:type="dxa"/>
              <w:right w:w="15" w:type="dxa"/>
            </w:tcMar>
            <w:vAlign w:val="center"/>
          </w:tcPr>
          <w:p w14:paraId="112CDB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100</w:t>
            </w:r>
          </w:p>
        </w:tc>
      </w:tr>
      <w:tr w14:paraId="66C2CF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611" w:type="dxa"/>
            <w:tcBorders>
              <w:tl2br w:val="nil"/>
              <w:tr2bl w:val="nil"/>
            </w:tcBorders>
            <w:shd w:val="clear" w:color="auto" w:fill="auto"/>
            <w:noWrap/>
            <w:tcMar>
              <w:top w:w="15" w:type="dxa"/>
              <w:left w:w="15" w:type="dxa"/>
              <w:right w:w="15" w:type="dxa"/>
            </w:tcMar>
            <w:vAlign w:val="center"/>
          </w:tcPr>
          <w:p w14:paraId="71441E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w:t>
            </w:r>
          </w:p>
        </w:tc>
        <w:tc>
          <w:tcPr>
            <w:tcW w:w="1611" w:type="dxa"/>
            <w:tcBorders>
              <w:tl2br w:val="nil"/>
              <w:tr2bl w:val="nil"/>
            </w:tcBorders>
            <w:shd w:val="clear" w:color="auto" w:fill="auto"/>
            <w:noWrap/>
            <w:tcMar>
              <w:top w:w="15" w:type="dxa"/>
              <w:left w:w="15" w:type="dxa"/>
              <w:right w:w="15" w:type="dxa"/>
            </w:tcMar>
            <w:vAlign w:val="center"/>
          </w:tcPr>
          <w:p w14:paraId="1330A9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镍</w:t>
            </w:r>
          </w:p>
        </w:tc>
        <w:tc>
          <w:tcPr>
            <w:tcW w:w="1611" w:type="dxa"/>
            <w:tcBorders>
              <w:tl2br w:val="nil"/>
              <w:tr2bl w:val="nil"/>
            </w:tcBorders>
            <w:shd w:val="clear" w:color="auto" w:fill="auto"/>
            <w:noWrap/>
            <w:tcMar>
              <w:top w:w="15" w:type="dxa"/>
              <w:left w:w="15" w:type="dxa"/>
              <w:right w:w="15" w:type="dxa"/>
            </w:tcMar>
            <w:vAlign w:val="center"/>
          </w:tcPr>
          <w:p w14:paraId="6DCA3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60</w:t>
            </w:r>
          </w:p>
        </w:tc>
        <w:tc>
          <w:tcPr>
            <w:tcW w:w="1611" w:type="dxa"/>
            <w:tcBorders>
              <w:tl2br w:val="nil"/>
              <w:tr2bl w:val="nil"/>
            </w:tcBorders>
            <w:shd w:val="clear" w:color="auto" w:fill="auto"/>
            <w:noWrap/>
            <w:tcMar>
              <w:top w:w="15" w:type="dxa"/>
              <w:left w:w="15" w:type="dxa"/>
              <w:right w:w="15" w:type="dxa"/>
            </w:tcMar>
            <w:vAlign w:val="center"/>
          </w:tcPr>
          <w:p w14:paraId="7CE0BC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70</w:t>
            </w:r>
          </w:p>
        </w:tc>
        <w:tc>
          <w:tcPr>
            <w:tcW w:w="1612" w:type="dxa"/>
            <w:tcBorders>
              <w:tl2br w:val="nil"/>
              <w:tr2bl w:val="nil"/>
            </w:tcBorders>
            <w:shd w:val="clear" w:color="auto" w:fill="auto"/>
            <w:noWrap/>
            <w:tcMar>
              <w:top w:w="15" w:type="dxa"/>
              <w:left w:w="15" w:type="dxa"/>
              <w:right w:w="15" w:type="dxa"/>
            </w:tcMar>
            <w:vAlign w:val="center"/>
          </w:tcPr>
          <w:p w14:paraId="0385FD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100</w:t>
            </w:r>
          </w:p>
        </w:tc>
        <w:tc>
          <w:tcPr>
            <w:tcW w:w="1612" w:type="dxa"/>
            <w:tcBorders>
              <w:tl2br w:val="nil"/>
              <w:tr2bl w:val="nil"/>
            </w:tcBorders>
            <w:shd w:val="clear" w:color="auto" w:fill="auto"/>
            <w:noWrap/>
            <w:tcMar>
              <w:top w:w="15" w:type="dxa"/>
              <w:left w:w="15" w:type="dxa"/>
              <w:right w:w="15" w:type="dxa"/>
            </w:tcMar>
            <w:vAlign w:val="center"/>
          </w:tcPr>
          <w:p w14:paraId="4A3F10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190</w:t>
            </w:r>
          </w:p>
        </w:tc>
      </w:tr>
      <w:tr w14:paraId="225D47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611" w:type="dxa"/>
            <w:tcBorders>
              <w:tl2br w:val="nil"/>
              <w:tr2bl w:val="nil"/>
            </w:tcBorders>
            <w:shd w:val="clear" w:color="auto" w:fill="auto"/>
            <w:noWrap/>
            <w:tcMar>
              <w:top w:w="15" w:type="dxa"/>
              <w:left w:w="15" w:type="dxa"/>
              <w:right w:w="15" w:type="dxa"/>
            </w:tcMar>
            <w:vAlign w:val="center"/>
          </w:tcPr>
          <w:p w14:paraId="6C2597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w:t>
            </w:r>
          </w:p>
        </w:tc>
        <w:tc>
          <w:tcPr>
            <w:tcW w:w="1611" w:type="dxa"/>
            <w:tcBorders>
              <w:tl2br w:val="nil"/>
              <w:tr2bl w:val="nil"/>
            </w:tcBorders>
            <w:shd w:val="clear" w:color="auto" w:fill="auto"/>
            <w:noWrap/>
            <w:tcMar>
              <w:top w:w="15" w:type="dxa"/>
              <w:left w:w="15" w:type="dxa"/>
              <w:right w:w="15" w:type="dxa"/>
            </w:tcMar>
            <w:vAlign w:val="center"/>
          </w:tcPr>
          <w:p w14:paraId="3ACA44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锌</w:t>
            </w:r>
          </w:p>
        </w:tc>
        <w:tc>
          <w:tcPr>
            <w:tcW w:w="1611" w:type="dxa"/>
            <w:tcBorders>
              <w:tl2br w:val="nil"/>
              <w:tr2bl w:val="nil"/>
            </w:tcBorders>
            <w:shd w:val="clear" w:color="auto" w:fill="auto"/>
            <w:noWrap/>
            <w:tcMar>
              <w:top w:w="15" w:type="dxa"/>
              <w:left w:w="15" w:type="dxa"/>
              <w:right w:w="15" w:type="dxa"/>
            </w:tcMar>
            <w:vAlign w:val="center"/>
          </w:tcPr>
          <w:p w14:paraId="7BFF75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20</w:t>
            </w:r>
            <w:r>
              <w:rPr>
                <w:rFonts w:hint="default" w:ascii="Times New Roman" w:hAnsi="Times New Roman" w:cs="Times New Roman"/>
                <w:i w:val="0"/>
                <w:color w:val="000000"/>
                <w:kern w:val="0"/>
                <w:sz w:val="21"/>
                <w:szCs w:val="21"/>
                <w:highlight w:val="none"/>
                <w:u w:val="none"/>
                <w:lang w:val="en-US" w:eastAsia="zh-CN" w:bidi="ar"/>
              </w:rPr>
              <w:t>0</w:t>
            </w:r>
          </w:p>
        </w:tc>
        <w:tc>
          <w:tcPr>
            <w:tcW w:w="1611" w:type="dxa"/>
            <w:tcBorders>
              <w:tl2br w:val="nil"/>
              <w:tr2bl w:val="nil"/>
            </w:tcBorders>
            <w:shd w:val="clear" w:color="auto" w:fill="auto"/>
            <w:noWrap/>
            <w:tcMar>
              <w:top w:w="15" w:type="dxa"/>
              <w:left w:w="15" w:type="dxa"/>
              <w:right w:w="15" w:type="dxa"/>
            </w:tcMar>
            <w:vAlign w:val="center"/>
          </w:tcPr>
          <w:p w14:paraId="78CA7D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200</w:t>
            </w:r>
          </w:p>
        </w:tc>
        <w:tc>
          <w:tcPr>
            <w:tcW w:w="1612" w:type="dxa"/>
            <w:tcBorders>
              <w:tl2br w:val="nil"/>
              <w:tr2bl w:val="nil"/>
            </w:tcBorders>
            <w:shd w:val="clear" w:color="auto" w:fill="auto"/>
            <w:noWrap/>
            <w:tcMar>
              <w:top w:w="15" w:type="dxa"/>
              <w:left w:w="15" w:type="dxa"/>
              <w:right w:w="15" w:type="dxa"/>
            </w:tcMar>
            <w:vAlign w:val="center"/>
          </w:tcPr>
          <w:p w14:paraId="4FD911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250</w:t>
            </w:r>
          </w:p>
        </w:tc>
        <w:tc>
          <w:tcPr>
            <w:tcW w:w="1612" w:type="dxa"/>
            <w:tcBorders>
              <w:tl2br w:val="nil"/>
              <w:tr2bl w:val="nil"/>
            </w:tcBorders>
            <w:shd w:val="clear" w:color="auto" w:fill="auto"/>
            <w:noWrap/>
            <w:tcMar>
              <w:top w:w="15" w:type="dxa"/>
              <w:left w:w="15" w:type="dxa"/>
              <w:right w:w="15" w:type="dxa"/>
            </w:tcMar>
            <w:vAlign w:val="center"/>
          </w:tcPr>
          <w:p w14:paraId="3ECAD3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300</w:t>
            </w:r>
          </w:p>
        </w:tc>
      </w:tr>
    </w:tbl>
    <w:p w14:paraId="45B57B8B">
      <w:pPr>
        <w:pStyle w:val="2"/>
        <w:keepNext w:val="0"/>
        <w:keepLines w:val="0"/>
        <w:pageBreakBefore w:val="0"/>
        <w:widowControl w:val="0"/>
        <w:kinsoku/>
        <w:wordWrap/>
        <w:overflowPunct/>
        <w:topLinePunct w:val="0"/>
        <w:autoSpaceDE/>
        <w:autoSpaceDN/>
        <w:bidi w:val="0"/>
        <w:adjustRightInd/>
        <w:snapToGrid/>
        <w:spacing w:after="0" w:line="240" w:lineRule="auto"/>
        <w:ind w:firstLine="361" w:firstLineChars="200"/>
        <w:textAlignment w:val="auto"/>
        <w:rPr>
          <w:rFonts w:hint="default" w:ascii="Times New Roman" w:hAnsi="Times New Roman" w:cs="Times New Roman"/>
          <w:b/>
          <w:bCs/>
          <w:color w:val="auto"/>
          <w:sz w:val="18"/>
          <w:szCs w:val="18"/>
          <w:highlight w:val="none"/>
          <w:lang w:val="en-US" w:eastAsia="zh-CN"/>
        </w:rPr>
      </w:pPr>
      <w:r>
        <w:rPr>
          <w:rFonts w:hint="default" w:ascii="Times New Roman" w:hAnsi="Times New Roman" w:cs="Times New Roman"/>
          <w:b/>
          <w:bCs/>
          <w:color w:val="auto"/>
          <w:sz w:val="18"/>
          <w:szCs w:val="18"/>
          <w:highlight w:val="none"/>
          <w:lang w:val="en-US" w:eastAsia="zh-CN"/>
        </w:rPr>
        <w:t>注：根据表5-1-1，本报告仅涉及GB15618中其它类别风险筛选值。</w:t>
      </w:r>
    </w:p>
    <w:p w14:paraId="457FA36A">
      <w:pPr>
        <w:pStyle w:val="5"/>
        <w:bidi w:val="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土壤背景值</w:t>
      </w:r>
    </w:p>
    <w:p w14:paraId="5F8D705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eastAsiaTheme="minorEastAsia"/>
          <w:color w:val="auto"/>
          <w:sz w:val="24"/>
          <w:szCs w:val="24"/>
          <w:highlight w:val="none"/>
          <w:shd w:val="clear" w:color="auto" w:fill="auto"/>
        </w:rPr>
      </w:pPr>
      <w:r>
        <w:rPr>
          <w:rFonts w:hint="default" w:ascii="Times New Roman" w:hAnsi="Times New Roman" w:cs="Times New Roman" w:eastAsiaTheme="minorEastAsia"/>
          <w:color w:val="auto"/>
          <w:sz w:val="24"/>
          <w:szCs w:val="24"/>
          <w:highlight w:val="none"/>
          <w:shd w:val="clear" w:color="auto" w:fill="auto"/>
          <w:lang w:eastAsia="zh-CN"/>
        </w:rPr>
        <w:t>由于缺少园区所在区域内土壤环境质量相关数据，本报告参考中国环境监测总站编制的《中国土壤元素背景值》中湖北省土壤中重金属背景值及《土壤环境质量建设用地土壤污染风险管控标准（试行）（GB36600-2018）》（以下简称</w:t>
      </w:r>
      <w:r>
        <w:rPr>
          <w:rFonts w:hint="default" w:ascii="Times New Roman" w:hAnsi="Times New Roman" w:cs="Times New Roman" w:eastAsiaTheme="minorEastAsia"/>
          <w:color w:val="auto"/>
          <w:sz w:val="24"/>
          <w:szCs w:val="24"/>
          <w:highlight w:val="none"/>
          <w:shd w:val="clear" w:color="auto" w:fill="auto"/>
          <w:lang w:val="en-US" w:eastAsia="zh-CN"/>
        </w:rPr>
        <w:t>GB36600</w:t>
      </w:r>
      <w:r>
        <w:rPr>
          <w:rFonts w:hint="default" w:ascii="Times New Roman" w:hAnsi="Times New Roman" w:cs="Times New Roman" w:eastAsiaTheme="minorEastAsia"/>
          <w:color w:val="auto"/>
          <w:sz w:val="24"/>
          <w:szCs w:val="24"/>
          <w:highlight w:val="none"/>
          <w:shd w:val="clear" w:color="auto" w:fill="auto"/>
          <w:lang w:eastAsia="zh-CN"/>
        </w:rPr>
        <w:t>）附录</w:t>
      </w:r>
      <w:r>
        <w:rPr>
          <w:rFonts w:hint="default" w:ascii="Times New Roman" w:hAnsi="Times New Roman" w:cs="Times New Roman" w:eastAsiaTheme="minorEastAsia"/>
          <w:color w:val="auto"/>
          <w:sz w:val="24"/>
          <w:szCs w:val="24"/>
          <w:highlight w:val="none"/>
          <w:shd w:val="clear" w:color="auto" w:fill="auto"/>
          <w:lang w:val="en-US" w:eastAsia="zh-CN"/>
        </w:rPr>
        <w:t>A</w:t>
      </w:r>
      <w:r>
        <w:rPr>
          <w:rFonts w:hint="default" w:ascii="Times New Roman" w:hAnsi="Times New Roman" w:cs="Times New Roman" w:eastAsiaTheme="minorEastAsia"/>
          <w:color w:val="auto"/>
          <w:sz w:val="24"/>
          <w:szCs w:val="24"/>
          <w:highlight w:val="none"/>
          <w:shd w:val="clear" w:color="auto" w:fill="auto"/>
          <w:lang w:eastAsia="zh-CN"/>
        </w:rPr>
        <w:t>作为区域土壤环境状况背景</w:t>
      </w:r>
      <w:r>
        <w:rPr>
          <w:rFonts w:hint="default" w:ascii="Times New Roman" w:hAnsi="Times New Roman" w:cs="Times New Roman" w:eastAsiaTheme="minorEastAsia"/>
          <w:color w:val="auto"/>
          <w:sz w:val="24"/>
          <w:szCs w:val="24"/>
          <w:highlight w:val="none"/>
          <w:shd w:val="clear" w:color="auto" w:fill="auto"/>
        </w:rPr>
        <w:t>。</w:t>
      </w:r>
    </w:p>
    <w:p w14:paraId="28221459">
      <w:pPr>
        <w:pStyle w:val="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黑体" w:cs="Times New Roman"/>
          <w:b/>
          <w:sz w:val="24"/>
          <w:highlight w:val="none"/>
          <w:lang w:val="en-US" w:eastAsia="zh-CN"/>
        </w:rPr>
      </w:pPr>
      <w:r>
        <w:rPr>
          <w:rFonts w:hint="default" w:ascii="Times New Roman" w:hAnsi="Times New Roman" w:eastAsia="黑体" w:cs="Times New Roman"/>
          <w:b/>
          <w:sz w:val="24"/>
          <w:highlight w:val="none"/>
          <w:lang w:val="en-US" w:eastAsia="zh-CN"/>
        </w:rPr>
        <w:t>表5-1-4 土壤背景值一览表</w:t>
      </w:r>
    </w:p>
    <w:tbl>
      <w:tblPr>
        <w:tblStyle w:val="22"/>
        <w:tblW w:w="9854" w:type="dxa"/>
        <w:tblInd w:w="0" w:type="dxa"/>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3534"/>
        <w:gridCol w:w="2132"/>
        <w:gridCol w:w="2796"/>
      </w:tblGrid>
      <w:tr w14:paraId="2BC5D905">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92" w:type="dxa"/>
            <w:tcBorders>
              <w:top w:val="single" w:color="auto" w:sz="12" w:space="0"/>
              <w:bottom w:val="single" w:color="auto" w:sz="12" w:space="0"/>
            </w:tcBorders>
            <w:vAlign w:val="center"/>
          </w:tcPr>
          <w:p w14:paraId="40AEAE6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序号</w:t>
            </w:r>
          </w:p>
        </w:tc>
        <w:tc>
          <w:tcPr>
            <w:tcW w:w="3534" w:type="dxa"/>
            <w:tcBorders>
              <w:top w:val="single" w:color="auto" w:sz="12" w:space="0"/>
              <w:bottom w:val="single" w:color="auto" w:sz="12" w:space="0"/>
            </w:tcBorders>
            <w:vAlign w:val="center"/>
          </w:tcPr>
          <w:p w14:paraId="18E6E51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重金属</w:t>
            </w:r>
          </w:p>
        </w:tc>
        <w:tc>
          <w:tcPr>
            <w:tcW w:w="2132" w:type="dxa"/>
            <w:tcBorders>
              <w:top w:val="single" w:color="auto" w:sz="12" w:space="0"/>
              <w:bottom w:val="single" w:color="auto" w:sz="12" w:space="0"/>
            </w:tcBorders>
            <w:vAlign w:val="center"/>
          </w:tcPr>
          <w:p w14:paraId="36390A6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背景值（mg/kg）</w:t>
            </w:r>
          </w:p>
        </w:tc>
        <w:tc>
          <w:tcPr>
            <w:tcW w:w="2796" w:type="dxa"/>
            <w:tcBorders>
              <w:top w:val="single" w:color="auto" w:sz="12" w:space="0"/>
              <w:bottom w:val="single" w:color="auto" w:sz="12" w:space="0"/>
            </w:tcBorders>
            <w:vAlign w:val="center"/>
          </w:tcPr>
          <w:p w14:paraId="7CFDB23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背景值来源</w:t>
            </w:r>
          </w:p>
        </w:tc>
      </w:tr>
      <w:tr w14:paraId="36A84F10">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92" w:type="dxa"/>
            <w:tcBorders>
              <w:top w:val="single" w:color="auto" w:sz="12" w:space="0"/>
            </w:tcBorders>
            <w:vAlign w:val="center"/>
          </w:tcPr>
          <w:p w14:paraId="566FF06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1</w:t>
            </w:r>
          </w:p>
        </w:tc>
        <w:tc>
          <w:tcPr>
            <w:tcW w:w="3534" w:type="dxa"/>
            <w:tcBorders>
              <w:top w:val="single" w:color="auto" w:sz="12" w:space="0"/>
            </w:tcBorders>
            <w:vAlign w:val="center"/>
          </w:tcPr>
          <w:p w14:paraId="361654F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锌</w:t>
            </w:r>
          </w:p>
        </w:tc>
        <w:tc>
          <w:tcPr>
            <w:tcW w:w="2132" w:type="dxa"/>
            <w:tcBorders>
              <w:top w:val="single" w:color="auto" w:sz="12" w:space="0"/>
            </w:tcBorders>
            <w:vAlign w:val="center"/>
          </w:tcPr>
          <w:p w14:paraId="0D790EA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144</w:t>
            </w:r>
          </w:p>
        </w:tc>
        <w:tc>
          <w:tcPr>
            <w:tcW w:w="2796" w:type="dxa"/>
            <w:vMerge w:val="restart"/>
            <w:tcBorders>
              <w:top w:val="single" w:color="auto" w:sz="12" w:space="0"/>
            </w:tcBorders>
            <w:vAlign w:val="center"/>
          </w:tcPr>
          <w:p w14:paraId="09EDEB8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eastAsiaTheme="minorEastAsia"/>
                <w:bCs/>
                <w:sz w:val="21"/>
                <w:szCs w:val="21"/>
                <w:highlight w:val="none"/>
              </w:rPr>
              <w:t>《中国土壤元素背景值》</w:t>
            </w:r>
            <w:r>
              <w:rPr>
                <w:rFonts w:hint="eastAsia" w:eastAsiaTheme="minorEastAsia"/>
                <w:bCs/>
                <w:sz w:val="21"/>
                <w:szCs w:val="21"/>
                <w:highlight w:val="none"/>
              </w:rPr>
              <w:t>（国家环境保护局 主持. 中国环境监测总站 主编</w:t>
            </w:r>
            <w:r>
              <w:rPr>
                <w:rFonts w:hint="default" w:eastAsiaTheme="minorEastAsia"/>
                <w:bCs/>
                <w:sz w:val="21"/>
                <w:szCs w:val="21"/>
                <w:highlight w:val="none"/>
              </w:rPr>
              <w:t xml:space="preserve">. </w:t>
            </w:r>
            <w:r>
              <w:rPr>
                <w:rFonts w:hint="eastAsia" w:eastAsiaTheme="minorEastAsia"/>
                <w:bCs/>
                <w:sz w:val="21"/>
                <w:szCs w:val="21"/>
                <w:highlight w:val="none"/>
              </w:rPr>
              <w:t>中国土壤元素背景值[</w:t>
            </w:r>
            <w:r>
              <w:rPr>
                <w:rFonts w:hint="default" w:eastAsiaTheme="minorEastAsia"/>
                <w:bCs/>
                <w:sz w:val="21"/>
                <w:szCs w:val="21"/>
                <w:highlight w:val="none"/>
              </w:rPr>
              <w:t>J].1990.</w:t>
            </w:r>
            <w:r>
              <w:rPr>
                <w:rFonts w:hint="eastAsia" w:eastAsiaTheme="minorEastAsia"/>
                <w:bCs/>
                <w:sz w:val="21"/>
                <w:szCs w:val="21"/>
                <w:highlight w:val="none"/>
              </w:rPr>
              <w:t>）</w:t>
            </w:r>
            <w:r>
              <w:rPr>
                <w:rFonts w:hint="default" w:eastAsiaTheme="minorEastAsia"/>
                <w:bCs/>
                <w:sz w:val="21"/>
                <w:szCs w:val="21"/>
                <w:highlight w:val="none"/>
              </w:rPr>
              <w:t>0-20cm土壤95%置信</w:t>
            </w:r>
            <w:r>
              <w:rPr>
                <w:rFonts w:hint="eastAsia" w:eastAsiaTheme="minorEastAsia"/>
                <w:bCs/>
                <w:sz w:val="21"/>
                <w:szCs w:val="21"/>
                <w:highlight w:val="none"/>
              </w:rPr>
              <w:t>上限</w:t>
            </w:r>
            <w:r>
              <w:rPr>
                <w:rFonts w:hint="default" w:eastAsiaTheme="minorEastAsia"/>
                <w:bCs/>
                <w:sz w:val="21"/>
                <w:szCs w:val="21"/>
                <w:highlight w:val="none"/>
              </w:rPr>
              <w:t>值</w:t>
            </w:r>
          </w:p>
        </w:tc>
      </w:tr>
      <w:tr w14:paraId="017688F6">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2" w:type="dxa"/>
            <w:vAlign w:val="center"/>
          </w:tcPr>
          <w:p w14:paraId="5F41DD7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2</w:t>
            </w:r>
          </w:p>
        </w:tc>
        <w:tc>
          <w:tcPr>
            <w:tcW w:w="3534" w:type="dxa"/>
            <w:vAlign w:val="center"/>
          </w:tcPr>
          <w:p w14:paraId="7F0F9A1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镍</w:t>
            </w:r>
          </w:p>
        </w:tc>
        <w:tc>
          <w:tcPr>
            <w:tcW w:w="2132" w:type="dxa"/>
            <w:vAlign w:val="center"/>
          </w:tcPr>
          <w:p w14:paraId="67E1B77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54.2</w:t>
            </w:r>
          </w:p>
        </w:tc>
        <w:tc>
          <w:tcPr>
            <w:tcW w:w="2796" w:type="dxa"/>
            <w:vMerge w:val="continue"/>
            <w:vAlign w:val="center"/>
          </w:tcPr>
          <w:p w14:paraId="3AC8AFF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p>
        </w:tc>
      </w:tr>
      <w:tr w14:paraId="48000887">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2" w:type="dxa"/>
            <w:vAlign w:val="center"/>
          </w:tcPr>
          <w:p w14:paraId="7BC0DC3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3</w:t>
            </w:r>
          </w:p>
        </w:tc>
        <w:tc>
          <w:tcPr>
            <w:tcW w:w="3534" w:type="dxa"/>
            <w:vAlign w:val="center"/>
          </w:tcPr>
          <w:p w14:paraId="6DD155B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铬</w:t>
            </w:r>
          </w:p>
        </w:tc>
        <w:tc>
          <w:tcPr>
            <w:tcW w:w="2132" w:type="dxa"/>
            <w:vAlign w:val="center"/>
          </w:tcPr>
          <w:p w14:paraId="5EA54FF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146.8</w:t>
            </w:r>
          </w:p>
        </w:tc>
        <w:tc>
          <w:tcPr>
            <w:tcW w:w="2796" w:type="dxa"/>
            <w:vMerge w:val="continue"/>
            <w:vAlign w:val="center"/>
          </w:tcPr>
          <w:p w14:paraId="18C76F5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p>
        </w:tc>
      </w:tr>
      <w:tr w14:paraId="73A5E403">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2" w:type="dxa"/>
            <w:vAlign w:val="center"/>
          </w:tcPr>
          <w:p w14:paraId="4555B90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4</w:t>
            </w:r>
          </w:p>
        </w:tc>
        <w:tc>
          <w:tcPr>
            <w:tcW w:w="3534" w:type="dxa"/>
            <w:vAlign w:val="center"/>
          </w:tcPr>
          <w:p w14:paraId="1548D96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铜</w:t>
            </w:r>
          </w:p>
        </w:tc>
        <w:tc>
          <w:tcPr>
            <w:tcW w:w="2132" w:type="dxa"/>
            <w:vAlign w:val="center"/>
          </w:tcPr>
          <w:p w14:paraId="414D869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56.4</w:t>
            </w:r>
          </w:p>
        </w:tc>
        <w:tc>
          <w:tcPr>
            <w:tcW w:w="2796" w:type="dxa"/>
            <w:vMerge w:val="continue"/>
            <w:vAlign w:val="center"/>
          </w:tcPr>
          <w:p w14:paraId="374BB68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p>
        </w:tc>
      </w:tr>
      <w:tr w14:paraId="1F02E7FF">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2" w:type="dxa"/>
            <w:vAlign w:val="center"/>
          </w:tcPr>
          <w:p w14:paraId="677E473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5</w:t>
            </w:r>
          </w:p>
        </w:tc>
        <w:tc>
          <w:tcPr>
            <w:tcW w:w="3534" w:type="dxa"/>
            <w:vAlign w:val="center"/>
          </w:tcPr>
          <w:p w14:paraId="38662E0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镉</w:t>
            </w:r>
          </w:p>
        </w:tc>
        <w:tc>
          <w:tcPr>
            <w:tcW w:w="2132" w:type="dxa"/>
            <w:vAlign w:val="center"/>
          </w:tcPr>
          <w:p w14:paraId="5599F56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0.5643</w:t>
            </w:r>
          </w:p>
        </w:tc>
        <w:tc>
          <w:tcPr>
            <w:tcW w:w="2796" w:type="dxa"/>
            <w:vMerge w:val="continue"/>
            <w:vAlign w:val="center"/>
          </w:tcPr>
          <w:p w14:paraId="16D1964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p>
        </w:tc>
      </w:tr>
      <w:tr w14:paraId="1AA7C485">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2" w:type="dxa"/>
            <w:vAlign w:val="center"/>
          </w:tcPr>
          <w:p w14:paraId="33E7E4C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6</w:t>
            </w:r>
          </w:p>
        </w:tc>
        <w:tc>
          <w:tcPr>
            <w:tcW w:w="3534" w:type="dxa"/>
            <w:vAlign w:val="center"/>
          </w:tcPr>
          <w:p w14:paraId="54475C1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汞</w:t>
            </w:r>
          </w:p>
        </w:tc>
        <w:tc>
          <w:tcPr>
            <w:tcW w:w="2132" w:type="dxa"/>
            <w:vAlign w:val="center"/>
          </w:tcPr>
          <w:p w14:paraId="4891827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0.193</w:t>
            </w:r>
          </w:p>
        </w:tc>
        <w:tc>
          <w:tcPr>
            <w:tcW w:w="2796" w:type="dxa"/>
            <w:vMerge w:val="continue"/>
            <w:vAlign w:val="center"/>
          </w:tcPr>
          <w:p w14:paraId="4752211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p>
        </w:tc>
      </w:tr>
      <w:tr w14:paraId="6B3BA121">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2" w:type="dxa"/>
            <w:vAlign w:val="center"/>
          </w:tcPr>
          <w:p w14:paraId="05C1C82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7</w:t>
            </w:r>
          </w:p>
        </w:tc>
        <w:tc>
          <w:tcPr>
            <w:tcW w:w="3534" w:type="dxa"/>
            <w:vAlign w:val="center"/>
          </w:tcPr>
          <w:p w14:paraId="0FB04C4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铅</w:t>
            </w:r>
          </w:p>
        </w:tc>
        <w:tc>
          <w:tcPr>
            <w:tcW w:w="2132" w:type="dxa"/>
            <w:vAlign w:val="center"/>
          </w:tcPr>
          <w:p w14:paraId="5818BEA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42.3</w:t>
            </w:r>
          </w:p>
        </w:tc>
        <w:tc>
          <w:tcPr>
            <w:tcW w:w="2796" w:type="dxa"/>
            <w:vMerge w:val="continue"/>
            <w:vAlign w:val="center"/>
          </w:tcPr>
          <w:p w14:paraId="43331E0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p>
        </w:tc>
      </w:tr>
      <w:tr w14:paraId="51EE0599">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2" w:type="dxa"/>
            <w:vAlign w:val="center"/>
          </w:tcPr>
          <w:p w14:paraId="620FF6D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8</w:t>
            </w:r>
          </w:p>
        </w:tc>
        <w:tc>
          <w:tcPr>
            <w:tcW w:w="3534" w:type="dxa"/>
            <w:vAlign w:val="center"/>
          </w:tcPr>
          <w:p w14:paraId="2BD7081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砷</w:t>
            </w:r>
            <w:r>
              <w:rPr>
                <w:rFonts w:hint="default" w:ascii="Times New Roman" w:hAnsi="Times New Roman" w:cs="Times New Roman" w:eastAsiaTheme="minorEastAsia"/>
                <w:b w:val="0"/>
                <w:bCs/>
                <w:sz w:val="21"/>
                <w:szCs w:val="21"/>
                <w:highlight w:val="none"/>
                <w:vertAlign w:val="superscript"/>
                <w:lang w:val="en-US" w:eastAsia="zh-CN"/>
              </w:rPr>
              <w:t>①</w:t>
            </w:r>
          </w:p>
        </w:tc>
        <w:tc>
          <w:tcPr>
            <w:tcW w:w="2132" w:type="dxa"/>
            <w:vAlign w:val="center"/>
          </w:tcPr>
          <w:p w14:paraId="27C3AD5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40</w:t>
            </w:r>
          </w:p>
        </w:tc>
        <w:tc>
          <w:tcPr>
            <w:tcW w:w="2796" w:type="dxa"/>
            <w:vMerge w:val="restart"/>
            <w:vAlign w:val="center"/>
          </w:tcPr>
          <w:p w14:paraId="425D90A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GB36600附录A</w:t>
            </w:r>
          </w:p>
        </w:tc>
      </w:tr>
      <w:tr w14:paraId="5F96B833">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2" w:type="dxa"/>
            <w:vAlign w:val="center"/>
          </w:tcPr>
          <w:p w14:paraId="1C76AF7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9</w:t>
            </w:r>
          </w:p>
        </w:tc>
        <w:tc>
          <w:tcPr>
            <w:tcW w:w="3534" w:type="dxa"/>
            <w:vAlign w:val="center"/>
          </w:tcPr>
          <w:p w14:paraId="345ACFA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钴</w:t>
            </w:r>
            <w:r>
              <w:rPr>
                <w:rFonts w:hint="default" w:ascii="Times New Roman" w:hAnsi="Times New Roman" w:cs="Times New Roman" w:eastAsiaTheme="minorEastAsia"/>
                <w:b w:val="0"/>
                <w:bCs/>
                <w:sz w:val="21"/>
                <w:szCs w:val="21"/>
                <w:highlight w:val="none"/>
                <w:vertAlign w:val="superscript"/>
                <w:lang w:val="en-US" w:eastAsia="zh-CN"/>
              </w:rPr>
              <w:t>②</w:t>
            </w:r>
          </w:p>
        </w:tc>
        <w:tc>
          <w:tcPr>
            <w:tcW w:w="2132" w:type="dxa"/>
            <w:vAlign w:val="center"/>
          </w:tcPr>
          <w:p w14:paraId="0B53C26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r>
              <w:rPr>
                <w:rFonts w:hint="default" w:ascii="Times New Roman" w:hAnsi="Times New Roman" w:cs="Times New Roman" w:eastAsiaTheme="minorEastAsia"/>
                <w:b w:val="0"/>
                <w:bCs/>
                <w:sz w:val="21"/>
                <w:szCs w:val="21"/>
                <w:highlight w:val="none"/>
                <w:vertAlign w:val="baseline"/>
                <w:lang w:val="en-US" w:eastAsia="zh-CN"/>
              </w:rPr>
              <w:t>40</w:t>
            </w:r>
          </w:p>
        </w:tc>
        <w:tc>
          <w:tcPr>
            <w:tcW w:w="2796" w:type="dxa"/>
            <w:vMerge w:val="continue"/>
            <w:vAlign w:val="center"/>
          </w:tcPr>
          <w:p w14:paraId="373AB44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sz w:val="21"/>
                <w:szCs w:val="21"/>
                <w:highlight w:val="none"/>
                <w:vertAlign w:val="baseline"/>
                <w:lang w:val="en-US" w:eastAsia="zh-CN"/>
              </w:rPr>
            </w:pPr>
          </w:p>
        </w:tc>
      </w:tr>
    </w:tbl>
    <w:p w14:paraId="3E54D8A4">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宋体" w:cs="Times New Roman"/>
          <w:b/>
          <w:bCs/>
          <w:sz w:val="18"/>
          <w:szCs w:val="18"/>
          <w:highlight w:val="none"/>
          <w:lang w:val="en-US" w:eastAsia="zh-CN"/>
        </w:rPr>
      </w:pPr>
      <w:r>
        <w:rPr>
          <w:rFonts w:hint="default" w:ascii="Times New Roman" w:hAnsi="Times New Roman" w:cs="Times New Roman"/>
          <w:b/>
          <w:bCs/>
          <w:sz w:val="18"/>
          <w:szCs w:val="18"/>
          <w:highlight w:val="none"/>
          <w:lang w:eastAsia="zh-CN"/>
        </w:rPr>
        <w:t>注：①②根据“土壤信息服务平台”（http://www.soilinfo.cn/map/index.aspx），华容创业园主要土壤类型为水稻土、黄棕壤、红壤，因此参考</w:t>
      </w:r>
      <w:r>
        <w:rPr>
          <w:rFonts w:hint="default" w:ascii="Times New Roman" w:hAnsi="Times New Roman" w:cs="Times New Roman" w:eastAsiaTheme="minorEastAsia"/>
          <w:b/>
          <w:bCs/>
          <w:sz w:val="18"/>
          <w:szCs w:val="18"/>
          <w:highlight w:val="none"/>
          <w:vertAlign w:val="baseline"/>
          <w:lang w:val="en-US" w:eastAsia="zh-CN"/>
        </w:rPr>
        <w:t>GB36600附录A确定砷、钴背景值均为40mg/kg。</w:t>
      </w:r>
    </w:p>
    <w:p w14:paraId="36E25EA5">
      <w:pPr>
        <w:pStyle w:val="5"/>
        <w:tabs>
          <w:tab w:val="left" w:pos="425"/>
        </w:tabs>
        <w:bidi w:val="0"/>
        <w:rPr>
          <w:rFonts w:hint="default" w:ascii="Times New Roman" w:hAnsi="Times New Roman" w:cs="Times New Roman"/>
          <w:highlight w:val="none"/>
        </w:rPr>
      </w:pPr>
      <w:r>
        <w:rPr>
          <w:rFonts w:hint="default" w:ascii="Times New Roman" w:hAnsi="Times New Roman" w:cs="Times New Roman"/>
          <w:highlight w:val="none"/>
          <w:lang w:eastAsia="zh-CN"/>
        </w:rPr>
        <w:t>地下水评价标准</w:t>
      </w:r>
    </w:p>
    <w:p w14:paraId="669F8D76">
      <w:pPr>
        <w:spacing w:line="360" w:lineRule="auto"/>
        <w:ind w:firstLine="480" w:firstLineChars="200"/>
        <w:rPr>
          <w:rFonts w:hint="default" w:ascii="Times New Roman" w:hAnsi="Times New Roman" w:cs="Times New Roman"/>
          <w:color w:val="000000" w:themeColor="text1"/>
          <w:sz w:val="24"/>
          <w:szCs w:val="20"/>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调查</w:t>
      </w:r>
      <w:r>
        <w:rPr>
          <w:rFonts w:hint="default" w:ascii="Times New Roman" w:hAnsi="Times New Roman" w:cs="Times New Roman"/>
          <w:color w:val="000000" w:themeColor="text1"/>
          <w:sz w:val="24"/>
          <w:highlight w:val="none"/>
          <w:lang w:eastAsia="zh-CN"/>
          <w14:textFill>
            <w14:solidFill>
              <w14:schemeClr w14:val="tx1"/>
            </w14:solidFill>
          </w14:textFill>
        </w:rPr>
        <w:t>园区</w:t>
      </w:r>
      <w:r>
        <w:rPr>
          <w:rFonts w:hint="default" w:ascii="Times New Roman" w:hAnsi="Times New Roman" w:cs="Times New Roman"/>
          <w:color w:val="000000" w:themeColor="text1"/>
          <w:sz w:val="24"/>
          <w:highlight w:val="none"/>
          <w14:textFill>
            <w14:solidFill>
              <w14:schemeClr w14:val="tx1"/>
            </w14:solidFill>
          </w14:textFill>
        </w:rPr>
        <w:t>地下水</w:t>
      </w:r>
      <w:r>
        <w:rPr>
          <w:rFonts w:hint="default" w:ascii="Times New Roman" w:hAnsi="Times New Roman" w:cs="Times New Roman"/>
          <w:color w:val="000000" w:themeColor="text1"/>
          <w:sz w:val="24"/>
          <w:highlight w:val="none"/>
          <w:lang w:eastAsia="zh-CN"/>
          <w14:textFill>
            <w14:solidFill>
              <w14:schemeClr w14:val="tx1"/>
            </w14:solidFill>
          </w14:textFill>
        </w:rPr>
        <w:t>类型</w:t>
      </w:r>
      <w:r>
        <w:rPr>
          <w:rFonts w:hint="default" w:ascii="Times New Roman" w:hAnsi="Times New Roman" w:cs="Times New Roman"/>
          <w:color w:val="000000" w:themeColor="text1"/>
          <w:sz w:val="24"/>
          <w:highlight w:val="none"/>
          <w14:textFill>
            <w14:solidFill>
              <w14:schemeClr w14:val="tx1"/>
            </w14:solidFill>
          </w14:textFill>
        </w:rPr>
        <w:t>主要为</w:t>
      </w:r>
      <w:r>
        <w:rPr>
          <w:rFonts w:hint="default" w:ascii="Times New Roman" w:hAnsi="Times New Roman" w:cs="Times New Roman"/>
          <w:color w:val="000000" w:themeColor="text1"/>
          <w:sz w:val="24"/>
          <w:highlight w:val="none"/>
          <w:lang w:eastAsia="zh-CN"/>
          <w14:textFill>
            <w14:solidFill>
              <w14:schemeClr w14:val="tx1"/>
            </w14:solidFill>
          </w14:textFill>
        </w:rPr>
        <w:t>潜水</w:t>
      </w:r>
      <w:r>
        <w:rPr>
          <w:rFonts w:hint="eastAsia" w:cs="Times New Roman"/>
          <w:color w:val="000000" w:themeColor="text1"/>
          <w:sz w:val="24"/>
          <w:highlight w:val="none"/>
          <w:lang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裂隙承压水</w:t>
      </w:r>
      <w:r>
        <w:rPr>
          <w:rFonts w:hint="default" w:ascii="Times New Roman" w:hAnsi="Times New Roman" w:cs="Times New Roman"/>
          <w:color w:val="000000" w:themeColor="text1"/>
          <w:sz w:val="24"/>
          <w:szCs w:val="20"/>
          <w:highlight w:val="none"/>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测试项目包括无机项目、金属类、有机类等</w:t>
      </w:r>
      <w:r>
        <w:rPr>
          <w:rFonts w:hint="default" w:ascii="Times New Roman" w:hAnsi="Times New Roman" w:cs="Times New Roman"/>
          <w:color w:val="000000" w:themeColor="text1"/>
          <w:sz w:val="24"/>
          <w:highlight w:val="none"/>
          <w:lang w:val="en-US" w:eastAsia="zh-CN"/>
          <w14:textFill>
            <w14:solidFill>
              <w14:schemeClr w14:val="tx1"/>
            </w14:solidFill>
          </w14:textFill>
        </w:rPr>
        <w:t>共32</w:t>
      </w:r>
      <w:r>
        <w:rPr>
          <w:rFonts w:hint="default" w:ascii="Times New Roman" w:hAnsi="Times New Roman" w:cs="Times New Roman"/>
          <w:color w:val="000000" w:themeColor="text1"/>
          <w:sz w:val="24"/>
          <w:highlight w:val="none"/>
          <w14:textFill>
            <w14:solidFill>
              <w14:schemeClr w14:val="tx1"/>
            </w14:solidFill>
          </w14:textFill>
        </w:rPr>
        <w:t>项，各指标</w:t>
      </w:r>
      <w:r>
        <w:rPr>
          <w:rFonts w:hint="default" w:ascii="Times New Roman" w:hAnsi="Times New Roman" w:cs="Times New Roman"/>
          <w:color w:val="000000" w:themeColor="text1"/>
          <w:sz w:val="24"/>
          <w:szCs w:val="20"/>
          <w:highlight w:val="none"/>
          <w14:textFill>
            <w14:solidFill>
              <w14:schemeClr w14:val="tx1"/>
            </w14:solidFill>
          </w14:textFill>
        </w:rPr>
        <w:t>评价标准选取原则如下：</w:t>
      </w:r>
    </w:p>
    <w:p w14:paraId="0F363DA7">
      <w:pPr>
        <w:ind w:firstLine="360" w:firstLineChars="150"/>
        <w:rPr>
          <w:color w:val="000000" w:themeColor="text1"/>
          <w:highlight w:val="none"/>
          <w14:textFill>
            <w14:solidFill>
              <w14:schemeClr w14:val="tx1"/>
            </w14:solidFill>
          </w14:textFill>
        </w:rPr>
      </w:pPr>
      <w:r>
        <w:rPr>
          <w:rFonts w:hint="default" w:ascii="Times New Roman" w:hAnsi="Times New Roman" w:cs="Times New Roman"/>
          <w:color w:val="000000" w:themeColor="text1"/>
          <w:sz w:val="24"/>
          <w:szCs w:val="20"/>
          <w:highlight w:val="none"/>
          <w14:textFill>
            <w14:solidFill>
              <w14:schemeClr w14:val="tx1"/>
            </w14:solidFill>
          </w14:textFill>
        </w:rPr>
        <w:t>（1）</w:t>
      </w:r>
      <w:r>
        <w:rPr>
          <w:rFonts w:hint="default" w:ascii="Times New Roman" w:hAnsi="Times New Roman" w:cs="Times New Roman"/>
          <w:color w:val="000000" w:themeColor="text1"/>
          <w:sz w:val="24"/>
          <w:szCs w:val="20"/>
          <w:highlight w:val="none"/>
          <w:lang w:eastAsia="zh-CN"/>
          <w14:textFill>
            <w14:solidFill>
              <w14:schemeClr w14:val="tx1"/>
            </w14:solidFill>
          </w14:textFill>
        </w:rPr>
        <w:t>本次调查钻探的地下水为潜水</w:t>
      </w:r>
      <w:r>
        <w:rPr>
          <w:rFonts w:hint="eastAsia" w:cs="Times New Roman"/>
          <w:color w:val="000000" w:themeColor="text1"/>
          <w:sz w:val="24"/>
          <w:highlight w:val="none"/>
          <w:lang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裂隙承压水</w:t>
      </w:r>
      <w:r>
        <w:rPr>
          <w:rFonts w:hint="default" w:ascii="Times New Roman" w:hAnsi="Times New Roman" w:cs="Times New Roman"/>
          <w:color w:val="000000" w:themeColor="text1"/>
          <w:sz w:val="24"/>
          <w:szCs w:val="20"/>
          <w:highlight w:val="none"/>
          <w:lang w:eastAsia="zh-CN"/>
          <w14:textFill>
            <w14:solidFill>
              <w14:schemeClr w14:val="tx1"/>
            </w14:solidFill>
          </w14:textFill>
        </w:rPr>
        <w:t>，</w:t>
      </w:r>
      <w:r>
        <w:rPr>
          <w:rFonts w:hint="eastAsia"/>
          <w:color w:val="000000" w:themeColor="text1"/>
          <w:szCs w:val="20"/>
          <w:highlight w:val="none"/>
          <w14:textFill>
            <w14:solidFill>
              <w14:schemeClr w14:val="tx1"/>
            </w14:solidFill>
          </w14:textFill>
        </w:rPr>
        <w:t>位于</w:t>
      </w:r>
      <w:r>
        <w:rPr>
          <w:rFonts w:hint="eastAsia"/>
          <w:color w:val="000000" w:themeColor="text1"/>
          <w:szCs w:val="20"/>
          <w:highlight w:val="none"/>
          <w:lang w:val="en-US" w:eastAsia="zh-CN"/>
          <w14:textFill>
            <w14:solidFill>
              <w14:schemeClr w14:val="tx1"/>
            </w14:solidFill>
          </w14:textFill>
        </w:rPr>
        <w:t>工业园区</w:t>
      </w:r>
      <w:r>
        <w:rPr>
          <w:rFonts w:hint="eastAsia"/>
          <w:color w:val="000000" w:themeColor="text1"/>
          <w:szCs w:val="20"/>
          <w:highlight w:val="none"/>
          <w14:textFill>
            <w14:solidFill>
              <w14:schemeClr w14:val="tx1"/>
            </w14:solidFill>
          </w14:textFill>
        </w:rPr>
        <w:t>企业周边，</w:t>
      </w:r>
      <w:r>
        <w:rPr>
          <w:rFonts w:hint="eastAsia"/>
          <w:color w:val="000000" w:themeColor="text1"/>
          <w:szCs w:val="20"/>
          <w:highlight w:val="none"/>
          <w:lang w:val="en-US" w:eastAsia="zh-CN"/>
          <w14:textFill>
            <w14:solidFill>
              <w14:schemeClr w14:val="tx1"/>
            </w14:solidFill>
          </w14:textFill>
        </w:rPr>
        <w:t>且根据《湖北省地下水污染防治规划实施方案（2011-2020年）》，“全省地下水开发利用较高的分布于沿江城市及江汉平原，利用地下水的城市主要有孝感市、襄阳市，前者主要用于生活，后者用于工、农业、生活等方面”，因此，本次钻探地下水点位所在区域</w:t>
      </w:r>
      <w:r>
        <w:rPr>
          <w:rFonts w:hint="eastAsia"/>
          <w:color w:val="000000" w:themeColor="text1"/>
          <w:szCs w:val="20"/>
          <w:highlight w:val="none"/>
          <w14:textFill>
            <w14:solidFill>
              <w14:schemeClr w14:val="tx1"/>
            </w14:solidFill>
          </w14:textFill>
        </w:rPr>
        <w:t>地下水不</w:t>
      </w:r>
      <w:r>
        <w:rPr>
          <w:rFonts w:hint="eastAsia"/>
          <w:color w:val="000000" w:themeColor="text1"/>
          <w:szCs w:val="20"/>
          <w:highlight w:val="none"/>
          <w:lang w:val="en-US" w:eastAsia="zh-CN"/>
          <w14:textFill>
            <w14:solidFill>
              <w14:schemeClr w14:val="tx1"/>
            </w14:solidFill>
          </w14:textFill>
        </w:rPr>
        <w:t>具备</w:t>
      </w:r>
      <w:r>
        <w:rPr>
          <w:rFonts w:hint="eastAsia"/>
          <w:color w:val="000000" w:themeColor="text1"/>
          <w:szCs w:val="20"/>
          <w:highlight w:val="none"/>
          <w14:textFill>
            <w14:solidFill>
              <w14:schemeClr w14:val="tx1"/>
            </w14:solidFill>
          </w14:textFill>
        </w:rPr>
        <w:t>开发利用</w:t>
      </w:r>
      <w:r>
        <w:rPr>
          <w:rFonts w:hint="eastAsia"/>
          <w:color w:val="000000" w:themeColor="text1"/>
          <w:szCs w:val="20"/>
          <w:highlight w:val="none"/>
          <w:lang w:val="en-US" w:eastAsia="zh-CN"/>
          <w14:textFill>
            <w14:solidFill>
              <w14:schemeClr w14:val="tx1"/>
            </w14:solidFill>
          </w14:textFill>
        </w:rPr>
        <w:t>功能</w:t>
      </w:r>
      <w:r>
        <w:rPr>
          <w:rFonts w:hint="eastAsia"/>
          <w:color w:val="000000" w:themeColor="text1"/>
          <w:szCs w:val="20"/>
          <w:highlight w:val="none"/>
          <w14:textFill>
            <w14:solidFill>
              <w14:schemeClr w14:val="tx1"/>
            </w14:solidFill>
          </w14:textFill>
        </w:rPr>
        <w:t>，</w:t>
      </w:r>
      <w:r>
        <w:rPr>
          <w:rFonts w:hint="eastAsia"/>
          <w:color w:val="000000" w:themeColor="text1"/>
          <w:szCs w:val="20"/>
          <w:highlight w:val="none"/>
          <w:lang w:val="en-US" w:eastAsia="zh-CN"/>
          <w14:textFill>
            <w14:solidFill>
              <w14:schemeClr w14:val="tx1"/>
            </w14:solidFill>
          </w14:textFill>
        </w:rPr>
        <w:t>且</w:t>
      </w:r>
      <w:r>
        <w:rPr>
          <w:rFonts w:hint="eastAsia"/>
          <w:color w:val="000000" w:themeColor="text1"/>
          <w:szCs w:val="20"/>
          <w:highlight w:val="none"/>
          <w14:textFill>
            <w14:solidFill>
              <w14:schemeClr w14:val="tx1"/>
            </w14:solidFill>
          </w14:textFill>
        </w:rPr>
        <w:t>水井点位所在位置</w:t>
      </w:r>
      <w:r>
        <w:rPr>
          <w:color w:val="000000" w:themeColor="text1"/>
          <w:szCs w:val="20"/>
          <w:highlight w:val="none"/>
          <w14:textFill>
            <w14:solidFill>
              <w14:schemeClr w14:val="tx1"/>
            </w14:solidFill>
          </w14:textFill>
        </w:rPr>
        <w:t>不具备集中式生活饮用水水源功能</w:t>
      </w:r>
      <w:r>
        <w:rPr>
          <w:rFonts w:hint="eastAsia"/>
          <w:color w:val="000000" w:themeColor="text1"/>
          <w:highlight w:val="none"/>
          <w14:textFill>
            <w14:solidFill>
              <w14:schemeClr w14:val="tx1"/>
            </w14:solidFill>
          </w14:textFill>
        </w:rPr>
        <w:t>，</w:t>
      </w:r>
      <w:r>
        <w:rPr>
          <w:color w:val="000000" w:themeColor="text1"/>
          <w:szCs w:val="20"/>
          <w:highlight w:val="none"/>
          <w14:textFill>
            <w14:solidFill>
              <w14:schemeClr w14:val="tx1"/>
            </w14:solidFill>
          </w14:textFill>
        </w:rPr>
        <w:t>评价时优先选用</w:t>
      </w:r>
      <w:r>
        <w:rPr>
          <w:color w:val="000000" w:themeColor="text1"/>
          <w:highlight w:val="none"/>
          <w14:textFill>
            <w14:solidFill>
              <w14:schemeClr w14:val="tx1"/>
            </w14:solidFill>
          </w14:textFill>
        </w:rPr>
        <w:t>《地下水质量标准》（GB/T 14848-2017）（以下简称GB/T-14848）Ⅳ类标准限值进行评价</w:t>
      </w:r>
      <w:r>
        <w:rPr>
          <w:rFonts w:hint="eastAsia"/>
          <w:color w:val="000000" w:themeColor="text1"/>
          <w:highlight w:val="none"/>
          <w14:textFill>
            <w14:solidFill>
              <w14:schemeClr w14:val="tx1"/>
            </w14:solidFill>
          </w14:textFill>
        </w:rPr>
        <w:t>。</w:t>
      </w:r>
    </w:p>
    <w:p w14:paraId="241EE382">
      <w:pPr>
        <w:spacing w:line="360" w:lineRule="auto"/>
        <w:ind w:firstLine="360" w:firstLineChars="150"/>
        <w:rPr>
          <w:rFonts w:hint="default" w:ascii="Times New Roman" w:hAnsi="Times New Roman" w:cs="Times New Roman"/>
          <w:color w:val="000000" w:themeColor="text1"/>
          <w:sz w:val="24"/>
          <w:highlight w:val="none"/>
          <w:lang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（2）GB 14848中</w:t>
      </w:r>
      <w:r>
        <w:rPr>
          <w:rFonts w:hint="default" w:ascii="Times New Roman" w:hAnsi="Times New Roman" w:cs="Times New Roman"/>
          <w:color w:val="000000" w:themeColor="text1"/>
          <w:sz w:val="24"/>
          <w:highlight w:val="none"/>
          <w:lang w:eastAsia="zh-CN"/>
          <w14:textFill>
            <w14:solidFill>
              <w14:schemeClr w14:val="tx1"/>
            </w14:solidFill>
          </w14:textFill>
        </w:rPr>
        <w:t>没有</w:t>
      </w:r>
      <w:r>
        <w:rPr>
          <w:rFonts w:hint="default" w:ascii="Times New Roman" w:hAnsi="Times New Roman" w:cs="Times New Roman"/>
          <w:color w:val="000000" w:themeColor="text1"/>
          <w:sz w:val="24"/>
          <w:highlight w:val="none"/>
          <w14:textFill>
            <w14:solidFill>
              <w14:schemeClr w14:val="tx1"/>
            </w14:solidFill>
          </w14:textFill>
        </w:rPr>
        <w:t>规定的指标（如</w:t>
      </w:r>
      <w:r>
        <w:rPr>
          <w:rFonts w:hint="default" w:ascii="Times New Roman" w:hAnsi="Times New Roman" w:cs="Times New Roman"/>
          <w:color w:val="000000" w:themeColor="text1"/>
          <w:sz w:val="24"/>
          <w:highlight w:val="none"/>
          <w:lang w:eastAsia="zh-CN"/>
          <w14:textFill>
            <w14:solidFill>
              <w14:schemeClr w14:val="tx1"/>
            </w14:solidFill>
          </w14:textFill>
        </w:rPr>
        <w:t>石油类</w:t>
      </w:r>
      <w:r>
        <w:rPr>
          <w:rFonts w:hint="default" w:ascii="Times New Roman" w:hAnsi="Times New Roman" w:cs="Times New Roman"/>
          <w:color w:val="000000" w:themeColor="text1"/>
          <w:sz w:val="24"/>
          <w:highlight w:val="none"/>
          <w14:textFill>
            <w14:solidFill>
              <w14:schemeClr w14:val="tx1"/>
            </w14:solidFill>
          </w14:textFill>
        </w:rPr>
        <w:t>）</w:t>
      </w:r>
      <w:r>
        <w:rPr>
          <w:rFonts w:hint="default" w:ascii="Times New Roman" w:hAnsi="Times New Roman" w:cs="Times New Roman"/>
          <w:color w:val="000000" w:themeColor="text1"/>
          <w:sz w:val="24"/>
          <w:highlight w:val="none"/>
          <w:lang w:eastAsia="zh-CN"/>
          <w14:textFill>
            <w14:solidFill>
              <w14:schemeClr w14:val="tx1"/>
            </w14:solidFill>
          </w14:textFill>
        </w:rPr>
        <w:t>参考</w:t>
      </w:r>
      <w:r>
        <w:rPr>
          <w:rFonts w:hint="default" w:ascii="Times New Roman" w:hAnsi="Times New Roman" w:cs="Times New Roman"/>
          <w:color w:val="000000" w:themeColor="text1"/>
          <w:sz w:val="24"/>
          <w:highlight w:val="none"/>
          <w14:textFill>
            <w14:solidFill>
              <w14:schemeClr w14:val="tx1"/>
            </w14:solidFill>
          </w14:textFill>
        </w:rPr>
        <w:t>《地表水环境质量标准》</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GB3838-2002</w:t>
      </w:r>
      <w:r>
        <w:rPr>
          <w:rFonts w:hint="default" w:ascii="Times New Roman" w:hAnsi="Times New Roman" w:cs="Times New Roman"/>
          <w:color w:val="000000" w:themeColor="text1"/>
          <w:sz w:val="24"/>
          <w:highlight w:val="none"/>
          <w:lang w:eastAsia="zh-CN"/>
          <w14:textFill>
            <w14:solidFill>
              <w14:schemeClr w14:val="tx1"/>
            </w14:solidFill>
          </w14:textFill>
        </w:rPr>
        <w:t>）（以下简称</w:t>
      </w:r>
      <w:r>
        <w:rPr>
          <w:rFonts w:hint="default" w:ascii="Times New Roman" w:hAnsi="Times New Roman" w:cs="Times New Roman"/>
          <w:color w:val="000000" w:themeColor="text1"/>
          <w:sz w:val="24"/>
          <w:highlight w:val="none"/>
          <w14:textFill>
            <w14:solidFill>
              <w14:schemeClr w14:val="tx1"/>
            </w14:solidFill>
          </w14:textFill>
        </w:rPr>
        <w:t>GB3838</w:t>
      </w:r>
      <w:r>
        <w:rPr>
          <w:rFonts w:hint="default" w:ascii="Times New Roman" w:hAnsi="Times New Roman" w:cs="Times New Roman"/>
          <w:color w:val="000000" w:themeColor="text1"/>
          <w:sz w:val="24"/>
          <w:highlight w:val="none"/>
          <w:lang w:eastAsia="zh-CN"/>
          <w14:textFill>
            <w14:solidFill>
              <w14:schemeClr w14:val="tx1"/>
            </w14:solidFill>
          </w14:textFill>
        </w:rPr>
        <w:t>）Ⅳ</w:t>
      </w:r>
      <w:r>
        <w:rPr>
          <w:rFonts w:hint="default" w:ascii="Times New Roman" w:hAnsi="Times New Roman" w:cs="Times New Roman"/>
          <w:color w:val="000000" w:themeColor="text1"/>
          <w:sz w:val="24"/>
          <w:highlight w:val="none"/>
          <w14:textFill>
            <w14:solidFill>
              <w14:schemeClr w14:val="tx1"/>
            </w14:solidFill>
          </w14:textFill>
        </w:rPr>
        <w:t>类</w:t>
      </w:r>
      <w:r>
        <w:rPr>
          <w:rFonts w:hint="default" w:ascii="Times New Roman" w:hAnsi="Times New Roman" w:cs="Times New Roman"/>
          <w:color w:val="000000" w:themeColor="text1"/>
          <w:sz w:val="24"/>
          <w:highlight w:val="none"/>
          <w:lang w:val="en-US" w:eastAsia="zh-CN"/>
          <w14:textFill>
            <w14:solidFill>
              <w14:schemeClr w14:val="tx1"/>
            </w14:solidFill>
          </w14:textFill>
        </w:rPr>
        <w:t>标准</w:t>
      </w:r>
      <w:r>
        <w:rPr>
          <w:rFonts w:hint="default" w:ascii="Times New Roman" w:hAnsi="Times New Roman" w:cs="Times New Roman"/>
          <w:color w:val="000000" w:themeColor="text1"/>
          <w:sz w:val="24"/>
          <w:highlight w:val="none"/>
          <w14:textFill>
            <w14:solidFill>
              <w14:schemeClr w14:val="tx1"/>
            </w14:solidFill>
          </w14:textFill>
        </w:rPr>
        <w:t>限值进行评价</w:t>
      </w:r>
      <w:r>
        <w:rPr>
          <w:rFonts w:hint="default" w:ascii="Times New Roman" w:hAnsi="Times New Roman" w:cs="Times New Roman"/>
          <w:color w:val="000000" w:themeColor="text1"/>
          <w:sz w:val="24"/>
          <w:highlight w:val="none"/>
          <w:lang w:eastAsia="zh-CN"/>
          <w14:textFill>
            <w14:solidFill>
              <w14:schemeClr w14:val="tx1"/>
            </w14:solidFill>
          </w14:textFill>
        </w:rPr>
        <w:t>；</w:t>
      </w:r>
    </w:p>
    <w:p w14:paraId="6658F16F">
      <w:pPr>
        <w:keepNext w:val="0"/>
        <w:keepLines w:val="0"/>
        <w:pageBreakBefore w:val="0"/>
        <w:widowControl w:val="0"/>
        <w:kinsoku/>
        <w:wordWrap/>
        <w:overflowPunct/>
        <w:topLinePunct w:val="0"/>
        <w:autoSpaceDE/>
        <w:autoSpaceDN/>
        <w:bidi w:val="0"/>
        <w:adjustRightInd/>
        <w:snapToGrid/>
        <w:spacing w:before="156" w:beforeLines="50" w:line="240" w:lineRule="auto"/>
        <w:jc w:val="center"/>
        <w:textAlignment w:val="auto"/>
        <w:rPr>
          <w:rFonts w:hint="default" w:ascii="Times New Roman" w:hAnsi="Times New Roman" w:cs="Times New Roman"/>
          <w:highlight w:val="none"/>
        </w:rPr>
      </w:pPr>
      <w:r>
        <w:rPr>
          <w:rFonts w:hint="default" w:ascii="Times New Roman" w:hAnsi="Times New Roman" w:eastAsia="黑体" w:cs="Times New Roman"/>
          <w:b/>
          <w:bCs/>
          <w:sz w:val="24"/>
          <w:highlight w:val="none"/>
        </w:rPr>
        <w:t>表5-1-</w:t>
      </w:r>
      <w:r>
        <w:rPr>
          <w:rFonts w:hint="default" w:ascii="Times New Roman" w:hAnsi="Times New Roman" w:eastAsia="黑体" w:cs="Times New Roman"/>
          <w:b/>
          <w:bCs/>
          <w:sz w:val="24"/>
          <w:highlight w:val="none"/>
          <w:lang w:val="en-US" w:eastAsia="zh-CN"/>
        </w:rPr>
        <w:t>5</w:t>
      </w:r>
      <w:r>
        <w:rPr>
          <w:rFonts w:hint="default" w:ascii="Times New Roman" w:hAnsi="Times New Roman" w:eastAsia="黑体" w:cs="Times New Roman"/>
          <w:b/>
          <w:bCs/>
          <w:sz w:val="24"/>
          <w:highlight w:val="none"/>
        </w:rPr>
        <w:t xml:space="preserve">  </w:t>
      </w:r>
      <w:r>
        <w:rPr>
          <w:rFonts w:hint="default" w:ascii="Times New Roman" w:hAnsi="Times New Roman" w:eastAsia="黑体" w:cs="Times New Roman"/>
          <w:b/>
          <w:bCs/>
          <w:sz w:val="24"/>
          <w:highlight w:val="none"/>
          <w:lang w:eastAsia="zh-CN"/>
        </w:rPr>
        <w:t>地下水质量指标及限值</w:t>
      </w:r>
      <w:r>
        <w:rPr>
          <w:rFonts w:hint="default" w:ascii="Times New Roman" w:hAnsi="Times New Roman" w:eastAsia="黑体" w:cs="Times New Roman"/>
          <w:b/>
          <w:bCs/>
          <w:sz w:val="24"/>
          <w:highlight w:val="none"/>
        </w:rPr>
        <w:t xml:space="preserve">  （单位：mg/</w:t>
      </w:r>
      <w:r>
        <w:rPr>
          <w:rFonts w:hint="default" w:ascii="Times New Roman" w:hAnsi="Times New Roman" w:eastAsia="黑体" w:cs="Times New Roman"/>
          <w:b/>
          <w:bCs/>
          <w:sz w:val="24"/>
          <w:highlight w:val="none"/>
          <w:lang w:val="en-US" w:eastAsia="zh-CN"/>
        </w:rPr>
        <w:t>L</w:t>
      </w:r>
      <w:r>
        <w:rPr>
          <w:rFonts w:hint="default" w:ascii="Times New Roman" w:hAnsi="Times New Roman" w:eastAsia="黑体" w:cs="Times New Roman"/>
          <w:b/>
          <w:bCs/>
          <w:sz w:val="24"/>
          <w:highlight w:val="none"/>
        </w:rPr>
        <w:t>）</w:t>
      </w:r>
    </w:p>
    <w:tbl>
      <w:tblPr>
        <w:tblStyle w:val="21"/>
        <w:tblW w:w="961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254"/>
        <w:gridCol w:w="3104"/>
        <w:gridCol w:w="1104"/>
        <w:gridCol w:w="1331"/>
        <w:gridCol w:w="2818"/>
      </w:tblGrid>
      <w:tr w14:paraId="204133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blHeader/>
          <w:jc w:val="center"/>
        </w:trPr>
        <w:tc>
          <w:tcPr>
            <w:tcW w:w="1254" w:type="dxa"/>
            <w:tcBorders>
              <w:bottom w:val="single" w:color="auto" w:sz="12" w:space="0"/>
            </w:tcBorders>
            <w:shd w:val="clear" w:color="auto" w:fill="auto"/>
            <w:noWrap/>
            <w:tcMar>
              <w:top w:w="15" w:type="dxa"/>
              <w:left w:w="15" w:type="dxa"/>
              <w:right w:w="15" w:type="dxa"/>
            </w:tcMar>
            <w:vAlign w:val="center"/>
          </w:tcPr>
          <w:p w14:paraId="7A2236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序号</w:t>
            </w:r>
          </w:p>
        </w:tc>
        <w:tc>
          <w:tcPr>
            <w:tcW w:w="3104" w:type="dxa"/>
            <w:tcBorders>
              <w:bottom w:val="single" w:color="auto" w:sz="12" w:space="0"/>
            </w:tcBorders>
            <w:shd w:val="clear" w:color="auto" w:fill="auto"/>
            <w:tcMar>
              <w:top w:w="15" w:type="dxa"/>
              <w:left w:w="15" w:type="dxa"/>
              <w:right w:w="15" w:type="dxa"/>
            </w:tcMar>
            <w:vAlign w:val="center"/>
          </w:tcPr>
          <w:p w14:paraId="04EA2D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cs="Times New Roman"/>
                <w:b/>
                <w:bCs/>
                <w:i w:val="0"/>
                <w:color w:val="000000"/>
                <w:kern w:val="0"/>
                <w:sz w:val="21"/>
                <w:szCs w:val="21"/>
                <w:highlight w:val="none"/>
                <w:u w:val="none"/>
                <w:lang w:val="en-US" w:eastAsia="zh-CN" w:bidi="ar"/>
              </w:rPr>
              <w:t>监测</w:t>
            </w:r>
            <w:r>
              <w:rPr>
                <w:rFonts w:hint="default" w:ascii="Times New Roman" w:hAnsi="Times New Roman" w:eastAsia="宋体" w:cs="Times New Roman"/>
                <w:b/>
                <w:bCs/>
                <w:i w:val="0"/>
                <w:color w:val="000000"/>
                <w:kern w:val="0"/>
                <w:sz w:val="21"/>
                <w:szCs w:val="21"/>
                <w:highlight w:val="none"/>
                <w:u w:val="none"/>
                <w:lang w:val="en-US" w:eastAsia="zh-CN" w:bidi="ar"/>
              </w:rPr>
              <w:t>指标</w:t>
            </w:r>
          </w:p>
        </w:tc>
        <w:tc>
          <w:tcPr>
            <w:tcW w:w="1104" w:type="dxa"/>
            <w:tcBorders>
              <w:bottom w:val="single" w:color="auto" w:sz="12" w:space="0"/>
            </w:tcBorders>
            <w:shd w:val="clear" w:color="auto" w:fill="auto"/>
            <w:tcMar>
              <w:top w:w="15" w:type="dxa"/>
              <w:left w:w="15" w:type="dxa"/>
              <w:right w:w="15" w:type="dxa"/>
            </w:tcMar>
            <w:vAlign w:val="center"/>
          </w:tcPr>
          <w:p w14:paraId="4C601B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kern w:val="0"/>
                <w:sz w:val="21"/>
                <w:szCs w:val="21"/>
                <w:highlight w:val="none"/>
                <w:u w:val="none"/>
                <w:lang w:val="en-US" w:eastAsia="zh-CN" w:bidi="ar"/>
              </w:rPr>
            </w:pPr>
            <w:r>
              <w:rPr>
                <w:rFonts w:hint="default" w:ascii="Times New Roman" w:hAnsi="Times New Roman" w:cs="Times New Roman"/>
                <w:b/>
                <w:bCs/>
                <w:i w:val="0"/>
                <w:color w:val="000000"/>
                <w:kern w:val="0"/>
                <w:sz w:val="21"/>
                <w:szCs w:val="21"/>
                <w:highlight w:val="none"/>
                <w:u w:val="none"/>
                <w:lang w:val="en-US" w:eastAsia="zh-CN" w:bidi="ar"/>
              </w:rPr>
              <w:t>单位</w:t>
            </w:r>
          </w:p>
        </w:tc>
        <w:tc>
          <w:tcPr>
            <w:tcW w:w="1331" w:type="dxa"/>
            <w:tcBorders>
              <w:bottom w:val="single" w:color="auto" w:sz="12" w:space="0"/>
            </w:tcBorders>
            <w:shd w:val="clear" w:color="auto" w:fill="auto"/>
            <w:noWrap/>
            <w:tcMar>
              <w:top w:w="15" w:type="dxa"/>
              <w:left w:w="15" w:type="dxa"/>
              <w:right w:w="15" w:type="dxa"/>
            </w:tcMar>
            <w:vAlign w:val="center"/>
          </w:tcPr>
          <w:p w14:paraId="4D35040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bCs/>
                <w:i w:val="0"/>
                <w:color w:val="000000"/>
                <w:kern w:val="0"/>
                <w:sz w:val="21"/>
                <w:szCs w:val="21"/>
                <w:highlight w:val="none"/>
                <w:u w:val="none"/>
                <w:lang w:val="en-US" w:eastAsia="zh-CN" w:bidi="ar"/>
              </w:rPr>
            </w:pPr>
            <w:r>
              <w:rPr>
                <w:rFonts w:hint="default" w:ascii="Times New Roman" w:hAnsi="Times New Roman" w:cs="Times New Roman"/>
                <w:b/>
                <w:bCs/>
                <w:i w:val="0"/>
                <w:color w:val="000000"/>
                <w:sz w:val="21"/>
                <w:szCs w:val="21"/>
                <w:highlight w:val="none"/>
                <w:u w:val="none"/>
                <w:lang w:val="en-US" w:eastAsia="zh-CN"/>
              </w:rPr>
              <w:t>Ⅳ类标准值</w:t>
            </w:r>
          </w:p>
        </w:tc>
        <w:tc>
          <w:tcPr>
            <w:tcW w:w="2818" w:type="dxa"/>
            <w:tcBorders>
              <w:bottom w:val="single" w:color="auto" w:sz="12" w:space="0"/>
            </w:tcBorders>
            <w:shd w:val="clear" w:color="auto" w:fill="auto"/>
            <w:noWrap/>
            <w:tcMar>
              <w:top w:w="15" w:type="dxa"/>
              <w:left w:w="15" w:type="dxa"/>
              <w:right w:w="15" w:type="dxa"/>
            </w:tcMar>
            <w:vAlign w:val="center"/>
          </w:tcPr>
          <w:p w14:paraId="302223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标准来源</w:t>
            </w:r>
          </w:p>
        </w:tc>
      </w:tr>
      <w:tr w14:paraId="00C0D9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op w:val="single" w:color="auto" w:sz="12" w:space="0"/>
              <w:tl2br w:val="nil"/>
              <w:tr2bl w:val="nil"/>
            </w:tcBorders>
            <w:shd w:val="clear" w:color="auto" w:fill="auto"/>
            <w:noWrap/>
            <w:tcMar>
              <w:top w:w="15" w:type="dxa"/>
              <w:left w:w="15" w:type="dxa"/>
              <w:right w:w="15" w:type="dxa"/>
            </w:tcMar>
            <w:vAlign w:val="center"/>
          </w:tcPr>
          <w:p w14:paraId="6441D2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w:t>
            </w:r>
          </w:p>
        </w:tc>
        <w:tc>
          <w:tcPr>
            <w:tcW w:w="3104" w:type="dxa"/>
            <w:tcBorders>
              <w:top w:val="single" w:color="auto" w:sz="12" w:space="0"/>
              <w:tl2br w:val="nil"/>
              <w:tr2bl w:val="nil"/>
            </w:tcBorders>
            <w:shd w:val="clear" w:color="auto" w:fill="auto"/>
            <w:tcMar>
              <w:top w:w="15" w:type="dxa"/>
              <w:left w:w="15" w:type="dxa"/>
              <w:right w:w="15" w:type="dxa"/>
            </w:tcMar>
            <w:vAlign w:val="center"/>
          </w:tcPr>
          <w:p w14:paraId="7A952DC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pH 值</w:t>
            </w:r>
          </w:p>
        </w:tc>
        <w:tc>
          <w:tcPr>
            <w:tcW w:w="1104" w:type="dxa"/>
            <w:tcBorders>
              <w:top w:val="single" w:color="auto" w:sz="12" w:space="0"/>
              <w:tl2br w:val="nil"/>
              <w:tr2bl w:val="nil"/>
            </w:tcBorders>
            <w:shd w:val="clear" w:color="auto" w:fill="auto"/>
            <w:tcMar>
              <w:top w:w="15" w:type="dxa"/>
              <w:left w:w="15" w:type="dxa"/>
              <w:right w:w="15" w:type="dxa"/>
            </w:tcMar>
            <w:vAlign w:val="center"/>
          </w:tcPr>
          <w:p w14:paraId="49CCA40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无量纲</w:t>
            </w:r>
          </w:p>
        </w:tc>
        <w:tc>
          <w:tcPr>
            <w:tcW w:w="1331" w:type="dxa"/>
            <w:tcBorders>
              <w:top w:val="single" w:color="auto" w:sz="12" w:space="0"/>
              <w:tl2br w:val="nil"/>
              <w:tr2bl w:val="nil"/>
            </w:tcBorders>
            <w:shd w:val="clear" w:color="auto" w:fill="auto"/>
            <w:tcMar>
              <w:top w:w="15" w:type="dxa"/>
              <w:left w:w="15" w:type="dxa"/>
              <w:right w:w="15" w:type="dxa"/>
            </w:tcMar>
            <w:vAlign w:val="center"/>
          </w:tcPr>
          <w:p w14:paraId="5F91F81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5.5</w:t>
            </w:r>
            <w:r>
              <w:rPr>
                <w:rFonts w:hint="default" w:ascii="Times New Roman" w:hAnsi="Times New Roman" w:cs="Times New Roman"/>
                <w:i w:val="0"/>
                <w:color w:val="000000"/>
                <w:kern w:val="0"/>
                <w:sz w:val="21"/>
                <w:szCs w:val="21"/>
                <w:highlight w:val="none"/>
                <w:u w:val="none"/>
                <w:lang w:val="en-US" w:eastAsia="zh-CN" w:bidi="ar"/>
              </w:rPr>
              <w:t>~</w:t>
            </w:r>
            <w:r>
              <w:rPr>
                <w:rFonts w:hint="default" w:ascii="Times New Roman" w:hAnsi="Times New Roman" w:eastAsia="宋体" w:cs="Times New Roman"/>
                <w:i w:val="0"/>
                <w:color w:val="000000"/>
                <w:kern w:val="0"/>
                <w:sz w:val="21"/>
                <w:szCs w:val="21"/>
                <w:highlight w:val="none"/>
                <w:u w:val="none"/>
                <w:lang w:val="en-US" w:eastAsia="zh-CN" w:bidi="ar"/>
              </w:rPr>
              <w:t>6.5</w:t>
            </w:r>
          </w:p>
          <w:p w14:paraId="1D4A42A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或</w:t>
            </w:r>
            <w:r>
              <w:rPr>
                <w:rFonts w:hint="default" w:ascii="Times New Roman" w:hAnsi="Times New Roman" w:eastAsia="宋体" w:cs="Times New Roman"/>
                <w:i w:val="0"/>
                <w:color w:val="000000"/>
                <w:kern w:val="0"/>
                <w:sz w:val="21"/>
                <w:szCs w:val="21"/>
                <w:highlight w:val="none"/>
                <w:u w:val="none"/>
                <w:lang w:val="en-US" w:eastAsia="zh-CN" w:bidi="ar"/>
              </w:rPr>
              <w:t>8.5</w:t>
            </w:r>
            <w:r>
              <w:rPr>
                <w:rFonts w:hint="default" w:ascii="Times New Roman" w:hAnsi="Times New Roman" w:cs="Times New Roman"/>
                <w:i w:val="0"/>
                <w:color w:val="000000"/>
                <w:kern w:val="0"/>
                <w:sz w:val="21"/>
                <w:szCs w:val="21"/>
                <w:highlight w:val="none"/>
                <w:u w:val="none"/>
                <w:lang w:val="en-US" w:eastAsia="zh-CN" w:bidi="ar"/>
              </w:rPr>
              <w:t>~</w:t>
            </w:r>
            <w:r>
              <w:rPr>
                <w:rFonts w:hint="default" w:ascii="Times New Roman" w:hAnsi="Times New Roman" w:eastAsia="宋体" w:cs="Times New Roman"/>
                <w:i w:val="0"/>
                <w:color w:val="000000"/>
                <w:kern w:val="0"/>
                <w:sz w:val="21"/>
                <w:szCs w:val="21"/>
                <w:highlight w:val="none"/>
                <w:u w:val="none"/>
                <w:lang w:val="en-US" w:eastAsia="zh-CN" w:bidi="ar"/>
              </w:rPr>
              <w:t>9.0</w:t>
            </w:r>
          </w:p>
        </w:tc>
        <w:tc>
          <w:tcPr>
            <w:tcW w:w="2818" w:type="dxa"/>
            <w:vMerge w:val="restart"/>
            <w:tcBorders>
              <w:top w:val="single" w:color="auto" w:sz="12" w:space="0"/>
              <w:tl2br w:val="nil"/>
              <w:tr2bl w:val="nil"/>
            </w:tcBorders>
            <w:shd w:val="clear" w:color="auto" w:fill="auto"/>
            <w:tcMar>
              <w:top w:w="15" w:type="dxa"/>
              <w:left w:w="15" w:type="dxa"/>
              <w:right w:w="15" w:type="dxa"/>
            </w:tcMar>
            <w:vAlign w:val="center"/>
          </w:tcPr>
          <w:p w14:paraId="1FA7A26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000000"/>
                <w:sz w:val="21"/>
                <w:szCs w:val="21"/>
                <w:highlight w:val="none"/>
                <w:u w:val="none"/>
                <w:lang w:val="en-US" w:eastAsia="zh-CN"/>
              </w:rPr>
            </w:pPr>
            <w:r>
              <w:rPr>
                <w:rFonts w:hint="default" w:ascii="Times New Roman" w:hAnsi="Times New Roman" w:cs="Times New Roman"/>
                <w:i w:val="0"/>
                <w:color w:val="000000"/>
                <w:sz w:val="21"/>
                <w:szCs w:val="21"/>
                <w:highlight w:val="none"/>
                <w:u w:val="none"/>
                <w:lang w:val="en-US" w:eastAsia="zh-CN"/>
              </w:rPr>
              <w:t>GB/T 14848</w:t>
            </w:r>
          </w:p>
          <w:p w14:paraId="7331D16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lang w:val="en-US" w:eastAsia="zh-CN"/>
              </w:rPr>
            </w:pPr>
            <w:r>
              <w:rPr>
                <w:rFonts w:hint="default" w:ascii="Times New Roman" w:hAnsi="Times New Roman" w:cs="Times New Roman"/>
                <w:i w:val="0"/>
                <w:color w:val="000000"/>
                <w:sz w:val="21"/>
                <w:szCs w:val="21"/>
                <w:highlight w:val="none"/>
                <w:u w:val="none"/>
                <w:lang w:val="en-US" w:eastAsia="zh-CN"/>
              </w:rPr>
              <w:t>Ⅳ类标准</w:t>
            </w:r>
          </w:p>
        </w:tc>
      </w:tr>
      <w:tr w14:paraId="38A87F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2192E7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w:t>
            </w:r>
          </w:p>
        </w:tc>
        <w:tc>
          <w:tcPr>
            <w:tcW w:w="3104" w:type="dxa"/>
            <w:tcBorders>
              <w:tl2br w:val="nil"/>
              <w:tr2bl w:val="nil"/>
            </w:tcBorders>
            <w:shd w:val="clear" w:color="auto" w:fill="auto"/>
            <w:tcMar>
              <w:top w:w="15" w:type="dxa"/>
              <w:left w:w="15" w:type="dxa"/>
              <w:right w:w="15" w:type="dxa"/>
            </w:tcMar>
            <w:vAlign w:val="center"/>
          </w:tcPr>
          <w:p w14:paraId="6F3F576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总硬度</w:t>
            </w:r>
          </w:p>
        </w:tc>
        <w:tc>
          <w:tcPr>
            <w:tcW w:w="1104" w:type="dxa"/>
            <w:tcBorders>
              <w:tl2br w:val="nil"/>
              <w:tr2bl w:val="nil"/>
            </w:tcBorders>
            <w:shd w:val="clear" w:color="auto" w:fill="auto"/>
            <w:tcMar>
              <w:top w:w="15" w:type="dxa"/>
              <w:left w:w="15" w:type="dxa"/>
              <w:right w:w="15" w:type="dxa"/>
            </w:tcMar>
            <w:vAlign w:val="center"/>
          </w:tcPr>
          <w:p w14:paraId="0FCED5E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center"/>
          </w:tcPr>
          <w:p w14:paraId="36E5600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650</w:t>
            </w:r>
          </w:p>
        </w:tc>
        <w:tc>
          <w:tcPr>
            <w:tcW w:w="2818" w:type="dxa"/>
            <w:vMerge w:val="continue"/>
            <w:tcBorders>
              <w:tl2br w:val="nil"/>
              <w:tr2bl w:val="nil"/>
            </w:tcBorders>
            <w:shd w:val="clear" w:color="auto" w:fill="auto"/>
            <w:noWrap/>
            <w:tcMar>
              <w:top w:w="15" w:type="dxa"/>
              <w:left w:w="15" w:type="dxa"/>
              <w:right w:w="15" w:type="dxa"/>
            </w:tcMar>
            <w:vAlign w:val="center"/>
          </w:tcPr>
          <w:p w14:paraId="138D571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r>
      <w:tr w14:paraId="657DD2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7FF162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w:t>
            </w:r>
          </w:p>
        </w:tc>
        <w:tc>
          <w:tcPr>
            <w:tcW w:w="3104" w:type="dxa"/>
            <w:tcBorders>
              <w:tl2br w:val="nil"/>
              <w:tr2bl w:val="nil"/>
            </w:tcBorders>
            <w:shd w:val="clear" w:color="auto" w:fill="auto"/>
            <w:tcMar>
              <w:top w:w="15" w:type="dxa"/>
              <w:left w:w="15" w:type="dxa"/>
              <w:right w:w="15" w:type="dxa"/>
            </w:tcMar>
            <w:vAlign w:val="center"/>
          </w:tcPr>
          <w:p w14:paraId="3A63965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溶解性总固体</w:t>
            </w:r>
          </w:p>
        </w:tc>
        <w:tc>
          <w:tcPr>
            <w:tcW w:w="1104" w:type="dxa"/>
            <w:tcBorders>
              <w:tl2br w:val="nil"/>
              <w:tr2bl w:val="nil"/>
            </w:tcBorders>
            <w:shd w:val="clear" w:color="auto" w:fill="auto"/>
            <w:tcMar>
              <w:top w:w="15" w:type="dxa"/>
              <w:left w:w="15" w:type="dxa"/>
              <w:right w:w="15" w:type="dxa"/>
            </w:tcMar>
            <w:vAlign w:val="center"/>
          </w:tcPr>
          <w:p w14:paraId="5B1FD74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center"/>
          </w:tcPr>
          <w:p w14:paraId="11E3E85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2000</w:t>
            </w:r>
          </w:p>
        </w:tc>
        <w:tc>
          <w:tcPr>
            <w:tcW w:w="2818" w:type="dxa"/>
            <w:vMerge w:val="continue"/>
            <w:tcBorders>
              <w:tl2br w:val="nil"/>
              <w:tr2bl w:val="nil"/>
            </w:tcBorders>
            <w:shd w:val="clear" w:color="auto" w:fill="auto"/>
            <w:noWrap/>
            <w:tcMar>
              <w:top w:w="15" w:type="dxa"/>
              <w:left w:w="15" w:type="dxa"/>
              <w:right w:w="15" w:type="dxa"/>
            </w:tcMar>
            <w:vAlign w:val="center"/>
          </w:tcPr>
          <w:p w14:paraId="095E9FB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r>
      <w:tr w14:paraId="1058EC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2202AE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w:t>
            </w:r>
          </w:p>
        </w:tc>
        <w:tc>
          <w:tcPr>
            <w:tcW w:w="3104" w:type="dxa"/>
            <w:tcBorders>
              <w:tl2br w:val="nil"/>
              <w:tr2bl w:val="nil"/>
            </w:tcBorders>
            <w:shd w:val="clear" w:color="auto" w:fill="auto"/>
            <w:tcMar>
              <w:top w:w="15" w:type="dxa"/>
              <w:left w:w="15" w:type="dxa"/>
              <w:right w:w="15" w:type="dxa"/>
            </w:tcMar>
            <w:vAlign w:val="center"/>
          </w:tcPr>
          <w:p w14:paraId="08233D2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耗氧量（COD</w:t>
            </w:r>
            <w:r>
              <w:rPr>
                <w:rFonts w:hint="default" w:ascii="Times New Roman" w:hAnsi="Times New Roman" w:cs="Times New Roman"/>
                <w:i w:val="0"/>
                <w:color w:val="000000"/>
                <w:kern w:val="0"/>
                <w:sz w:val="21"/>
                <w:szCs w:val="21"/>
                <w:highlight w:val="none"/>
                <w:u w:val="none"/>
                <w:vertAlign w:val="subscript"/>
                <w:lang w:val="en-US" w:eastAsia="zh-CN" w:bidi="ar"/>
              </w:rPr>
              <w:t>Mn</w:t>
            </w:r>
            <w:r>
              <w:rPr>
                <w:rFonts w:hint="default" w:ascii="Times New Roman" w:hAnsi="Times New Roman" w:cs="Times New Roman"/>
                <w:i w:val="0"/>
                <w:color w:val="000000"/>
                <w:kern w:val="0"/>
                <w:sz w:val="21"/>
                <w:szCs w:val="21"/>
                <w:highlight w:val="none"/>
                <w:u w:val="none"/>
                <w:lang w:val="en-US" w:eastAsia="zh-CN" w:bidi="ar"/>
              </w:rPr>
              <w:t>法，以O</w:t>
            </w:r>
            <w:r>
              <w:rPr>
                <w:rFonts w:hint="default" w:ascii="Times New Roman" w:hAnsi="Times New Roman" w:cs="Times New Roman"/>
                <w:i w:val="0"/>
                <w:color w:val="000000"/>
                <w:kern w:val="0"/>
                <w:sz w:val="21"/>
                <w:szCs w:val="21"/>
                <w:highlight w:val="none"/>
                <w:u w:val="none"/>
                <w:vertAlign w:val="subscript"/>
                <w:lang w:val="en-US" w:eastAsia="zh-CN" w:bidi="ar"/>
              </w:rPr>
              <w:t>2</w:t>
            </w:r>
            <w:r>
              <w:rPr>
                <w:rFonts w:hint="default" w:ascii="Times New Roman" w:hAnsi="Times New Roman" w:cs="Times New Roman"/>
                <w:i w:val="0"/>
                <w:color w:val="000000"/>
                <w:kern w:val="0"/>
                <w:sz w:val="21"/>
                <w:szCs w:val="21"/>
                <w:highlight w:val="none"/>
                <w:u w:val="none"/>
                <w:lang w:val="en-US" w:eastAsia="zh-CN" w:bidi="ar"/>
              </w:rPr>
              <w:t>计）</w:t>
            </w:r>
          </w:p>
        </w:tc>
        <w:tc>
          <w:tcPr>
            <w:tcW w:w="1104" w:type="dxa"/>
            <w:tcBorders>
              <w:tl2br w:val="nil"/>
              <w:tr2bl w:val="nil"/>
            </w:tcBorders>
            <w:shd w:val="clear" w:color="auto" w:fill="auto"/>
            <w:tcMar>
              <w:top w:w="15" w:type="dxa"/>
              <w:left w:w="15" w:type="dxa"/>
              <w:right w:w="15" w:type="dxa"/>
            </w:tcMar>
            <w:vAlign w:val="center"/>
          </w:tcPr>
          <w:p w14:paraId="606BE55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center"/>
          </w:tcPr>
          <w:p w14:paraId="630E246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10</w:t>
            </w:r>
          </w:p>
        </w:tc>
        <w:tc>
          <w:tcPr>
            <w:tcW w:w="2818" w:type="dxa"/>
            <w:vMerge w:val="continue"/>
            <w:tcBorders>
              <w:tl2br w:val="nil"/>
              <w:tr2bl w:val="nil"/>
            </w:tcBorders>
            <w:shd w:val="clear" w:color="auto" w:fill="auto"/>
            <w:noWrap/>
            <w:tcMar>
              <w:top w:w="15" w:type="dxa"/>
              <w:left w:w="15" w:type="dxa"/>
              <w:right w:w="15" w:type="dxa"/>
            </w:tcMar>
            <w:vAlign w:val="center"/>
          </w:tcPr>
          <w:p w14:paraId="39ADE28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r>
      <w:tr w14:paraId="420AD4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678705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w:t>
            </w:r>
          </w:p>
        </w:tc>
        <w:tc>
          <w:tcPr>
            <w:tcW w:w="3104" w:type="dxa"/>
            <w:tcBorders>
              <w:tl2br w:val="nil"/>
              <w:tr2bl w:val="nil"/>
            </w:tcBorders>
            <w:shd w:val="clear" w:color="auto" w:fill="auto"/>
            <w:tcMar>
              <w:top w:w="15" w:type="dxa"/>
              <w:left w:w="15" w:type="dxa"/>
              <w:right w:w="15" w:type="dxa"/>
            </w:tcMar>
            <w:vAlign w:val="center"/>
          </w:tcPr>
          <w:p w14:paraId="6480708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硫酸盐</w:t>
            </w:r>
          </w:p>
        </w:tc>
        <w:tc>
          <w:tcPr>
            <w:tcW w:w="1104" w:type="dxa"/>
            <w:tcBorders>
              <w:tl2br w:val="nil"/>
              <w:tr2bl w:val="nil"/>
            </w:tcBorders>
            <w:shd w:val="clear" w:color="auto" w:fill="auto"/>
            <w:tcMar>
              <w:top w:w="15" w:type="dxa"/>
              <w:left w:w="15" w:type="dxa"/>
              <w:right w:w="15" w:type="dxa"/>
            </w:tcMar>
            <w:vAlign w:val="center"/>
          </w:tcPr>
          <w:p w14:paraId="57E1B96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center"/>
          </w:tcPr>
          <w:p w14:paraId="10F05BF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350</w:t>
            </w:r>
          </w:p>
        </w:tc>
        <w:tc>
          <w:tcPr>
            <w:tcW w:w="2818" w:type="dxa"/>
            <w:vMerge w:val="continue"/>
            <w:tcBorders>
              <w:tl2br w:val="nil"/>
              <w:tr2bl w:val="nil"/>
            </w:tcBorders>
            <w:shd w:val="clear" w:color="auto" w:fill="auto"/>
            <w:noWrap/>
            <w:tcMar>
              <w:top w:w="15" w:type="dxa"/>
              <w:left w:w="15" w:type="dxa"/>
              <w:right w:w="15" w:type="dxa"/>
            </w:tcMar>
            <w:vAlign w:val="center"/>
          </w:tcPr>
          <w:p w14:paraId="10AF15E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r>
      <w:tr w14:paraId="266169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2581BF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w:t>
            </w:r>
          </w:p>
        </w:tc>
        <w:tc>
          <w:tcPr>
            <w:tcW w:w="3104" w:type="dxa"/>
            <w:tcBorders>
              <w:tl2br w:val="nil"/>
              <w:tr2bl w:val="nil"/>
            </w:tcBorders>
            <w:shd w:val="clear" w:color="auto" w:fill="auto"/>
            <w:tcMar>
              <w:top w:w="15" w:type="dxa"/>
              <w:left w:w="15" w:type="dxa"/>
              <w:right w:w="15" w:type="dxa"/>
            </w:tcMar>
            <w:vAlign w:val="center"/>
          </w:tcPr>
          <w:p w14:paraId="0D45688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硝酸盐(以</w:t>
            </w:r>
            <w:r>
              <w:rPr>
                <w:rFonts w:hint="default" w:ascii="Times New Roman" w:hAnsi="Times New Roman" w:cs="Times New Roman"/>
                <w:i w:val="0"/>
                <w:color w:val="000000"/>
                <w:kern w:val="0"/>
                <w:sz w:val="21"/>
                <w:szCs w:val="21"/>
                <w:highlight w:val="none"/>
                <w:u w:val="none"/>
                <w:lang w:val="en-US" w:eastAsia="zh-CN" w:bidi="ar"/>
              </w:rPr>
              <w:t>N</w:t>
            </w:r>
            <w:r>
              <w:rPr>
                <w:rFonts w:hint="default" w:ascii="Times New Roman" w:hAnsi="Times New Roman" w:eastAsia="宋体" w:cs="Times New Roman"/>
                <w:i w:val="0"/>
                <w:color w:val="000000"/>
                <w:kern w:val="0"/>
                <w:sz w:val="21"/>
                <w:szCs w:val="21"/>
                <w:highlight w:val="none"/>
                <w:u w:val="none"/>
                <w:lang w:val="en-US" w:eastAsia="zh-CN" w:bidi="ar"/>
              </w:rPr>
              <w:t>计)</w:t>
            </w:r>
          </w:p>
        </w:tc>
        <w:tc>
          <w:tcPr>
            <w:tcW w:w="1104" w:type="dxa"/>
            <w:tcBorders>
              <w:tl2br w:val="nil"/>
              <w:tr2bl w:val="nil"/>
            </w:tcBorders>
            <w:shd w:val="clear" w:color="auto" w:fill="auto"/>
            <w:tcMar>
              <w:top w:w="15" w:type="dxa"/>
              <w:left w:w="15" w:type="dxa"/>
              <w:right w:w="15" w:type="dxa"/>
            </w:tcMar>
            <w:vAlign w:val="center"/>
          </w:tcPr>
          <w:p w14:paraId="34638F0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center"/>
          </w:tcPr>
          <w:p w14:paraId="4865D72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30</w:t>
            </w:r>
          </w:p>
        </w:tc>
        <w:tc>
          <w:tcPr>
            <w:tcW w:w="2818" w:type="dxa"/>
            <w:vMerge w:val="continue"/>
            <w:tcBorders>
              <w:tl2br w:val="nil"/>
              <w:tr2bl w:val="nil"/>
            </w:tcBorders>
            <w:shd w:val="clear" w:color="auto" w:fill="auto"/>
            <w:noWrap/>
            <w:tcMar>
              <w:top w:w="15" w:type="dxa"/>
              <w:left w:w="15" w:type="dxa"/>
              <w:right w:w="15" w:type="dxa"/>
            </w:tcMar>
            <w:vAlign w:val="center"/>
          </w:tcPr>
          <w:p w14:paraId="5B6686C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r>
      <w:tr w14:paraId="35199A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4B6CE9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w:t>
            </w:r>
          </w:p>
        </w:tc>
        <w:tc>
          <w:tcPr>
            <w:tcW w:w="3104" w:type="dxa"/>
            <w:tcBorders>
              <w:tl2br w:val="nil"/>
              <w:tr2bl w:val="nil"/>
            </w:tcBorders>
            <w:shd w:val="clear" w:color="auto" w:fill="auto"/>
            <w:tcMar>
              <w:top w:w="15" w:type="dxa"/>
              <w:left w:w="15" w:type="dxa"/>
              <w:right w:w="15" w:type="dxa"/>
            </w:tcMar>
            <w:vAlign w:val="center"/>
          </w:tcPr>
          <w:p w14:paraId="463F550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氯化物</w:t>
            </w:r>
          </w:p>
        </w:tc>
        <w:tc>
          <w:tcPr>
            <w:tcW w:w="1104" w:type="dxa"/>
            <w:tcBorders>
              <w:tl2br w:val="nil"/>
              <w:tr2bl w:val="nil"/>
            </w:tcBorders>
            <w:shd w:val="clear" w:color="auto" w:fill="auto"/>
            <w:tcMar>
              <w:top w:w="15" w:type="dxa"/>
              <w:left w:w="15" w:type="dxa"/>
              <w:right w:w="15" w:type="dxa"/>
            </w:tcMar>
            <w:vAlign w:val="center"/>
          </w:tcPr>
          <w:p w14:paraId="6C06EA3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center"/>
          </w:tcPr>
          <w:p w14:paraId="380476B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350</w:t>
            </w:r>
          </w:p>
        </w:tc>
        <w:tc>
          <w:tcPr>
            <w:tcW w:w="2818" w:type="dxa"/>
            <w:vMerge w:val="continue"/>
            <w:tcBorders>
              <w:tl2br w:val="nil"/>
              <w:tr2bl w:val="nil"/>
            </w:tcBorders>
            <w:shd w:val="clear" w:color="auto" w:fill="auto"/>
            <w:noWrap/>
            <w:tcMar>
              <w:top w:w="15" w:type="dxa"/>
              <w:left w:w="15" w:type="dxa"/>
              <w:right w:w="15" w:type="dxa"/>
            </w:tcMar>
            <w:vAlign w:val="center"/>
          </w:tcPr>
          <w:p w14:paraId="069C73D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r>
      <w:tr w14:paraId="2A5715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662E7E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w:t>
            </w:r>
          </w:p>
        </w:tc>
        <w:tc>
          <w:tcPr>
            <w:tcW w:w="3104" w:type="dxa"/>
            <w:tcBorders>
              <w:tl2br w:val="nil"/>
              <w:tr2bl w:val="nil"/>
            </w:tcBorders>
            <w:shd w:val="clear" w:color="auto" w:fill="auto"/>
            <w:tcMar>
              <w:top w:w="15" w:type="dxa"/>
              <w:left w:w="15" w:type="dxa"/>
              <w:right w:w="15" w:type="dxa"/>
            </w:tcMar>
            <w:vAlign w:val="center"/>
          </w:tcPr>
          <w:p w14:paraId="4E4998B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eastAsia" w:cs="Times New Roman"/>
                <w:i w:val="0"/>
                <w:color w:val="000000"/>
                <w:kern w:val="0"/>
                <w:sz w:val="21"/>
                <w:szCs w:val="21"/>
                <w:highlight w:val="none"/>
                <w:u w:val="none"/>
                <w:lang w:val="en-US" w:eastAsia="zh-CN" w:bidi="ar"/>
              </w:rPr>
              <w:t>总氟化物</w:t>
            </w:r>
          </w:p>
        </w:tc>
        <w:tc>
          <w:tcPr>
            <w:tcW w:w="1104" w:type="dxa"/>
            <w:tcBorders>
              <w:tl2br w:val="nil"/>
              <w:tr2bl w:val="nil"/>
            </w:tcBorders>
            <w:shd w:val="clear" w:color="auto" w:fill="auto"/>
            <w:tcMar>
              <w:top w:w="15" w:type="dxa"/>
              <w:left w:w="15" w:type="dxa"/>
              <w:right w:w="15" w:type="dxa"/>
            </w:tcMar>
            <w:vAlign w:val="center"/>
          </w:tcPr>
          <w:p w14:paraId="17B54F6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center"/>
          </w:tcPr>
          <w:p w14:paraId="5F81704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2</w:t>
            </w:r>
            <w:r>
              <w:rPr>
                <w:rFonts w:hint="eastAsia" w:cs="Times New Roman"/>
                <w:i w:val="0"/>
                <w:color w:val="000000"/>
                <w:kern w:val="0"/>
                <w:sz w:val="21"/>
                <w:szCs w:val="21"/>
                <w:highlight w:val="none"/>
                <w:u w:val="none"/>
                <w:lang w:val="en-US" w:eastAsia="zh-CN" w:bidi="ar"/>
              </w:rPr>
              <w:t>.0</w:t>
            </w:r>
          </w:p>
        </w:tc>
        <w:tc>
          <w:tcPr>
            <w:tcW w:w="2818" w:type="dxa"/>
            <w:vMerge w:val="continue"/>
            <w:tcBorders>
              <w:tl2br w:val="nil"/>
              <w:tr2bl w:val="nil"/>
            </w:tcBorders>
            <w:shd w:val="clear" w:color="auto" w:fill="auto"/>
            <w:noWrap/>
            <w:tcMar>
              <w:top w:w="15" w:type="dxa"/>
              <w:left w:w="15" w:type="dxa"/>
              <w:right w:w="15" w:type="dxa"/>
            </w:tcMar>
            <w:vAlign w:val="center"/>
          </w:tcPr>
          <w:p w14:paraId="6F6994C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r>
      <w:tr w14:paraId="3C63D6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151FB6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9</w:t>
            </w:r>
          </w:p>
        </w:tc>
        <w:tc>
          <w:tcPr>
            <w:tcW w:w="3104" w:type="dxa"/>
            <w:tcBorders>
              <w:tl2br w:val="nil"/>
              <w:tr2bl w:val="nil"/>
            </w:tcBorders>
            <w:shd w:val="clear" w:color="auto" w:fill="auto"/>
            <w:tcMar>
              <w:top w:w="15" w:type="dxa"/>
              <w:left w:w="15" w:type="dxa"/>
              <w:right w:w="15" w:type="dxa"/>
            </w:tcMar>
            <w:vAlign w:val="center"/>
          </w:tcPr>
          <w:p w14:paraId="4DD7ACA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挥发酚</w:t>
            </w:r>
            <w:r>
              <w:rPr>
                <w:rFonts w:hint="default" w:ascii="Times New Roman" w:hAnsi="Times New Roman" w:cs="Times New Roman"/>
                <w:i w:val="0"/>
                <w:color w:val="000000"/>
                <w:kern w:val="0"/>
                <w:sz w:val="21"/>
                <w:szCs w:val="21"/>
                <w:highlight w:val="none"/>
                <w:u w:val="none"/>
                <w:lang w:val="en-US" w:eastAsia="zh-CN" w:bidi="ar"/>
              </w:rPr>
              <w:t>(以苯酚计)</w:t>
            </w:r>
          </w:p>
        </w:tc>
        <w:tc>
          <w:tcPr>
            <w:tcW w:w="1104" w:type="dxa"/>
            <w:tcBorders>
              <w:tl2br w:val="nil"/>
              <w:tr2bl w:val="nil"/>
            </w:tcBorders>
            <w:shd w:val="clear" w:color="auto" w:fill="auto"/>
            <w:tcMar>
              <w:top w:w="15" w:type="dxa"/>
              <w:left w:w="15" w:type="dxa"/>
              <w:right w:w="15" w:type="dxa"/>
            </w:tcMar>
            <w:vAlign w:val="center"/>
          </w:tcPr>
          <w:p w14:paraId="131D254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center"/>
          </w:tcPr>
          <w:p w14:paraId="06B946E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0.01</w:t>
            </w:r>
          </w:p>
        </w:tc>
        <w:tc>
          <w:tcPr>
            <w:tcW w:w="2818" w:type="dxa"/>
            <w:vMerge w:val="continue"/>
            <w:tcBorders>
              <w:tl2br w:val="nil"/>
              <w:tr2bl w:val="nil"/>
            </w:tcBorders>
            <w:shd w:val="clear" w:color="auto" w:fill="auto"/>
            <w:noWrap/>
            <w:tcMar>
              <w:top w:w="15" w:type="dxa"/>
              <w:left w:w="15" w:type="dxa"/>
              <w:right w:w="15" w:type="dxa"/>
            </w:tcMar>
            <w:vAlign w:val="center"/>
          </w:tcPr>
          <w:p w14:paraId="40076E2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r>
      <w:tr w14:paraId="709C48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37AB9A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w:t>
            </w:r>
          </w:p>
        </w:tc>
        <w:tc>
          <w:tcPr>
            <w:tcW w:w="3104" w:type="dxa"/>
            <w:tcBorders>
              <w:tl2br w:val="nil"/>
              <w:tr2bl w:val="nil"/>
            </w:tcBorders>
            <w:shd w:val="clear" w:color="auto" w:fill="auto"/>
            <w:tcMar>
              <w:top w:w="15" w:type="dxa"/>
              <w:left w:w="15" w:type="dxa"/>
              <w:right w:w="15" w:type="dxa"/>
            </w:tcMar>
            <w:vAlign w:val="center"/>
          </w:tcPr>
          <w:p w14:paraId="1CC2F88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阴离子表面活性剂</w:t>
            </w:r>
          </w:p>
        </w:tc>
        <w:tc>
          <w:tcPr>
            <w:tcW w:w="1104" w:type="dxa"/>
            <w:tcBorders>
              <w:tl2br w:val="nil"/>
              <w:tr2bl w:val="nil"/>
            </w:tcBorders>
            <w:shd w:val="clear" w:color="auto" w:fill="auto"/>
            <w:tcMar>
              <w:top w:w="15" w:type="dxa"/>
              <w:left w:w="15" w:type="dxa"/>
              <w:right w:w="15" w:type="dxa"/>
            </w:tcMar>
            <w:vAlign w:val="center"/>
          </w:tcPr>
          <w:p w14:paraId="6E59D1D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center"/>
          </w:tcPr>
          <w:p w14:paraId="7F8FD35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≤0.3</w:t>
            </w:r>
          </w:p>
        </w:tc>
        <w:tc>
          <w:tcPr>
            <w:tcW w:w="2818" w:type="dxa"/>
            <w:vMerge w:val="continue"/>
            <w:tcBorders>
              <w:tl2br w:val="nil"/>
              <w:tr2bl w:val="nil"/>
            </w:tcBorders>
            <w:shd w:val="clear" w:color="auto" w:fill="auto"/>
            <w:noWrap/>
            <w:tcMar>
              <w:top w:w="15" w:type="dxa"/>
              <w:left w:w="15" w:type="dxa"/>
              <w:right w:w="15" w:type="dxa"/>
            </w:tcMar>
            <w:vAlign w:val="center"/>
          </w:tcPr>
          <w:p w14:paraId="0DBB2C3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r>
      <w:tr w14:paraId="4CE145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0AF7C7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w:t>
            </w:r>
          </w:p>
        </w:tc>
        <w:tc>
          <w:tcPr>
            <w:tcW w:w="3104" w:type="dxa"/>
            <w:tcBorders>
              <w:tl2br w:val="nil"/>
              <w:tr2bl w:val="nil"/>
            </w:tcBorders>
            <w:shd w:val="clear" w:color="auto" w:fill="auto"/>
            <w:tcMar>
              <w:top w:w="15" w:type="dxa"/>
              <w:left w:w="15" w:type="dxa"/>
              <w:right w:w="15" w:type="dxa"/>
            </w:tcMar>
            <w:vAlign w:val="center"/>
          </w:tcPr>
          <w:p w14:paraId="114187B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氨氮</w:t>
            </w:r>
            <w:r>
              <w:rPr>
                <w:rFonts w:hint="default" w:ascii="Times New Roman" w:hAnsi="Times New Roman" w:cs="Times New Roman"/>
                <w:i w:val="0"/>
                <w:color w:val="000000"/>
                <w:kern w:val="0"/>
                <w:sz w:val="21"/>
                <w:szCs w:val="21"/>
                <w:highlight w:val="none"/>
                <w:u w:val="none"/>
                <w:lang w:val="en-US" w:eastAsia="zh-CN" w:bidi="ar"/>
              </w:rPr>
              <w:t>（以N计）</w:t>
            </w:r>
          </w:p>
        </w:tc>
        <w:tc>
          <w:tcPr>
            <w:tcW w:w="1104" w:type="dxa"/>
            <w:tcBorders>
              <w:tl2br w:val="nil"/>
              <w:tr2bl w:val="nil"/>
            </w:tcBorders>
            <w:shd w:val="clear" w:color="auto" w:fill="auto"/>
            <w:tcMar>
              <w:top w:w="15" w:type="dxa"/>
              <w:left w:w="15" w:type="dxa"/>
              <w:right w:w="15" w:type="dxa"/>
            </w:tcMar>
            <w:vAlign w:val="center"/>
          </w:tcPr>
          <w:p w14:paraId="372D2ED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center"/>
          </w:tcPr>
          <w:p w14:paraId="39E75EA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1.5</w:t>
            </w:r>
            <w:r>
              <w:rPr>
                <w:rFonts w:hint="eastAsia" w:cs="Times New Roman"/>
                <w:i w:val="0"/>
                <w:color w:val="000000"/>
                <w:kern w:val="0"/>
                <w:sz w:val="21"/>
                <w:szCs w:val="21"/>
                <w:highlight w:val="none"/>
                <w:u w:val="none"/>
                <w:lang w:val="en-US" w:eastAsia="zh-CN" w:bidi="ar"/>
              </w:rPr>
              <w:t>0</w:t>
            </w:r>
          </w:p>
        </w:tc>
        <w:tc>
          <w:tcPr>
            <w:tcW w:w="2818" w:type="dxa"/>
            <w:vMerge w:val="continue"/>
            <w:tcBorders>
              <w:tl2br w:val="nil"/>
              <w:tr2bl w:val="nil"/>
            </w:tcBorders>
            <w:shd w:val="clear" w:color="auto" w:fill="auto"/>
            <w:noWrap/>
            <w:tcMar>
              <w:top w:w="15" w:type="dxa"/>
              <w:left w:w="15" w:type="dxa"/>
              <w:right w:w="15" w:type="dxa"/>
            </w:tcMar>
            <w:vAlign w:val="center"/>
          </w:tcPr>
          <w:p w14:paraId="6D69B3D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r>
      <w:tr w14:paraId="16FED1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7A9BF8F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12</w:t>
            </w:r>
          </w:p>
        </w:tc>
        <w:tc>
          <w:tcPr>
            <w:tcW w:w="3104" w:type="dxa"/>
            <w:tcBorders>
              <w:tl2br w:val="nil"/>
              <w:tr2bl w:val="nil"/>
            </w:tcBorders>
            <w:shd w:val="clear" w:color="auto" w:fill="auto"/>
            <w:tcMar>
              <w:top w:w="15" w:type="dxa"/>
              <w:left w:w="15" w:type="dxa"/>
              <w:right w:w="15" w:type="dxa"/>
            </w:tcMar>
            <w:vAlign w:val="center"/>
          </w:tcPr>
          <w:p w14:paraId="129D034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硫化物</w:t>
            </w:r>
          </w:p>
        </w:tc>
        <w:tc>
          <w:tcPr>
            <w:tcW w:w="1104" w:type="dxa"/>
            <w:tcBorders>
              <w:tl2br w:val="nil"/>
              <w:tr2bl w:val="nil"/>
            </w:tcBorders>
            <w:shd w:val="clear" w:color="auto" w:fill="auto"/>
            <w:tcMar>
              <w:top w:w="15" w:type="dxa"/>
              <w:left w:w="15" w:type="dxa"/>
              <w:right w:w="15" w:type="dxa"/>
            </w:tcMar>
            <w:vAlign w:val="center"/>
          </w:tcPr>
          <w:p w14:paraId="7DF5D9A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center"/>
          </w:tcPr>
          <w:p w14:paraId="5A40237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w:t>
            </w:r>
            <w:r>
              <w:rPr>
                <w:rFonts w:hint="default" w:ascii="Times New Roman" w:hAnsi="Times New Roman" w:cs="Times New Roman"/>
                <w:i w:val="0"/>
                <w:color w:val="000000"/>
                <w:kern w:val="0"/>
                <w:sz w:val="21"/>
                <w:szCs w:val="21"/>
                <w:highlight w:val="none"/>
                <w:u w:val="none"/>
                <w:lang w:val="en-US" w:eastAsia="zh-CN" w:bidi="ar"/>
              </w:rPr>
              <w:t>.1</w:t>
            </w:r>
            <w:r>
              <w:rPr>
                <w:rFonts w:hint="eastAsia" w:cs="Times New Roman"/>
                <w:i w:val="0"/>
                <w:color w:val="000000"/>
                <w:kern w:val="0"/>
                <w:sz w:val="21"/>
                <w:szCs w:val="21"/>
                <w:highlight w:val="none"/>
                <w:u w:val="none"/>
                <w:lang w:val="en-US" w:eastAsia="zh-CN" w:bidi="ar"/>
              </w:rPr>
              <w:t>0</w:t>
            </w:r>
          </w:p>
        </w:tc>
        <w:tc>
          <w:tcPr>
            <w:tcW w:w="2818" w:type="dxa"/>
            <w:vMerge w:val="continue"/>
            <w:tcBorders>
              <w:tl2br w:val="nil"/>
              <w:tr2bl w:val="nil"/>
            </w:tcBorders>
            <w:shd w:val="clear" w:color="auto" w:fill="auto"/>
            <w:noWrap/>
            <w:tcMar>
              <w:top w:w="15" w:type="dxa"/>
              <w:left w:w="15" w:type="dxa"/>
              <w:right w:w="15" w:type="dxa"/>
            </w:tcMar>
            <w:vAlign w:val="center"/>
          </w:tcPr>
          <w:p w14:paraId="5E73961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r>
      <w:tr w14:paraId="682635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0FA261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13</w:t>
            </w:r>
          </w:p>
        </w:tc>
        <w:tc>
          <w:tcPr>
            <w:tcW w:w="3104" w:type="dxa"/>
            <w:tcBorders>
              <w:tl2br w:val="nil"/>
              <w:tr2bl w:val="nil"/>
            </w:tcBorders>
            <w:shd w:val="clear" w:color="auto" w:fill="auto"/>
            <w:tcMar>
              <w:top w:w="15" w:type="dxa"/>
              <w:left w:w="15" w:type="dxa"/>
              <w:right w:w="15" w:type="dxa"/>
            </w:tcMar>
            <w:vAlign w:val="center"/>
          </w:tcPr>
          <w:p w14:paraId="569E784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亚硝酸盐</w:t>
            </w:r>
            <w:r>
              <w:rPr>
                <w:rFonts w:hint="default" w:ascii="Times New Roman" w:hAnsi="Times New Roman" w:cs="Times New Roman"/>
                <w:i w:val="0"/>
                <w:color w:val="000000"/>
                <w:kern w:val="0"/>
                <w:sz w:val="21"/>
                <w:szCs w:val="21"/>
                <w:highlight w:val="none"/>
                <w:u w:val="none"/>
                <w:lang w:val="en-US" w:eastAsia="zh-CN" w:bidi="ar"/>
              </w:rPr>
              <w:t>（以N计）</w:t>
            </w:r>
          </w:p>
        </w:tc>
        <w:tc>
          <w:tcPr>
            <w:tcW w:w="1104" w:type="dxa"/>
            <w:tcBorders>
              <w:tl2br w:val="nil"/>
              <w:tr2bl w:val="nil"/>
            </w:tcBorders>
            <w:shd w:val="clear" w:color="auto" w:fill="auto"/>
            <w:tcMar>
              <w:top w:w="15" w:type="dxa"/>
              <w:left w:w="15" w:type="dxa"/>
              <w:right w:w="15" w:type="dxa"/>
            </w:tcMar>
            <w:vAlign w:val="center"/>
          </w:tcPr>
          <w:p w14:paraId="5E35F4F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center"/>
          </w:tcPr>
          <w:p w14:paraId="762205A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4.8</w:t>
            </w:r>
            <w:r>
              <w:rPr>
                <w:rFonts w:hint="eastAsia" w:cs="Times New Roman"/>
                <w:i w:val="0"/>
                <w:color w:val="000000"/>
                <w:kern w:val="0"/>
                <w:sz w:val="21"/>
                <w:szCs w:val="21"/>
                <w:highlight w:val="none"/>
                <w:u w:val="none"/>
                <w:lang w:val="en-US" w:eastAsia="zh-CN" w:bidi="ar"/>
              </w:rPr>
              <w:t>0</w:t>
            </w:r>
          </w:p>
        </w:tc>
        <w:tc>
          <w:tcPr>
            <w:tcW w:w="2818" w:type="dxa"/>
            <w:vMerge w:val="continue"/>
            <w:tcBorders>
              <w:tl2br w:val="nil"/>
              <w:tr2bl w:val="nil"/>
            </w:tcBorders>
            <w:shd w:val="clear" w:color="auto" w:fill="auto"/>
            <w:noWrap/>
            <w:tcMar>
              <w:top w:w="15" w:type="dxa"/>
              <w:left w:w="15" w:type="dxa"/>
              <w:right w:w="15" w:type="dxa"/>
            </w:tcMar>
            <w:vAlign w:val="center"/>
          </w:tcPr>
          <w:p w14:paraId="48003F2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r>
      <w:tr w14:paraId="3627FE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0481DE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14</w:t>
            </w:r>
          </w:p>
        </w:tc>
        <w:tc>
          <w:tcPr>
            <w:tcW w:w="3104" w:type="dxa"/>
            <w:tcBorders>
              <w:tl2br w:val="nil"/>
              <w:tr2bl w:val="nil"/>
            </w:tcBorders>
            <w:shd w:val="clear" w:color="auto" w:fill="auto"/>
            <w:tcMar>
              <w:top w:w="15" w:type="dxa"/>
              <w:left w:w="15" w:type="dxa"/>
              <w:right w:w="15" w:type="dxa"/>
            </w:tcMar>
            <w:vAlign w:val="center"/>
          </w:tcPr>
          <w:p w14:paraId="3207418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氰化物</w:t>
            </w:r>
          </w:p>
        </w:tc>
        <w:tc>
          <w:tcPr>
            <w:tcW w:w="1104" w:type="dxa"/>
            <w:tcBorders>
              <w:tl2br w:val="nil"/>
              <w:tr2bl w:val="nil"/>
            </w:tcBorders>
            <w:shd w:val="clear" w:color="auto" w:fill="auto"/>
            <w:tcMar>
              <w:top w:w="15" w:type="dxa"/>
              <w:left w:w="15" w:type="dxa"/>
              <w:right w:w="15" w:type="dxa"/>
            </w:tcMar>
            <w:vAlign w:val="center"/>
          </w:tcPr>
          <w:p w14:paraId="3B1EEC1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center"/>
          </w:tcPr>
          <w:p w14:paraId="2035E44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0.1</w:t>
            </w:r>
          </w:p>
        </w:tc>
        <w:tc>
          <w:tcPr>
            <w:tcW w:w="2818" w:type="dxa"/>
            <w:vMerge w:val="continue"/>
            <w:tcBorders>
              <w:tl2br w:val="nil"/>
              <w:tr2bl w:val="nil"/>
            </w:tcBorders>
            <w:shd w:val="clear" w:color="auto" w:fill="auto"/>
            <w:noWrap/>
            <w:tcMar>
              <w:top w:w="15" w:type="dxa"/>
              <w:left w:w="15" w:type="dxa"/>
              <w:right w:w="15" w:type="dxa"/>
            </w:tcMar>
            <w:vAlign w:val="center"/>
          </w:tcPr>
          <w:p w14:paraId="2110291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r>
      <w:tr w14:paraId="69701C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4D5BAC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15</w:t>
            </w:r>
          </w:p>
        </w:tc>
        <w:tc>
          <w:tcPr>
            <w:tcW w:w="3104" w:type="dxa"/>
            <w:tcBorders>
              <w:tl2br w:val="nil"/>
              <w:tr2bl w:val="nil"/>
            </w:tcBorders>
            <w:shd w:val="clear" w:color="auto" w:fill="auto"/>
            <w:tcMar>
              <w:top w:w="15" w:type="dxa"/>
              <w:left w:w="15" w:type="dxa"/>
              <w:right w:w="15" w:type="dxa"/>
            </w:tcMar>
            <w:vAlign w:val="center"/>
          </w:tcPr>
          <w:p w14:paraId="05443EC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铁</w:t>
            </w:r>
          </w:p>
        </w:tc>
        <w:tc>
          <w:tcPr>
            <w:tcW w:w="1104" w:type="dxa"/>
            <w:tcBorders>
              <w:tl2br w:val="nil"/>
              <w:tr2bl w:val="nil"/>
            </w:tcBorders>
            <w:shd w:val="clear" w:color="auto" w:fill="auto"/>
            <w:tcMar>
              <w:top w:w="15" w:type="dxa"/>
              <w:left w:w="15" w:type="dxa"/>
              <w:right w:w="15" w:type="dxa"/>
            </w:tcMar>
            <w:vAlign w:val="center"/>
          </w:tcPr>
          <w:p w14:paraId="6FA637E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center"/>
          </w:tcPr>
          <w:p w14:paraId="1E416D4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eastAsia" w:cs="Times New Roman"/>
                <w:i w:val="0"/>
                <w:color w:val="000000"/>
                <w:kern w:val="0"/>
                <w:sz w:val="21"/>
                <w:szCs w:val="21"/>
                <w:highlight w:val="none"/>
                <w:u w:val="none"/>
                <w:lang w:val="en-US" w:eastAsia="zh-CN" w:bidi="ar"/>
              </w:rPr>
              <w:t>2.0</w:t>
            </w:r>
          </w:p>
        </w:tc>
        <w:tc>
          <w:tcPr>
            <w:tcW w:w="2818" w:type="dxa"/>
            <w:vMerge w:val="continue"/>
            <w:tcBorders>
              <w:tl2br w:val="nil"/>
              <w:tr2bl w:val="nil"/>
            </w:tcBorders>
            <w:shd w:val="clear" w:color="auto" w:fill="auto"/>
            <w:noWrap/>
            <w:tcMar>
              <w:top w:w="15" w:type="dxa"/>
              <w:left w:w="15" w:type="dxa"/>
              <w:right w:w="15" w:type="dxa"/>
            </w:tcMar>
            <w:vAlign w:val="center"/>
          </w:tcPr>
          <w:p w14:paraId="0A1F72F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r>
      <w:tr w14:paraId="7F4DA3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2366F5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16</w:t>
            </w:r>
          </w:p>
        </w:tc>
        <w:tc>
          <w:tcPr>
            <w:tcW w:w="3104" w:type="dxa"/>
            <w:tcBorders>
              <w:tl2br w:val="nil"/>
              <w:tr2bl w:val="nil"/>
            </w:tcBorders>
            <w:shd w:val="clear" w:color="auto" w:fill="auto"/>
            <w:tcMar>
              <w:top w:w="15" w:type="dxa"/>
              <w:left w:w="15" w:type="dxa"/>
              <w:right w:w="15" w:type="dxa"/>
            </w:tcMar>
            <w:vAlign w:val="center"/>
          </w:tcPr>
          <w:p w14:paraId="453248D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锰</w:t>
            </w:r>
          </w:p>
        </w:tc>
        <w:tc>
          <w:tcPr>
            <w:tcW w:w="1104" w:type="dxa"/>
            <w:tcBorders>
              <w:tl2br w:val="nil"/>
              <w:tr2bl w:val="nil"/>
            </w:tcBorders>
            <w:shd w:val="clear" w:color="auto" w:fill="auto"/>
            <w:tcMar>
              <w:top w:w="15" w:type="dxa"/>
              <w:left w:w="15" w:type="dxa"/>
              <w:right w:w="15" w:type="dxa"/>
            </w:tcMar>
            <w:vAlign w:val="center"/>
          </w:tcPr>
          <w:p w14:paraId="3E65E2B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top"/>
          </w:tcPr>
          <w:p w14:paraId="6C661BB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eastAsia" w:cs="Times New Roman"/>
                <w:i w:val="0"/>
                <w:color w:val="000000"/>
                <w:kern w:val="0"/>
                <w:sz w:val="21"/>
                <w:szCs w:val="21"/>
                <w:highlight w:val="none"/>
                <w:u w:val="none"/>
                <w:lang w:val="en-US" w:eastAsia="zh-CN" w:bidi="ar"/>
              </w:rPr>
              <w:t>1.50</w:t>
            </w:r>
          </w:p>
        </w:tc>
        <w:tc>
          <w:tcPr>
            <w:tcW w:w="2818" w:type="dxa"/>
            <w:vMerge w:val="continue"/>
            <w:tcBorders>
              <w:tl2br w:val="nil"/>
              <w:tr2bl w:val="nil"/>
            </w:tcBorders>
            <w:shd w:val="clear" w:color="auto" w:fill="auto"/>
            <w:noWrap/>
            <w:tcMar>
              <w:top w:w="15" w:type="dxa"/>
              <w:left w:w="15" w:type="dxa"/>
              <w:right w:w="15" w:type="dxa"/>
            </w:tcMar>
            <w:vAlign w:val="center"/>
          </w:tcPr>
          <w:p w14:paraId="0AAACF5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r>
      <w:tr w14:paraId="6ED8BE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2C6700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17</w:t>
            </w:r>
          </w:p>
        </w:tc>
        <w:tc>
          <w:tcPr>
            <w:tcW w:w="3104" w:type="dxa"/>
            <w:tcBorders>
              <w:tl2br w:val="nil"/>
              <w:tr2bl w:val="nil"/>
            </w:tcBorders>
            <w:shd w:val="clear" w:color="auto" w:fill="auto"/>
            <w:tcMar>
              <w:top w:w="15" w:type="dxa"/>
              <w:left w:w="15" w:type="dxa"/>
              <w:right w:w="15" w:type="dxa"/>
            </w:tcMar>
            <w:vAlign w:val="center"/>
          </w:tcPr>
          <w:p w14:paraId="3EAB949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铜</w:t>
            </w:r>
          </w:p>
        </w:tc>
        <w:tc>
          <w:tcPr>
            <w:tcW w:w="1104" w:type="dxa"/>
            <w:tcBorders>
              <w:tl2br w:val="nil"/>
              <w:tr2bl w:val="nil"/>
            </w:tcBorders>
            <w:shd w:val="clear" w:color="auto" w:fill="auto"/>
            <w:tcMar>
              <w:top w:w="15" w:type="dxa"/>
              <w:left w:w="15" w:type="dxa"/>
              <w:right w:w="15" w:type="dxa"/>
            </w:tcMar>
            <w:vAlign w:val="center"/>
          </w:tcPr>
          <w:p w14:paraId="775E79C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top"/>
          </w:tcPr>
          <w:p w14:paraId="6A64F56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eastAsia" w:cs="Times New Roman"/>
                <w:i w:val="0"/>
                <w:color w:val="000000"/>
                <w:kern w:val="0"/>
                <w:sz w:val="21"/>
                <w:szCs w:val="21"/>
                <w:highlight w:val="none"/>
                <w:u w:val="none"/>
                <w:lang w:val="en-US" w:eastAsia="zh-CN" w:bidi="ar"/>
              </w:rPr>
              <w:t>1.</w:t>
            </w:r>
            <w:r>
              <w:rPr>
                <w:rFonts w:hint="default" w:ascii="Times New Roman" w:hAnsi="Times New Roman" w:eastAsia="宋体" w:cs="Times New Roman"/>
                <w:i w:val="0"/>
                <w:color w:val="000000"/>
                <w:kern w:val="0"/>
                <w:sz w:val="22"/>
                <w:szCs w:val="22"/>
                <w:highlight w:val="none"/>
                <w:u w:val="none"/>
                <w:lang w:val="en-US" w:eastAsia="zh-CN" w:bidi="ar"/>
              </w:rPr>
              <w:t>5</w:t>
            </w:r>
            <w:r>
              <w:rPr>
                <w:rFonts w:hint="eastAsia" w:cs="Times New Roman"/>
                <w:i w:val="0"/>
                <w:color w:val="000000"/>
                <w:kern w:val="0"/>
                <w:sz w:val="22"/>
                <w:szCs w:val="22"/>
                <w:highlight w:val="none"/>
                <w:u w:val="none"/>
                <w:lang w:val="en-US" w:eastAsia="zh-CN" w:bidi="ar"/>
              </w:rPr>
              <w:t>0</w:t>
            </w:r>
          </w:p>
        </w:tc>
        <w:tc>
          <w:tcPr>
            <w:tcW w:w="2818" w:type="dxa"/>
            <w:vMerge w:val="continue"/>
            <w:tcBorders>
              <w:tl2br w:val="nil"/>
              <w:tr2bl w:val="nil"/>
            </w:tcBorders>
            <w:shd w:val="clear" w:color="auto" w:fill="auto"/>
            <w:noWrap/>
            <w:tcMar>
              <w:top w:w="15" w:type="dxa"/>
              <w:left w:w="15" w:type="dxa"/>
              <w:right w:w="15" w:type="dxa"/>
            </w:tcMar>
            <w:vAlign w:val="center"/>
          </w:tcPr>
          <w:p w14:paraId="6A276FF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r>
      <w:tr w14:paraId="3EB737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77F42B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18</w:t>
            </w:r>
          </w:p>
        </w:tc>
        <w:tc>
          <w:tcPr>
            <w:tcW w:w="3104" w:type="dxa"/>
            <w:tcBorders>
              <w:tl2br w:val="nil"/>
              <w:tr2bl w:val="nil"/>
            </w:tcBorders>
            <w:shd w:val="clear" w:color="auto" w:fill="auto"/>
            <w:tcMar>
              <w:top w:w="15" w:type="dxa"/>
              <w:left w:w="15" w:type="dxa"/>
              <w:right w:w="15" w:type="dxa"/>
            </w:tcMar>
            <w:vAlign w:val="center"/>
          </w:tcPr>
          <w:p w14:paraId="472CFFC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铝</w:t>
            </w:r>
          </w:p>
        </w:tc>
        <w:tc>
          <w:tcPr>
            <w:tcW w:w="1104" w:type="dxa"/>
            <w:tcBorders>
              <w:tl2br w:val="nil"/>
              <w:tr2bl w:val="nil"/>
            </w:tcBorders>
            <w:shd w:val="clear" w:color="auto" w:fill="auto"/>
            <w:tcMar>
              <w:top w:w="15" w:type="dxa"/>
              <w:left w:w="15" w:type="dxa"/>
              <w:right w:w="15" w:type="dxa"/>
            </w:tcMar>
            <w:vAlign w:val="center"/>
          </w:tcPr>
          <w:p w14:paraId="78B2318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top"/>
          </w:tcPr>
          <w:p w14:paraId="21F2FE91">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eastAsia" w:cs="Times New Roman"/>
                <w:i w:val="0"/>
                <w:color w:val="000000"/>
                <w:kern w:val="0"/>
                <w:sz w:val="21"/>
                <w:szCs w:val="21"/>
                <w:highlight w:val="none"/>
                <w:u w:val="none"/>
                <w:lang w:val="en-US" w:eastAsia="zh-CN" w:bidi="ar"/>
              </w:rPr>
              <w:t>0.50</w:t>
            </w:r>
          </w:p>
        </w:tc>
        <w:tc>
          <w:tcPr>
            <w:tcW w:w="2818" w:type="dxa"/>
            <w:vMerge w:val="continue"/>
            <w:tcBorders>
              <w:tl2br w:val="nil"/>
              <w:tr2bl w:val="nil"/>
            </w:tcBorders>
            <w:shd w:val="clear" w:color="auto" w:fill="auto"/>
            <w:noWrap/>
            <w:tcMar>
              <w:top w:w="15" w:type="dxa"/>
              <w:left w:w="15" w:type="dxa"/>
              <w:right w:w="15" w:type="dxa"/>
            </w:tcMar>
            <w:vAlign w:val="center"/>
          </w:tcPr>
          <w:p w14:paraId="3D17522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r>
      <w:tr w14:paraId="1A6EC7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205740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19</w:t>
            </w:r>
          </w:p>
        </w:tc>
        <w:tc>
          <w:tcPr>
            <w:tcW w:w="3104" w:type="dxa"/>
            <w:tcBorders>
              <w:tl2br w:val="nil"/>
              <w:tr2bl w:val="nil"/>
            </w:tcBorders>
            <w:shd w:val="clear" w:color="auto" w:fill="auto"/>
            <w:tcMar>
              <w:top w:w="15" w:type="dxa"/>
              <w:left w:w="15" w:type="dxa"/>
              <w:right w:w="15" w:type="dxa"/>
            </w:tcMar>
            <w:vAlign w:val="center"/>
          </w:tcPr>
          <w:p w14:paraId="7A36641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钠</w:t>
            </w:r>
          </w:p>
        </w:tc>
        <w:tc>
          <w:tcPr>
            <w:tcW w:w="1104" w:type="dxa"/>
            <w:tcBorders>
              <w:tl2br w:val="nil"/>
              <w:tr2bl w:val="nil"/>
            </w:tcBorders>
            <w:shd w:val="clear" w:color="auto" w:fill="auto"/>
            <w:tcMar>
              <w:top w:w="15" w:type="dxa"/>
              <w:left w:w="15" w:type="dxa"/>
              <w:right w:w="15" w:type="dxa"/>
            </w:tcMar>
            <w:vAlign w:val="center"/>
          </w:tcPr>
          <w:p w14:paraId="4D47AE3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top"/>
          </w:tcPr>
          <w:p w14:paraId="2597D5D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eastAsia" w:cs="Times New Roman"/>
                <w:i w:val="0"/>
                <w:color w:val="000000"/>
                <w:kern w:val="0"/>
                <w:sz w:val="21"/>
                <w:szCs w:val="21"/>
                <w:highlight w:val="none"/>
                <w:u w:val="none"/>
                <w:lang w:val="en-US" w:eastAsia="zh-CN" w:bidi="ar"/>
              </w:rPr>
              <w:t>400</w:t>
            </w:r>
          </w:p>
        </w:tc>
        <w:tc>
          <w:tcPr>
            <w:tcW w:w="2818" w:type="dxa"/>
            <w:vMerge w:val="continue"/>
            <w:tcBorders>
              <w:tl2br w:val="nil"/>
              <w:tr2bl w:val="nil"/>
            </w:tcBorders>
            <w:shd w:val="clear" w:color="auto" w:fill="auto"/>
            <w:noWrap/>
            <w:tcMar>
              <w:top w:w="15" w:type="dxa"/>
              <w:left w:w="15" w:type="dxa"/>
              <w:right w:w="15" w:type="dxa"/>
            </w:tcMar>
            <w:vAlign w:val="center"/>
          </w:tcPr>
          <w:p w14:paraId="33F62B4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r>
      <w:tr w14:paraId="2402DC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6385D2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20</w:t>
            </w:r>
          </w:p>
        </w:tc>
        <w:tc>
          <w:tcPr>
            <w:tcW w:w="3104" w:type="dxa"/>
            <w:tcBorders>
              <w:tl2br w:val="nil"/>
              <w:tr2bl w:val="nil"/>
            </w:tcBorders>
            <w:shd w:val="clear" w:color="auto" w:fill="auto"/>
            <w:tcMar>
              <w:top w:w="15" w:type="dxa"/>
              <w:left w:w="15" w:type="dxa"/>
              <w:right w:w="15" w:type="dxa"/>
            </w:tcMar>
            <w:vAlign w:val="center"/>
          </w:tcPr>
          <w:p w14:paraId="48DDD14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锌</w:t>
            </w:r>
          </w:p>
        </w:tc>
        <w:tc>
          <w:tcPr>
            <w:tcW w:w="1104" w:type="dxa"/>
            <w:tcBorders>
              <w:tl2br w:val="nil"/>
              <w:tr2bl w:val="nil"/>
            </w:tcBorders>
            <w:shd w:val="clear" w:color="auto" w:fill="auto"/>
            <w:tcMar>
              <w:top w:w="15" w:type="dxa"/>
              <w:left w:w="15" w:type="dxa"/>
              <w:right w:w="15" w:type="dxa"/>
            </w:tcMar>
            <w:vAlign w:val="center"/>
          </w:tcPr>
          <w:p w14:paraId="4698B7EB">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top"/>
          </w:tcPr>
          <w:p w14:paraId="553BDB3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eastAsia" w:cs="Times New Roman"/>
                <w:i w:val="0"/>
                <w:color w:val="000000"/>
                <w:kern w:val="0"/>
                <w:sz w:val="21"/>
                <w:szCs w:val="21"/>
                <w:highlight w:val="none"/>
                <w:u w:val="none"/>
                <w:lang w:val="en-US" w:eastAsia="zh-CN" w:bidi="ar"/>
              </w:rPr>
              <w:t>5.00</w:t>
            </w:r>
          </w:p>
        </w:tc>
        <w:tc>
          <w:tcPr>
            <w:tcW w:w="2818" w:type="dxa"/>
            <w:vMerge w:val="continue"/>
            <w:tcBorders>
              <w:tl2br w:val="nil"/>
              <w:tr2bl w:val="nil"/>
            </w:tcBorders>
            <w:shd w:val="clear" w:color="auto" w:fill="auto"/>
            <w:noWrap/>
            <w:tcMar>
              <w:top w:w="15" w:type="dxa"/>
              <w:left w:w="15" w:type="dxa"/>
              <w:right w:w="15" w:type="dxa"/>
            </w:tcMar>
            <w:vAlign w:val="center"/>
          </w:tcPr>
          <w:p w14:paraId="1B411CB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r>
      <w:tr w14:paraId="0F4B30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03A6C3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21</w:t>
            </w:r>
          </w:p>
        </w:tc>
        <w:tc>
          <w:tcPr>
            <w:tcW w:w="3104" w:type="dxa"/>
            <w:tcBorders>
              <w:tl2br w:val="nil"/>
              <w:tr2bl w:val="nil"/>
            </w:tcBorders>
            <w:shd w:val="clear" w:color="auto" w:fill="auto"/>
            <w:tcMar>
              <w:top w:w="15" w:type="dxa"/>
              <w:left w:w="15" w:type="dxa"/>
              <w:right w:w="15" w:type="dxa"/>
            </w:tcMar>
            <w:vAlign w:val="center"/>
          </w:tcPr>
          <w:p w14:paraId="303DD60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铬</w:t>
            </w:r>
          </w:p>
        </w:tc>
        <w:tc>
          <w:tcPr>
            <w:tcW w:w="1104" w:type="dxa"/>
            <w:tcBorders>
              <w:tl2br w:val="nil"/>
              <w:tr2bl w:val="nil"/>
            </w:tcBorders>
            <w:shd w:val="clear" w:color="auto" w:fill="auto"/>
            <w:tcMar>
              <w:top w:w="15" w:type="dxa"/>
              <w:left w:w="15" w:type="dxa"/>
              <w:right w:w="15" w:type="dxa"/>
            </w:tcMar>
            <w:vAlign w:val="center"/>
          </w:tcPr>
          <w:p w14:paraId="3BFD248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黑体" w:cs="Times New Roman"/>
                <w:b w:val="0"/>
                <w:bCs w:val="0"/>
                <w:sz w:val="21"/>
                <w:szCs w:val="21"/>
                <w:highlight w:val="none"/>
                <w:lang w:val="en-US" w:eastAsia="zh-CN"/>
              </w:rPr>
            </w:pPr>
            <w:r>
              <w:rPr>
                <w:rFonts w:hint="default" w:ascii="Times New Roman" w:hAnsi="Times New Roman" w:eastAsia="黑体" w:cs="Times New Roman"/>
                <w:b w:val="0"/>
                <w:bCs w:val="0"/>
                <w:sz w:val="21"/>
                <w:szCs w:val="21"/>
                <w:highlight w:val="none"/>
                <w:lang w:val="en-US" w:eastAsia="zh-CN"/>
              </w:rPr>
              <w:t>mg/L</w:t>
            </w:r>
          </w:p>
        </w:tc>
        <w:tc>
          <w:tcPr>
            <w:tcW w:w="1331" w:type="dxa"/>
            <w:tcBorders>
              <w:tl2br w:val="nil"/>
              <w:tr2bl w:val="nil"/>
            </w:tcBorders>
            <w:shd w:val="clear" w:color="auto" w:fill="auto"/>
            <w:noWrap/>
            <w:tcMar>
              <w:top w:w="15" w:type="dxa"/>
              <w:left w:w="15" w:type="dxa"/>
              <w:right w:w="15" w:type="dxa"/>
            </w:tcMar>
            <w:vAlign w:val="center"/>
          </w:tcPr>
          <w:p w14:paraId="34C2A80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w:t>
            </w:r>
          </w:p>
        </w:tc>
        <w:tc>
          <w:tcPr>
            <w:tcW w:w="2818" w:type="dxa"/>
            <w:tcBorders>
              <w:tl2br w:val="nil"/>
              <w:tr2bl w:val="nil"/>
            </w:tcBorders>
            <w:shd w:val="clear" w:color="auto" w:fill="auto"/>
            <w:noWrap/>
            <w:tcMar>
              <w:top w:w="15" w:type="dxa"/>
              <w:left w:w="15" w:type="dxa"/>
              <w:right w:w="15" w:type="dxa"/>
            </w:tcMar>
            <w:vAlign w:val="center"/>
          </w:tcPr>
          <w:p w14:paraId="3D2C075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000000"/>
                <w:sz w:val="21"/>
                <w:szCs w:val="21"/>
                <w:highlight w:val="none"/>
                <w:u w:val="none"/>
                <w:lang w:val="en-US" w:eastAsia="zh-CN"/>
              </w:rPr>
            </w:pPr>
            <w:r>
              <w:rPr>
                <w:rFonts w:hint="default" w:ascii="Times New Roman" w:hAnsi="Times New Roman" w:cs="Times New Roman"/>
                <w:i w:val="0"/>
                <w:color w:val="000000"/>
                <w:sz w:val="21"/>
                <w:szCs w:val="21"/>
                <w:highlight w:val="none"/>
                <w:u w:val="none"/>
                <w:lang w:val="en-US" w:eastAsia="zh-CN"/>
              </w:rPr>
              <w:t>/</w:t>
            </w:r>
          </w:p>
        </w:tc>
      </w:tr>
      <w:tr w14:paraId="79CAC3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3E7575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22</w:t>
            </w:r>
          </w:p>
        </w:tc>
        <w:tc>
          <w:tcPr>
            <w:tcW w:w="3104" w:type="dxa"/>
            <w:tcBorders>
              <w:tl2br w:val="nil"/>
              <w:tr2bl w:val="nil"/>
            </w:tcBorders>
            <w:shd w:val="clear" w:color="auto" w:fill="auto"/>
            <w:tcMar>
              <w:top w:w="15" w:type="dxa"/>
              <w:left w:w="15" w:type="dxa"/>
              <w:right w:w="15" w:type="dxa"/>
            </w:tcMar>
            <w:vAlign w:val="center"/>
          </w:tcPr>
          <w:p w14:paraId="46436C8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汞</w:t>
            </w:r>
          </w:p>
        </w:tc>
        <w:tc>
          <w:tcPr>
            <w:tcW w:w="1104" w:type="dxa"/>
            <w:tcBorders>
              <w:tl2br w:val="nil"/>
              <w:tr2bl w:val="nil"/>
            </w:tcBorders>
            <w:shd w:val="clear" w:color="auto" w:fill="auto"/>
            <w:tcMar>
              <w:top w:w="15" w:type="dxa"/>
              <w:left w:w="15" w:type="dxa"/>
              <w:right w:w="15" w:type="dxa"/>
            </w:tcMar>
            <w:vAlign w:val="center"/>
          </w:tcPr>
          <w:p w14:paraId="63B3686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top"/>
          </w:tcPr>
          <w:p w14:paraId="33195E7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eastAsia="宋体" w:cs="Times New Roman"/>
                <w:i w:val="0"/>
                <w:color w:val="000000"/>
                <w:kern w:val="0"/>
                <w:sz w:val="22"/>
                <w:szCs w:val="22"/>
                <w:highlight w:val="none"/>
                <w:u w:val="none"/>
                <w:lang w:val="en-US" w:eastAsia="zh-CN" w:bidi="ar"/>
              </w:rPr>
              <w:t>0.002</w:t>
            </w:r>
          </w:p>
        </w:tc>
        <w:tc>
          <w:tcPr>
            <w:tcW w:w="2818" w:type="dxa"/>
            <w:vMerge w:val="restart"/>
            <w:tcBorders>
              <w:tl2br w:val="nil"/>
              <w:tr2bl w:val="nil"/>
            </w:tcBorders>
            <w:shd w:val="clear" w:color="auto" w:fill="auto"/>
            <w:noWrap/>
            <w:tcMar>
              <w:top w:w="15" w:type="dxa"/>
              <w:left w:w="15" w:type="dxa"/>
              <w:right w:w="15" w:type="dxa"/>
            </w:tcMar>
            <w:vAlign w:val="center"/>
          </w:tcPr>
          <w:p w14:paraId="72A2C6A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000000"/>
                <w:sz w:val="21"/>
                <w:szCs w:val="21"/>
                <w:highlight w:val="none"/>
                <w:u w:val="none"/>
                <w:lang w:val="en-US" w:eastAsia="zh-CN"/>
              </w:rPr>
            </w:pPr>
            <w:r>
              <w:rPr>
                <w:rFonts w:hint="default" w:ascii="Times New Roman" w:hAnsi="Times New Roman" w:cs="Times New Roman"/>
                <w:i w:val="0"/>
                <w:color w:val="000000"/>
                <w:sz w:val="21"/>
                <w:szCs w:val="21"/>
                <w:highlight w:val="none"/>
                <w:u w:val="none"/>
                <w:lang w:val="en-US" w:eastAsia="zh-CN"/>
              </w:rPr>
              <w:t>GB/T 14848</w:t>
            </w:r>
          </w:p>
          <w:p w14:paraId="47D5EDB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cs="Times New Roman"/>
                <w:i w:val="0"/>
                <w:color w:val="000000"/>
                <w:sz w:val="21"/>
                <w:szCs w:val="21"/>
                <w:highlight w:val="none"/>
                <w:u w:val="none"/>
                <w:lang w:val="en-US" w:eastAsia="zh-CN"/>
              </w:rPr>
              <w:t>Ⅳ类标准</w:t>
            </w:r>
          </w:p>
        </w:tc>
      </w:tr>
      <w:tr w14:paraId="5576FE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0D4727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23</w:t>
            </w:r>
          </w:p>
        </w:tc>
        <w:tc>
          <w:tcPr>
            <w:tcW w:w="3104" w:type="dxa"/>
            <w:tcBorders>
              <w:tl2br w:val="nil"/>
              <w:tr2bl w:val="nil"/>
            </w:tcBorders>
            <w:shd w:val="clear" w:color="auto" w:fill="auto"/>
            <w:tcMar>
              <w:top w:w="15" w:type="dxa"/>
              <w:left w:w="15" w:type="dxa"/>
              <w:right w:w="15" w:type="dxa"/>
            </w:tcMar>
            <w:vAlign w:val="center"/>
          </w:tcPr>
          <w:p w14:paraId="508890D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砷</w:t>
            </w:r>
          </w:p>
        </w:tc>
        <w:tc>
          <w:tcPr>
            <w:tcW w:w="1104" w:type="dxa"/>
            <w:tcBorders>
              <w:tl2br w:val="nil"/>
              <w:tr2bl w:val="nil"/>
            </w:tcBorders>
            <w:shd w:val="clear" w:color="auto" w:fill="auto"/>
            <w:tcMar>
              <w:top w:w="15" w:type="dxa"/>
              <w:left w:w="15" w:type="dxa"/>
              <w:right w:w="15" w:type="dxa"/>
            </w:tcMar>
            <w:vAlign w:val="center"/>
          </w:tcPr>
          <w:p w14:paraId="40269E9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top"/>
          </w:tcPr>
          <w:p w14:paraId="22CB982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eastAsia="宋体" w:cs="Times New Roman"/>
                <w:i w:val="0"/>
                <w:color w:val="000000"/>
                <w:kern w:val="0"/>
                <w:sz w:val="22"/>
                <w:szCs w:val="22"/>
                <w:highlight w:val="none"/>
                <w:u w:val="none"/>
                <w:lang w:val="en-US" w:eastAsia="zh-CN" w:bidi="ar"/>
              </w:rPr>
              <w:t>0.05</w:t>
            </w:r>
          </w:p>
        </w:tc>
        <w:tc>
          <w:tcPr>
            <w:tcW w:w="2818" w:type="dxa"/>
            <w:vMerge w:val="continue"/>
            <w:tcBorders>
              <w:tl2br w:val="nil"/>
              <w:tr2bl w:val="nil"/>
            </w:tcBorders>
            <w:shd w:val="clear" w:color="auto" w:fill="auto"/>
            <w:noWrap/>
            <w:tcMar>
              <w:top w:w="15" w:type="dxa"/>
              <w:left w:w="15" w:type="dxa"/>
              <w:right w:w="15" w:type="dxa"/>
            </w:tcMar>
            <w:vAlign w:val="center"/>
          </w:tcPr>
          <w:p w14:paraId="72A4691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r>
      <w:tr w14:paraId="53A529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627554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24</w:t>
            </w:r>
          </w:p>
        </w:tc>
        <w:tc>
          <w:tcPr>
            <w:tcW w:w="3104" w:type="dxa"/>
            <w:tcBorders>
              <w:tl2br w:val="nil"/>
              <w:tr2bl w:val="nil"/>
            </w:tcBorders>
            <w:shd w:val="clear" w:color="auto" w:fill="auto"/>
            <w:tcMar>
              <w:top w:w="15" w:type="dxa"/>
              <w:left w:w="15" w:type="dxa"/>
              <w:right w:w="15" w:type="dxa"/>
            </w:tcMar>
            <w:vAlign w:val="center"/>
          </w:tcPr>
          <w:p w14:paraId="5BEACE9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硒</w:t>
            </w:r>
          </w:p>
        </w:tc>
        <w:tc>
          <w:tcPr>
            <w:tcW w:w="1104" w:type="dxa"/>
            <w:tcBorders>
              <w:tl2br w:val="nil"/>
              <w:tr2bl w:val="nil"/>
            </w:tcBorders>
            <w:shd w:val="clear" w:color="auto" w:fill="auto"/>
            <w:tcMar>
              <w:top w:w="15" w:type="dxa"/>
              <w:left w:w="15" w:type="dxa"/>
              <w:right w:w="15" w:type="dxa"/>
            </w:tcMar>
            <w:vAlign w:val="center"/>
          </w:tcPr>
          <w:p w14:paraId="0DC9C01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top"/>
          </w:tcPr>
          <w:p w14:paraId="5FC60AC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eastAsia="宋体" w:cs="Times New Roman"/>
                <w:i w:val="0"/>
                <w:color w:val="000000"/>
                <w:kern w:val="0"/>
                <w:sz w:val="22"/>
                <w:szCs w:val="22"/>
                <w:highlight w:val="none"/>
                <w:u w:val="none"/>
                <w:lang w:val="en-US" w:eastAsia="zh-CN" w:bidi="ar"/>
              </w:rPr>
              <w:t>0.1</w:t>
            </w:r>
          </w:p>
        </w:tc>
        <w:tc>
          <w:tcPr>
            <w:tcW w:w="2818" w:type="dxa"/>
            <w:vMerge w:val="continue"/>
            <w:tcBorders>
              <w:tl2br w:val="nil"/>
              <w:tr2bl w:val="nil"/>
            </w:tcBorders>
            <w:shd w:val="clear" w:color="auto" w:fill="auto"/>
            <w:noWrap/>
            <w:tcMar>
              <w:top w:w="15" w:type="dxa"/>
              <w:left w:w="15" w:type="dxa"/>
              <w:right w:w="15" w:type="dxa"/>
            </w:tcMar>
            <w:vAlign w:val="center"/>
          </w:tcPr>
          <w:p w14:paraId="0714D7B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r>
      <w:tr w14:paraId="01EEA1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45C810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25</w:t>
            </w:r>
          </w:p>
        </w:tc>
        <w:tc>
          <w:tcPr>
            <w:tcW w:w="3104" w:type="dxa"/>
            <w:tcBorders>
              <w:tl2br w:val="nil"/>
              <w:tr2bl w:val="nil"/>
            </w:tcBorders>
            <w:shd w:val="clear" w:color="auto" w:fill="auto"/>
            <w:tcMar>
              <w:top w:w="15" w:type="dxa"/>
              <w:left w:w="15" w:type="dxa"/>
              <w:right w:w="15" w:type="dxa"/>
            </w:tcMar>
            <w:vAlign w:val="center"/>
          </w:tcPr>
          <w:p w14:paraId="5A39DEE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铅</w:t>
            </w:r>
          </w:p>
        </w:tc>
        <w:tc>
          <w:tcPr>
            <w:tcW w:w="1104" w:type="dxa"/>
            <w:tcBorders>
              <w:tl2br w:val="nil"/>
              <w:tr2bl w:val="nil"/>
            </w:tcBorders>
            <w:shd w:val="clear" w:color="auto" w:fill="auto"/>
            <w:tcMar>
              <w:top w:w="15" w:type="dxa"/>
              <w:left w:w="15" w:type="dxa"/>
              <w:right w:w="15" w:type="dxa"/>
            </w:tcMar>
            <w:vAlign w:val="center"/>
          </w:tcPr>
          <w:p w14:paraId="5C1E29C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top"/>
          </w:tcPr>
          <w:p w14:paraId="40B4F46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eastAsia="宋体" w:cs="Times New Roman"/>
                <w:i w:val="0"/>
                <w:color w:val="000000"/>
                <w:kern w:val="0"/>
                <w:sz w:val="22"/>
                <w:szCs w:val="22"/>
                <w:highlight w:val="none"/>
                <w:u w:val="none"/>
                <w:lang w:val="en-US" w:eastAsia="zh-CN" w:bidi="ar"/>
              </w:rPr>
              <w:t>0.1</w:t>
            </w:r>
            <w:r>
              <w:rPr>
                <w:rFonts w:hint="eastAsia" w:cs="Times New Roman"/>
                <w:i w:val="0"/>
                <w:color w:val="000000"/>
                <w:kern w:val="0"/>
                <w:sz w:val="22"/>
                <w:szCs w:val="22"/>
                <w:highlight w:val="none"/>
                <w:u w:val="none"/>
                <w:lang w:val="en-US" w:eastAsia="zh-CN" w:bidi="ar"/>
              </w:rPr>
              <w:t>0</w:t>
            </w:r>
          </w:p>
        </w:tc>
        <w:tc>
          <w:tcPr>
            <w:tcW w:w="2818" w:type="dxa"/>
            <w:vMerge w:val="continue"/>
            <w:tcBorders>
              <w:tl2br w:val="nil"/>
              <w:tr2bl w:val="nil"/>
            </w:tcBorders>
            <w:shd w:val="clear" w:color="auto" w:fill="auto"/>
            <w:noWrap/>
            <w:tcMar>
              <w:top w:w="15" w:type="dxa"/>
              <w:left w:w="15" w:type="dxa"/>
              <w:right w:w="15" w:type="dxa"/>
            </w:tcMar>
            <w:vAlign w:val="center"/>
          </w:tcPr>
          <w:p w14:paraId="310187F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r>
      <w:tr w14:paraId="59712B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70A8BB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26</w:t>
            </w:r>
          </w:p>
        </w:tc>
        <w:tc>
          <w:tcPr>
            <w:tcW w:w="3104" w:type="dxa"/>
            <w:tcBorders>
              <w:tl2br w:val="nil"/>
              <w:tr2bl w:val="nil"/>
            </w:tcBorders>
            <w:shd w:val="clear" w:color="auto" w:fill="auto"/>
            <w:tcMar>
              <w:top w:w="15" w:type="dxa"/>
              <w:left w:w="15" w:type="dxa"/>
              <w:right w:w="15" w:type="dxa"/>
            </w:tcMar>
            <w:vAlign w:val="center"/>
          </w:tcPr>
          <w:p w14:paraId="0C45DBB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镉</w:t>
            </w:r>
          </w:p>
        </w:tc>
        <w:tc>
          <w:tcPr>
            <w:tcW w:w="1104" w:type="dxa"/>
            <w:tcBorders>
              <w:tl2br w:val="nil"/>
              <w:tr2bl w:val="nil"/>
            </w:tcBorders>
            <w:shd w:val="clear" w:color="auto" w:fill="auto"/>
            <w:tcMar>
              <w:top w:w="15" w:type="dxa"/>
              <w:left w:w="15" w:type="dxa"/>
              <w:right w:w="15" w:type="dxa"/>
            </w:tcMar>
            <w:vAlign w:val="center"/>
          </w:tcPr>
          <w:p w14:paraId="5D6114D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top"/>
          </w:tcPr>
          <w:p w14:paraId="3DED5743">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eastAsia="宋体" w:cs="Times New Roman"/>
                <w:i w:val="0"/>
                <w:color w:val="000000"/>
                <w:kern w:val="0"/>
                <w:sz w:val="22"/>
                <w:szCs w:val="22"/>
                <w:highlight w:val="none"/>
                <w:u w:val="none"/>
                <w:lang w:val="en-US" w:eastAsia="zh-CN" w:bidi="ar"/>
              </w:rPr>
              <w:t>0.01</w:t>
            </w:r>
          </w:p>
        </w:tc>
        <w:tc>
          <w:tcPr>
            <w:tcW w:w="2818" w:type="dxa"/>
            <w:vMerge w:val="continue"/>
            <w:tcBorders>
              <w:tl2br w:val="nil"/>
              <w:tr2bl w:val="nil"/>
            </w:tcBorders>
            <w:shd w:val="clear" w:color="auto" w:fill="auto"/>
            <w:noWrap/>
            <w:tcMar>
              <w:top w:w="15" w:type="dxa"/>
              <w:left w:w="15" w:type="dxa"/>
              <w:right w:w="15" w:type="dxa"/>
            </w:tcMar>
            <w:vAlign w:val="center"/>
          </w:tcPr>
          <w:p w14:paraId="7A36591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r>
      <w:tr w14:paraId="4C2E49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5BD54F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27</w:t>
            </w:r>
          </w:p>
        </w:tc>
        <w:tc>
          <w:tcPr>
            <w:tcW w:w="3104" w:type="dxa"/>
            <w:tcBorders>
              <w:tl2br w:val="nil"/>
              <w:tr2bl w:val="nil"/>
            </w:tcBorders>
            <w:shd w:val="clear" w:color="auto" w:fill="auto"/>
            <w:tcMar>
              <w:top w:w="15" w:type="dxa"/>
              <w:left w:w="15" w:type="dxa"/>
              <w:right w:w="15" w:type="dxa"/>
            </w:tcMar>
            <w:vAlign w:val="center"/>
          </w:tcPr>
          <w:p w14:paraId="52D36AC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铬</w:t>
            </w:r>
            <w:r>
              <w:rPr>
                <w:rFonts w:hint="default" w:ascii="Times New Roman" w:hAnsi="Times New Roman" w:cs="Times New Roman"/>
                <w:i w:val="0"/>
                <w:color w:val="000000"/>
                <w:kern w:val="0"/>
                <w:sz w:val="21"/>
                <w:szCs w:val="21"/>
                <w:highlight w:val="none"/>
                <w:u w:val="none"/>
                <w:lang w:val="en-US" w:eastAsia="zh-CN" w:bidi="ar"/>
              </w:rPr>
              <w:t>(</w:t>
            </w:r>
            <w:r>
              <w:rPr>
                <w:rFonts w:hint="default" w:ascii="Times New Roman" w:hAnsi="Times New Roman" w:eastAsia="宋体" w:cs="Times New Roman"/>
                <w:i w:val="0"/>
                <w:color w:val="000000"/>
                <w:kern w:val="0"/>
                <w:sz w:val="21"/>
                <w:szCs w:val="21"/>
                <w:highlight w:val="none"/>
                <w:u w:val="none"/>
                <w:lang w:val="en-US" w:eastAsia="zh-CN" w:bidi="ar"/>
              </w:rPr>
              <w:t>六价</w:t>
            </w:r>
            <w:r>
              <w:rPr>
                <w:rFonts w:hint="default" w:ascii="Times New Roman" w:hAnsi="Times New Roman" w:cs="Times New Roman"/>
                <w:i w:val="0"/>
                <w:color w:val="000000"/>
                <w:kern w:val="0"/>
                <w:sz w:val="21"/>
                <w:szCs w:val="21"/>
                <w:highlight w:val="none"/>
                <w:u w:val="none"/>
                <w:lang w:val="en-US" w:eastAsia="zh-CN" w:bidi="ar"/>
              </w:rPr>
              <w:t>)</w:t>
            </w:r>
          </w:p>
        </w:tc>
        <w:tc>
          <w:tcPr>
            <w:tcW w:w="1104" w:type="dxa"/>
            <w:tcBorders>
              <w:tl2br w:val="nil"/>
              <w:tr2bl w:val="nil"/>
            </w:tcBorders>
            <w:shd w:val="clear" w:color="auto" w:fill="auto"/>
            <w:tcMar>
              <w:top w:w="15" w:type="dxa"/>
              <w:left w:w="15" w:type="dxa"/>
              <w:right w:w="15" w:type="dxa"/>
            </w:tcMar>
            <w:vAlign w:val="center"/>
          </w:tcPr>
          <w:p w14:paraId="0F0D6CB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top"/>
          </w:tcPr>
          <w:p w14:paraId="1528363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eastAsia="宋体" w:cs="Times New Roman"/>
                <w:i w:val="0"/>
                <w:color w:val="000000"/>
                <w:kern w:val="0"/>
                <w:sz w:val="22"/>
                <w:szCs w:val="22"/>
                <w:highlight w:val="none"/>
                <w:u w:val="none"/>
                <w:lang w:val="en-US" w:eastAsia="zh-CN" w:bidi="ar"/>
              </w:rPr>
              <w:t>0.1</w:t>
            </w:r>
            <w:r>
              <w:rPr>
                <w:rFonts w:hint="eastAsia" w:cs="Times New Roman"/>
                <w:i w:val="0"/>
                <w:color w:val="000000"/>
                <w:kern w:val="0"/>
                <w:sz w:val="22"/>
                <w:szCs w:val="22"/>
                <w:highlight w:val="none"/>
                <w:u w:val="none"/>
                <w:lang w:val="en-US" w:eastAsia="zh-CN" w:bidi="ar"/>
              </w:rPr>
              <w:t>0</w:t>
            </w:r>
          </w:p>
        </w:tc>
        <w:tc>
          <w:tcPr>
            <w:tcW w:w="2818" w:type="dxa"/>
            <w:vMerge w:val="continue"/>
            <w:tcBorders>
              <w:tl2br w:val="nil"/>
              <w:tr2bl w:val="nil"/>
            </w:tcBorders>
            <w:shd w:val="clear" w:color="auto" w:fill="auto"/>
            <w:noWrap/>
            <w:tcMar>
              <w:top w:w="15" w:type="dxa"/>
              <w:left w:w="15" w:type="dxa"/>
              <w:right w:w="15" w:type="dxa"/>
            </w:tcMar>
            <w:vAlign w:val="center"/>
          </w:tcPr>
          <w:p w14:paraId="0FAF46F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rPr>
            </w:pPr>
          </w:p>
        </w:tc>
      </w:tr>
      <w:tr w14:paraId="614A09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0350A1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28</w:t>
            </w:r>
          </w:p>
        </w:tc>
        <w:tc>
          <w:tcPr>
            <w:tcW w:w="3104" w:type="dxa"/>
            <w:tcBorders>
              <w:tl2br w:val="nil"/>
              <w:tr2bl w:val="nil"/>
            </w:tcBorders>
            <w:shd w:val="clear" w:color="auto" w:fill="auto"/>
            <w:tcMar>
              <w:top w:w="15" w:type="dxa"/>
              <w:left w:w="15" w:type="dxa"/>
              <w:right w:w="15" w:type="dxa"/>
            </w:tcMar>
            <w:vAlign w:val="center"/>
          </w:tcPr>
          <w:p w14:paraId="554140F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石油类</w:t>
            </w:r>
          </w:p>
        </w:tc>
        <w:tc>
          <w:tcPr>
            <w:tcW w:w="1104" w:type="dxa"/>
            <w:tcBorders>
              <w:tl2br w:val="nil"/>
              <w:tr2bl w:val="nil"/>
            </w:tcBorders>
            <w:shd w:val="clear" w:color="auto" w:fill="auto"/>
            <w:tcMar>
              <w:top w:w="15" w:type="dxa"/>
              <w:left w:w="15" w:type="dxa"/>
              <w:right w:w="15" w:type="dxa"/>
            </w:tcMar>
            <w:vAlign w:val="center"/>
          </w:tcPr>
          <w:p w14:paraId="150DE4D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eastAsia="黑体" w:cs="Times New Roman"/>
                <w:b w:val="0"/>
                <w:bCs w:val="0"/>
                <w:sz w:val="21"/>
                <w:szCs w:val="21"/>
                <w:highlight w:val="none"/>
              </w:rPr>
              <w:t>mg/</w:t>
            </w:r>
            <w:r>
              <w:rPr>
                <w:rFonts w:hint="default" w:ascii="Times New Roman" w:hAnsi="Times New Roman" w:eastAsia="黑体" w:cs="Times New Roman"/>
                <w:b w:val="0"/>
                <w:bCs w:val="0"/>
                <w:sz w:val="21"/>
                <w:szCs w:val="21"/>
                <w:highlight w:val="none"/>
                <w:lang w:val="en-US" w:eastAsia="zh-CN"/>
              </w:rPr>
              <w:t>L</w:t>
            </w:r>
          </w:p>
        </w:tc>
        <w:tc>
          <w:tcPr>
            <w:tcW w:w="1331" w:type="dxa"/>
            <w:tcBorders>
              <w:tl2br w:val="nil"/>
              <w:tr2bl w:val="nil"/>
            </w:tcBorders>
            <w:shd w:val="clear" w:color="auto" w:fill="auto"/>
            <w:noWrap/>
            <w:tcMar>
              <w:top w:w="15" w:type="dxa"/>
              <w:left w:w="15" w:type="dxa"/>
              <w:right w:w="15" w:type="dxa"/>
            </w:tcMar>
            <w:vAlign w:val="center"/>
          </w:tcPr>
          <w:p w14:paraId="040FE72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0.5</w:t>
            </w:r>
          </w:p>
        </w:tc>
        <w:tc>
          <w:tcPr>
            <w:tcW w:w="2818" w:type="dxa"/>
            <w:tcBorders>
              <w:tl2br w:val="nil"/>
              <w:tr2bl w:val="nil"/>
            </w:tcBorders>
            <w:shd w:val="clear" w:color="auto" w:fill="auto"/>
            <w:noWrap/>
            <w:tcMar>
              <w:top w:w="15" w:type="dxa"/>
              <w:left w:w="15" w:type="dxa"/>
              <w:right w:w="15" w:type="dxa"/>
            </w:tcMar>
            <w:vAlign w:val="center"/>
          </w:tcPr>
          <w:p w14:paraId="195C574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GB3838</w:t>
            </w:r>
          </w:p>
          <w:p w14:paraId="6B2B814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sz w:val="21"/>
                <w:szCs w:val="21"/>
                <w:highlight w:val="none"/>
                <w:u w:val="none"/>
                <w:lang w:val="en-US" w:eastAsia="zh-CN"/>
              </w:rPr>
            </w:pPr>
            <w:r>
              <w:rPr>
                <w:rFonts w:hint="default" w:ascii="Times New Roman" w:hAnsi="Times New Roman" w:cs="Times New Roman"/>
                <w:i w:val="0"/>
                <w:color w:val="000000"/>
                <w:sz w:val="21"/>
                <w:szCs w:val="21"/>
                <w:highlight w:val="none"/>
                <w:u w:val="none"/>
                <w:lang w:val="en-US" w:eastAsia="zh-CN"/>
              </w:rPr>
              <w:t>Ⅳ类标准</w:t>
            </w:r>
          </w:p>
        </w:tc>
      </w:tr>
      <w:tr w14:paraId="0CB71B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2D5715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29</w:t>
            </w:r>
          </w:p>
        </w:tc>
        <w:tc>
          <w:tcPr>
            <w:tcW w:w="3104" w:type="dxa"/>
            <w:tcBorders>
              <w:tl2br w:val="nil"/>
              <w:tr2bl w:val="nil"/>
            </w:tcBorders>
            <w:shd w:val="clear" w:color="auto" w:fill="auto"/>
            <w:tcMar>
              <w:top w:w="15" w:type="dxa"/>
              <w:left w:w="15" w:type="dxa"/>
              <w:right w:w="15" w:type="dxa"/>
            </w:tcMar>
            <w:vAlign w:val="center"/>
          </w:tcPr>
          <w:p w14:paraId="4B459EC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2"/>
                <w:sz w:val="21"/>
                <w:szCs w:val="21"/>
                <w:highlight w:val="none"/>
                <w:u w:val="none"/>
                <w:lang w:val="en-US" w:eastAsia="zh-CN" w:bidi="ar-SA"/>
              </w:rPr>
            </w:pPr>
            <w:r>
              <w:rPr>
                <w:rFonts w:hint="eastAsia" w:cs="Times New Roman"/>
                <w:i w:val="0"/>
                <w:color w:val="000000"/>
                <w:kern w:val="0"/>
                <w:sz w:val="21"/>
                <w:szCs w:val="21"/>
                <w:highlight w:val="none"/>
                <w:u w:val="none"/>
                <w:lang w:val="en-US" w:eastAsia="zh-CN" w:bidi="ar"/>
              </w:rPr>
              <w:t>氯仿</w:t>
            </w:r>
          </w:p>
        </w:tc>
        <w:tc>
          <w:tcPr>
            <w:tcW w:w="1104" w:type="dxa"/>
            <w:tcBorders>
              <w:tl2br w:val="nil"/>
              <w:tr2bl w:val="nil"/>
            </w:tcBorders>
            <w:shd w:val="clear" w:color="auto" w:fill="auto"/>
            <w:tcMar>
              <w:top w:w="15" w:type="dxa"/>
              <w:left w:w="15" w:type="dxa"/>
              <w:right w:w="15" w:type="dxa"/>
            </w:tcMar>
            <w:vAlign w:val="center"/>
          </w:tcPr>
          <w:p w14:paraId="4FCF27C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μg/L</w:t>
            </w:r>
          </w:p>
        </w:tc>
        <w:tc>
          <w:tcPr>
            <w:tcW w:w="1331" w:type="dxa"/>
            <w:tcBorders>
              <w:tl2br w:val="nil"/>
              <w:tr2bl w:val="nil"/>
            </w:tcBorders>
            <w:shd w:val="clear" w:color="auto" w:fill="auto"/>
            <w:noWrap/>
            <w:tcMar>
              <w:top w:w="15" w:type="dxa"/>
              <w:left w:w="15" w:type="dxa"/>
              <w:right w:w="15" w:type="dxa"/>
            </w:tcMar>
            <w:vAlign w:val="center"/>
          </w:tcPr>
          <w:p w14:paraId="42E6F11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300</w:t>
            </w:r>
          </w:p>
        </w:tc>
        <w:tc>
          <w:tcPr>
            <w:tcW w:w="2818" w:type="dxa"/>
            <w:vMerge w:val="restart"/>
            <w:tcBorders>
              <w:tl2br w:val="nil"/>
              <w:tr2bl w:val="nil"/>
            </w:tcBorders>
            <w:shd w:val="clear" w:color="auto" w:fill="auto"/>
            <w:noWrap/>
            <w:tcMar>
              <w:top w:w="15" w:type="dxa"/>
              <w:left w:w="15" w:type="dxa"/>
              <w:right w:w="15" w:type="dxa"/>
            </w:tcMar>
            <w:vAlign w:val="center"/>
          </w:tcPr>
          <w:p w14:paraId="55BD36D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i w:val="0"/>
                <w:color w:val="000000"/>
                <w:sz w:val="21"/>
                <w:szCs w:val="21"/>
                <w:highlight w:val="none"/>
                <w:u w:val="none"/>
                <w:lang w:val="en-US" w:eastAsia="zh-CN"/>
              </w:rPr>
            </w:pPr>
            <w:r>
              <w:rPr>
                <w:rFonts w:hint="default" w:ascii="Times New Roman" w:hAnsi="Times New Roman" w:cs="Times New Roman"/>
                <w:i w:val="0"/>
                <w:color w:val="000000"/>
                <w:sz w:val="21"/>
                <w:szCs w:val="21"/>
                <w:highlight w:val="none"/>
                <w:u w:val="none"/>
                <w:lang w:val="en-US" w:eastAsia="zh-CN"/>
              </w:rPr>
              <w:t>GB/T 14848</w:t>
            </w:r>
          </w:p>
          <w:p w14:paraId="7EB9375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kern w:val="2"/>
                <w:sz w:val="21"/>
                <w:szCs w:val="21"/>
                <w:highlight w:val="none"/>
                <w:u w:val="none"/>
                <w:lang w:val="en-US" w:eastAsia="zh-CN" w:bidi="ar-SA"/>
              </w:rPr>
            </w:pPr>
            <w:r>
              <w:rPr>
                <w:rFonts w:hint="default" w:ascii="Times New Roman" w:hAnsi="Times New Roman" w:cs="Times New Roman"/>
                <w:i w:val="0"/>
                <w:color w:val="000000"/>
                <w:sz w:val="21"/>
                <w:szCs w:val="21"/>
                <w:highlight w:val="none"/>
                <w:u w:val="none"/>
                <w:lang w:val="en-US" w:eastAsia="zh-CN"/>
              </w:rPr>
              <w:t>Ⅳ类标准</w:t>
            </w:r>
          </w:p>
        </w:tc>
      </w:tr>
      <w:tr w14:paraId="7EEC2E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07D5B8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30</w:t>
            </w:r>
          </w:p>
        </w:tc>
        <w:tc>
          <w:tcPr>
            <w:tcW w:w="3104" w:type="dxa"/>
            <w:tcBorders>
              <w:tl2br w:val="nil"/>
              <w:tr2bl w:val="nil"/>
            </w:tcBorders>
            <w:shd w:val="clear" w:color="auto" w:fill="auto"/>
            <w:tcMar>
              <w:top w:w="15" w:type="dxa"/>
              <w:left w:w="15" w:type="dxa"/>
              <w:right w:w="15" w:type="dxa"/>
            </w:tcMar>
            <w:vAlign w:val="center"/>
          </w:tcPr>
          <w:p w14:paraId="6C3E1E3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四氯化碳</w:t>
            </w:r>
          </w:p>
        </w:tc>
        <w:tc>
          <w:tcPr>
            <w:tcW w:w="1104" w:type="dxa"/>
            <w:tcBorders>
              <w:tl2br w:val="nil"/>
              <w:tr2bl w:val="nil"/>
            </w:tcBorders>
            <w:shd w:val="clear" w:color="auto" w:fill="auto"/>
            <w:tcMar>
              <w:top w:w="15" w:type="dxa"/>
              <w:left w:w="15" w:type="dxa"/>
              <w:right w:w="15" w:type="dxa"/>
            </w:tcMar>
            <w:vAlign w:val="center"/>
          </w:tcPr>
          <w:p w14:paraId="248EEE0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μg/L</w:t>
            </w:r>
          </w:p>
        </w:tc>
        <w:tc>
          <w:tcPr>
            <w:tcW w:w="1331" w:type="dxa"/>
            <w:tcBorders>
              <w:tl2br w:val="nil"/>
              <w:tr2bl w:val="nil"/>
            </w:tcBorders>
            <w:shd w:val="clear" w:color="auto" w:fill="auto"/>
            <w:noWrap/>
            <w:tcMar>
              <w:top w:w="15" w:type="dxa"/>
              <w:left w:w="15" w:type="dxa"/>
              <w:right w:w="15" w:type="dxa"/>
            </w:tcMar>
            <w:vAlign w:val="center"/>
          </w:tcPr>
          <w:p w14:paraId="7F294B9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50</w:t>
            </w:r>
          </w:p>
        </w:tc>
        <w:tc>
          <w:tcPr>
            <w:tcW w:w="2818" w:type="dxa"/>
            <w:vMerge w:val="continue"/>
            <w:tcBorders>
              <w:tl2br w:val="nil"/>
              <w:tr2bl w:val="nil"/>
            </w:tcBorders>
            <w:shd w:val="clear" w:color="auto" w:fill="auto"/>
            <w:noWrap/>
            <w:tcMar>
              <w:top w:w="15" w:type="dxa"/>
              <w:left w:w="15" w:type="dxa"/>
              <w:right w:w="15" w:type="dxa"/>
            </w:tcMar>
            <w:vAlign w:val="center"/>
          </w:tcPr>
          <w:p w14:paraId="32632F2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kern w:val="2"/>
                <w:sz w:val="21"/>
                <w:szCs w:val="21"/>
                <w:highlight w:val="none"/>
                <w:u w:val="none"/>
                <w:lang w:val="en-US" w:eastAsia="zh-CN" w:bidi="ar-SA"/>
              </w:rPr>
            </w:pPr>
          </w:p>
        </w:tc>
      </w:tr>
      <w:tr w14:paraId="0537F3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4F4EAAE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31</w:t>
            </w:r>
          </w:p>
        </w:tc>
        <w:tc>
          <w:tcPr>
            <w:tcW w:w="3104" w:type="dxa"/>
            <w:tcBorders>
              <w:tl2br w:val="nil"/>
              <w:tr2bl w:val="nil"/>
            </w:tcBorders>
            <w:shd w:val="clear" w:color="auto" w:fill="auto"/>
            <w:tcMar>
              <w:top w:w="15" w:type="dxa"/>
              <w:left w:w="15" w:type="dxa"/>
              <w:right w:w="15" w:type="dxa"/>
            </w:tcMar>
            <w:vAlign w:val="center"/>
          </w:tcPr>
          <w:p w14:paraId="42DEB618">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苯</w:t>
            </w:r>
          </w:p>
        </w:tc>
        <w:tc>
          <w:tcPr>
            <w:tcW w:w="1104" w:type="dxa"/>
            <w:tcBorders>
              <w:tl2br w:val="nil"/>
              <w:tr2bl w:val="nil"/>
            </w:tcBorders>
            <w:shd w:val="clear" w:color="auto" w:fill="auto"/>
            <w:tcMar>
              <w:top w:w="15" w:type="dxa"/>
              <w:left w:w="15" w:type="dxa"/>
              <w:right w:w="15" w:type="dxa"/>
            </w:tcMar>
            <w:vAlign w:val="center"/>
          </w:tcPr>
          <w:p w14:paraId="70FB9D4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μg/L</w:t>
            </w:r>
          </w:p>
        </w:tc>
        <w:tc>
          <w:tcPr>
            <w:tcW w:w="1331" w:type="dxa"/>
            <w:tcBorders>
              <w:tl2br w:val="nil"/>
              <w:tr2bl w:val="nil"/>
            </w:tcBorders>
            <w:shd w:val="clear" w:color="auto" w:fill="auto"/>
            <w:noWrap/>
            <w:tcMar>
              <w:top w:w="15" w:type="dxa"/>
              <w:left w:w="15" w:type="dxa"/>
              <w:right w:w="15" w:type="dxa"/>
            </w:tcMar>
            <w:vAlign w:val="center"/>
          </w:tcPr>
          <w:p w14:paraId="1BACE98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120</w:t>
            </w:r>
          </w:p>
        </w:tc>
        <w:tc>
          <w:tcPr>
            <w:tcW w:w="2818" w:type="dxa"/>
            <w:vMerge w:val="continue"/>
            <w:tcBorders>
              <w:tl2br w:val="nil"/>
              <w:tr2bl w:val="nil"/>
            </w:tcBorders>
            <w:shd w:val="clear" w:color="auto" w:fill="auto"/>
            <w:noWrap/>
            <w:tcMar>
              <w:top w:w="15" w:type="dxa"/>
              <w:left w:w="15" w:type="dxa"/>
              <w:right w:w="15" w:type="dxa"/>
            </w:tcMar>
            <w:vAlign w:val="center"/>
          </w:tcPr>
          <w:p w14:paraId="67CDC5A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kern w:val="2"/>
                <w:sz w:val="21"/>
                <w:szCs w:val="21"/>
                <w:highlight w:val="none"/>
                <w:u w:val="none"/>
                <w:lang w:val="en-US" w:eastAsia="zh-CN" w:bidi="ar-SA"/>
              </w:rPr>
            </w:pPr>
          </w:p>
        </w:tc>
      </w:tr>
      <w:tr w14:paraId="6E66D5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1254" w:type="dxa"/>
            <w:tcBorders>
              <w:tl2br w:val="nil"/>
              <w:tr2bl w:val="nil"/>
            </w:tcBorders>
            <w:shd w:val="clear" w:color="auto" w:fill="auto"/>
            <w:noWrap/>
            <w:tcMar>
              <w:top w:w="15" w:type="dxa"/>
              <w:left w:w="15" w:type="dxa"/>
              <w:right w:w="15" w:type="dxa"/>
            </w:tcMar>
            <w:vAlign w:val="center"/>
          </w:tcPr>
          <w:p w14:paraId="28809D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eastAsia="zh-CN"/>
              </w:rPr>
            </w:pPr>
            <w:r>
              <w:rPr>
                <w:rFonts w:hint="default" w:ascii="Times New Roman" w:hAnsi="Times New Roman" w:cs="Times New Roman"/>
                <w:i w:val="0"/>
                <w:color w:val="000000"/>
                <w:sz w:val="21"/>
                <w:szCs w:val="21"/>
                <w:highlight w:val="none"/>
                <w:u w:val="none"/>
                <w:lang w:val="en-US" w:eastAsia="zh-CN"/>
              </w:rPr>
              <w:t>32</w:t>
            </w:r>
          </w:p>
        </w:tc>
        <w:tc>
          <w:tcPr>
            <w:tcW w:w="3104" w:type="dxa"/>
            <w:tcBorders>
              <w:tl2br w:val="nil"/>
              <w:tr2bl w:val="nil"/>
            </w:tcBorders>
            <w:shd w:val="clear" w:color="auto" w:fill="auto"/>
            <w:tcMar>
              <w:top w:w="15" w:type="dxa"/>
              <w:left w:w="15" w:type="dxa"/>
              <w:right w:w="15" w:type="dxa"/>
            </w:tcMar>
            <w:vAlign w:val="center"/>
          </w:tcPr>
          <w:p w14:paraId="3D064017">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甲苯</w:t>
            </w:r>
          </w:p>
        </w:tc>
        <w:tc>
          <w:tcPr>
            <w:tcW w:w="1104" w:type="dxa"/>
            <w:tcBorders>
              <w:tl2br w:val="nil"/>
              <w:tr2bl w:val="nil"/>
            </w:tcBorders>
            <w:shd w:val="clear" w:color="auto" w:fill="auto"/>
            <w:noWrap/>
            <w:tcMar>
              <w:top w:w="15" w:type="dxa"/>
              <w:left w:w="15" w:type="dxa"/>
              <w:right w:w="15" w:type="dxa"/>
            </w:tcMar>
            <w:vAlign w:val="center"/>
          </w:tcPr>
          <w:p w14:paraId="08207BB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μg/L</w:t>
            </w:r>
          </w:p>
        </w:tc>
        <w:tc>
          <w:tcPr>
            <w:tcW w:w="1331" w:type="dxa"/>
            <w:tcBorders>
              <w:tl2br w:val="nil"/>
              <w:tr2bl w:val="nil"/>
            </w:tcBorders>
            <w:shd w:val="clear" w:color="auto" w:fill="auto"/>
            <w:noWrap/>
            <w:tcMar>
              <w:top w:w="15" w:type="dxa"/>
              <w:left w:w="15" w:type="dxa"/>
              <w:right w:w="15" w:type="dxa"/>
            </w:tcMar>
            <w:vAlign w:val="center"/>
          </w:tcPr>
          <w:p w14:paraId="2F5B3B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1400</w:t>
            </w:r>
          </w:p>
        </w:tc>
        <w:tc>
          <w:tcPr>
            <w:tcW w:w="2818" w:type="dxa"/>
            <w:vMerge w:val="continue"/>
            <w:tcBorders>
              <w:tl2br w:val="nil"/>
              <w:tr2bl w:val="nil"/>
            </w:tcBorders>
            <w:shd w:val="clear" w:color="auto" w:fill="auto"/>
            <w:noWrap/>
            <w:tcMar>
              <w:top w:w="15" w:type="dxa"/>
              <w:left w:w="15" w:type="dxa"/>
              <w:right w:w="15" w:type="dxa"/>
            </w:tcMar>
            <w:vAlign w:val="center"/>
          </w:tcPr>
          <w:p w14:paraId="48E6B11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color w:val="000000"/>
                <w:kern w:val="2"/>
                <w:sz w:val="21"/>
                <w:szCs w:val="21"/>
                <w:highlight w:val="none"/>
                <w:u w:val="none"/>
                <w:lang w:val="en-US" w:eastAsia="zh-CN" w:bidi="ar-SA"/>
              </w:rPr>
            </w:pPr>
          </w:p>
        </w:tc>
      </w:tr>
    </w:tbl>
    <w:p w14:paraId="7217E879">
      <w:pPr>
        <w:pStyle w:val="4"/>
        <w:tabs>
          <w:tab w:val="clear" w:pos="425"/>
        </w:tabs>
        <w:bidi w:val="0"/>
        <w:rPr>
          <w:rFonts w:hint="default" w:ascii="Times New Roman" w:hAnsi="Times New Roman" w:cs="Times New Roman"/>
          <w:highlight w:val="none"/>
          <w:lang w:val="en-US" w:eastAsia="zh-CN"/>
        </w:rPr>
      </w:pPr>
      <w:bookmarkStart w:id="38" w:name="_Toc84"/>
      <w:bookmarkStart w:id="39" w:name="_Toc55399882"/>
      <w:r>
        <w:rPr>
          <w:rFonts w:hint="default" w:ascii="Times New Roman" w:hAnsi="Times New Roman" w:cs="Times New Roman"/>
          <w:highlight w:val="none"/>
          <w:lang w:val="en-US" w:eastAsia="zh-CN"/>
        </w:rPr>
        <w:t>结果分析方法</w:t>
      </w:r>
      <w:bookmarkEnd w:id="38"/>
    </w:p>
    <w:p w14:paraId="624FD0D7">
      <w:pPr>
        <w:pStyle w:val="5"/>
        <w:tabs>
          <w:tab w:val="left" w:pos="425"/>
        </w:tabs>
        <w:bidi w:val="0"/>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监测结果对标分析</w:t>
      </w:r>
    </w:p>
    <w:p w14:paraId="48B1810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土壤检测结果根据表5-1-1中各点位对应的用地类型及参考标准进行评估，采用逐个比对法进行分析：</w:t>
      </w:r>
    </w:p>
    <w:p w14:paraId="5E25739C">
      <w:pPr>
        <w:pStyle w:val="31"/>
        <w:keepNext w:val="0"/>
        <w:keepLines w:val="0"/>
        <w:pageBreakBefore w:val="0"/>
        <w:widowControl w:val="0"/>
        <w:numPr>
          <w:ilvl w:val="0"/>
          <w:numId w:val="9"/>
        </w:numPr>
        <w:kinsoku/>
        <w:wordWrap/>
        <w:overflowPunct/>
        <w:topLinePunct w:val="0"/>
        <w:autoSpaceDE/>
        <w:autoSpaceDN/>
        <w:bidi w:val="0"/>
        <w:adjustRightInd/>
        <w:snapToGrid/>
        <w:spacing w:after="0"/>
        <w:ind w:firstLine="480"/>
        <w:textAlignment w:val="auto"/>
        <w:rPr>
          <w:rFonts w:hint="default" w:ascii="Times New Roman" w:hAnsi="Times New Roman" w:cs="Times New Roman" w:eastAsiaTheme="minorEastAsia"/>
          <w:bCs w:val="0"/>
          <w:highlight w:val="none"/>
        </w:rPr>
      </w:pPr>
      <w:r>
        <w:rPr>
          <w:rFonts w:hint="default" w:ascii="Times New Roman" w:hAnsi="Times New Roman" w:cs="Times New Roman" w:eastAsiaTheme="minorEastAsia"/>
          <w:bCs w:val="0"/>
          <w:highlight w:val="none"/>
        </w:rPr>
        <w:t>当样品监测值低于或等于</w:t>
      </w:r>
      <w:r>
        <w:rPr>
          <w:rFonts w:hint="default" w:ascii="Times New Roman" w:hAnsi="Times New Roman" w:cs="Times New Roman" w:eastAsiaTheme="minorEastAsia"/>
          <w:bCs w:val="0"/>
          <w:highlight w:val="none"/>
          <w:lang w:eastAsia="zh-CN"/>
        </w:rPr>
        <w:t>参考标准值时</w:t>
      </w:r>
      <w:r>
        <w:rPr>
          <w:rFonts w:hint="default" w:ascii="Times New Roman" w:hAnsi="Times New Roman" w:cs="Times New Roman" w:eastAsiaTheme="minorEastAsia"/>
          <w:bCs w:val="0"/>
          <w:highlight w:val="none"/>
        </w:rPr>
        <w:t>，则认为</w:t>
      </w:r>
      <w:r>
        <w:rPr>
          <w:rFonts w:hint="default" w:ascii="Times New Roman" w:hAnsi="Times New Roman" w:cs="Times New Roman" w:eastAsiaTheme="minorEastAsia"/>
          <w:bCs w:val="0"/>
          <w:highlight w:val="none"/>
          <w:lang w:eastAsia="zh-CN"/>
        </w:rPr>
        <w:t>达标</w:t>
      </w:r>
      <w:r>
        <w:rPr>
          <w:rFonts w:hint="default" w:ascii="Times New Roman" w:hAnsi="Times New Roman" w:cs="Times New Roman" w:eastAsiaTheme="minorEastAsia"/>
          <w:bCs w:val="0"/>
          <w:highlight w:val="none"/>
        </w:rPr>
        <w:t>；</w:t>
      </w:r>
    </w:p>
    <w:p w14:paraId="24FB1C96">
      <w:pPr>
        <w:pStyle w:val="31"/>
        <w:keepNext w:val="0"/>
        <w:keepLines w:val="0"/>
        <w:pageBreakBefore w:val="0"/>
        <w:widowControl w:val="0"/>
        <w:numPr>
          <w:ilvl w:val="0"/>
          <w:numId w:val="9"/>
        </w:numPr>
        <w:kinsoku/>
        <w:wordWrap/>
        <w:overflowPunct/>
        <w:topLinePunct w:val="0"/>
        <w:autoSpaceDE/>
        <w:autoSpaceDN/>
        <w:bidi w:val="0"/>
        <w:adjustRightInd/>
        <w:snapToGrid/>
        <w:spacing w:after="0"/>
        <w:ind w:firstLine="480"/>
        <w:textAlignment w:val="auto"/>
        <w:rPr>
          <w:rFonts w:hint="default" w:ascii="Times New Roman" w:hAnsi="Times New Roman" w:cs="Times New Roman" w:eastAsiaTheme="minorEastAsia"/>
          <w:bCs w:val="0"/>
          <w:highlight w:val="none"/>
        </w:rPr>
      </w:pPr>
      <w:r>
        <w:rPr>
          <w:rFonts w:hint="default" w:ascii="Times New Roman" w:hAnsi="Times New Roman" w:cs="Times New Roman" w:eastAsiaTheme="minorEastAsia"/>
          <w:bCs w:val="0"/>
          <w:highlight w:val="none"/>
        </w:rPr>
        <w:t>当样品监测值高于</w:t>
      </w:r>
      <w:r>
        <w:rPr>
          <w:rFonts w:hint="default" w:ascii="Times New Roman" w:hAnsi="Times New Roman" w:cs="Times New Roman" w:eastAsiaTheme="minorEastAsia"/>
          <w:bCs w:val="0"/>
          <w:highlight w:val="none"/>
          <w:lang w:eastAsia="zh-CN"/>
        </w:rPr>
        <w:t>参考标准值时</w:t>
      </w:r>
      <w:r>
        <w:rPr>
          <w:rFonts w:hint="default" w:ascii="Times New Roman" w:hAnsi="Times New Roman" w:cs="Times New Roman" w:eastAsiaTheme="minorEastAsia"/>
          <w:bCs w:val="0"/>
          <w:highlight w:val="none"/>
        </w:rPr>
        <w:t>，则认为</w:t>
      </w:r>
      <w:r>
        <w:rPr>
          <w:rFonts w:hint="default" w:ascii="Times New Roman" w:hAnsi="Times New Roman" w:cs="Times New Roman" w:eastAsiaTheme="minorEastAsia"/>
          <w:bCs w:val="0"/>
          <w:highlight w:val="none"/>
          <w:lang w:eastAsia="zh-CN"/>
        </w:rPr>
        <w:t>不达标</w:t>
      </w:r>
      <w:r>
        <w:rPr>
          <w:rFonts w:hint="default" w:ascii="Times New Roman" w:hAnsi="Times New Roman" w:cs="Times New Roman" w:eastAsiaTheme="minorEastAsia"/>
          <w:bCs w:val="0"/>
          <w:highlight w:val="none"/>
        </w:rPr>
        <w:t>。</w:t>
      </w:r>
      <w:r>
        <w:rPr>
          <w:rFonts w:hint="default" w:ascii="Times New Roman" w:hAnsi="Times New Roman" w:cs="Times New Roman" w:eastAsiaTheme="minorEastAsia"/>
          <w:bCs w:val="0"/>
          <w:highlight w:val="none"/>
          <w:lang w:eastAsia="zh-CN"/>
        </w:rPr>
        <w:t>对于</w:t>
      </w:r>
      <w:r>
        <w:rPr>
          <w:rFonts w:hint="default" w:ascii="Times New Roman" w:hAnsi="Times New Roman" w:cs="Times New Roman"/>
          <w:sz w:val="24"/>
          <w:szCs w:val="24"/>
          <w:highlight w:val="none"/>
          <w:lang w:val="en-US" w:eastAsia="zh-CN"/>
        </w:rPr>
        <w:t>超标的污染物统计其超标倍数及超标率。超标倍数及超标率公式如下：</w:t>
      </w:r>
    </w:p>
    <w:p w14:paraId="4A078D8D">
      <w:pPr>
        <w:spacing w:line="360" w:lineRule="auto"/>
        <w:ind w:firstLine="420" w:firstLineChars="0"/>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①土壤污染超标倍数=（土壤某项污染检测值-土壤环境质量标准）/土壤环境质量标准；</w:t>
      </w:r>
    </w:p>
    <w:p w14:paraId="0CC1B125">
      <w:pPr>
        <w:spacing w:line="360" w:lineRule="auto"/>
        <w:ind w:firstLine="420" w:firstLineChars="0"/>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②超标率=（土壤样品超标总数/土壤调查检测样品总数）*100%。</w:t>
      </w:r>
    </w:p>
    <w:p w14:paraId="4638B50E">
      <w:pPr>
        <w:pStyle w:val="5"/>
        <w:tabs>
          <w:tab w:val="left" w:pos="425"/>
        </w:tabs>
        <w:bidi w:val="0"/>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土壤环境质量分析</w:t>
      </w:r>
    </w:p>
    <w:p w14:paraId="046DB4C6">
      <w:pPr>
        <w:pStyle w:val="6"/>
        <w:numPr>
          <w:ilvl w:val="0"/>
          <w:numId w:val="0"/>
        </w:numPr>
        <w:spacing w:before="0" w:after="0" w:line="360" w:lineRule="auto"/>
        <w:ind w:leftChars="0"/>
        <w:jc w:val="left"/>
        <w:rPr>
          <w:rFonts w:hint="default" w:ascii="Times New Roman" w:hAnsi="Times New Roman" w:eastAsia="宋体" w:cs="Times New Roman"/>
          <w:color w:val="000000"/>
          <w:kern w:val="0"/>
          <w:sz w:val="24"/>
          <w:szCs w:val="24"/>
          <w:highlight w:val="none"/>
          <w:lang w:val="en-US" w:eastAsia="zh-CN"/>
        </w:rPr>
      </w:pPr>
      <w:r>
        <w:rPr>
          <w:rFonts w:hint="default" w:ascii="Times New Roman" w:hAnsi="Times New Roman" w:eastAsia="宋体" w:cs="Times New Roman"/>
          <w:color w:val="000000"/>
          <w:kern w:val="0"/>
          <w:sz w:val="24"/>
          <w:szCs w:val="24"/>
          <w:highlight w:val="none"/>
          <w:lang w:val="en-US" w:eastAsia="zh-CN"/>
        </w:rPr>
        <w:t>5.2.2.1 污染指数评价</w:t>
      </w:r>
    </w:p>
    <w:p w14:paraId="1AA82C6F">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20" w:firstLineChars="0"/>
        <w:jc w:val="center"/>
        <w:textAlignment w:val="auto"/>
        <w:rPr>
          <w:rFonts w:hint="default" w:ascii="Times New Roman" w:hAnsi="Times New Roman" w:cs="Times New Roman"/>
          <w:highlight w:val="none"/>
        </w:rPr>
      </w:pPr>
      <w:r>
        <w:rPr>
          <w:rFonts w:hint="default" w:ascii="Times New Roman" w:hAnsi="Times New Roman" w:cs="Times New Roman"/>
          <w:sz w:val="24"/>
          <w:szCs w:val="24"/>
          <w:highlight w:val="none"/>
          <w:lang w:val="en-US" w:eastAsia="zh-CN"/>
        </w:rPr>
        <w:t>土壤环境质量评价一般以单项污染指数为主，指数小污染轻，指数大污染则重。根据</w:t>
      </w:r>
      <w:r>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t>《</w:t>
      </w:r>
      <w:r>
        <w:rPr>
          <w:rFonts w:hint="default" w:ascii="Times New Roman" w:hAnsi="Times New Roman" w:cs="Times New Roman"/>
          <w:color w:val="000000" w:themeColor="text1"/>
          <w:kern w:val="0"/>
          <w:sz w:val="24"/>
          <w:highlight w:val="none"/>
          <w:lang w:eastAsia="zh-CN"/>
          <w14:textFill>
            <w14:solidFill>
              <w14:schemeClr w14:val="tx1"/>
            </w14:solidFill>
          </w14:textFill>
        </w:rPr>
        <w:t>全国土壤污染状况评价技术规定</w:t>
      </w:r>
      <w:r>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i w:val="0"/>
          <w:caps w:val="0"/>
          <w:color w:val="333333"/>
          <w:spacing w:val="0"/>
          <w:sz w:val="24"/>
          <w:szCs w:val="24"/>
          <w:highlight w:val="none"/>
          <w:shd w:val="clear" w:fill="FFFFFF"/>
        </w:rPr>
        <w:t>（</w:t>
      </w:r>
      <w:r>
        <w:rPr>
          <w:rFonts w:hint="default" w:ascii="Times New Roman" w:hAnsi="Times New Roman" w:cs="Times New Roman"/>
          <w:i w:val="0"/>
          <w:caps w:val="0"/>
          <w:color w:val="333333"/>
          <w:spacing w:val="0"/>
          <w:sz w:val="24"/>
          <w:szCs w:val="24"/>
          <w:highlight w:val="none"/>
          <w:shd w:val="clear" w:fill="FFFFFF"/>
          <w:lang w:eastAsia="zh-CN"/>
        </w:rPr>
        <w:t>环发</w:t>
      </w:r>
      <w:r>
        <w:rPr>
          <w:rFonts w:hint="default" w:ascii="Times New Roman" w:hAnsi="Times New Roman" w:cs="Times New Roman"/>
          <w:i w:val="0"/>
          <w:caps w:val="0"/>
          <w:color w:val="333333"/>
          <w:spacing w:val="0"/>
          <w:sz w:val="24"/>
          <w:szCs w:val="24"/>
          <w:highlight w:val="none"/>
          <w:shd w:val="clear" w:fill="FFFFFF"/>
          <w:lang w:val="en-US" w:eastAsia="zh-CN"/>
        </w:rPr>
        <w:t>[2008]39号</w:t>
      </w:r>
      <w:r>
        <w:rPr>
          <w:rFonts w:hint="default" w:ascii="Times New Roman" w:hAnsi="Times New Roman" w:eastAsia="宋体" w:cs="Times New Roman"/>
          <w:i w:val="0"/>
          <w:caps w:val="0"/>
          <w:color w:val="333333"/>
          <w:spacing w:val="0"/>
          <w:sz w:val="24"/>
          <w:szCs w:val="24"/>
          <w:highlight w:val="none"/>
          <w:shd w:val="clear" w:fill="FFFFFF"/>
        </w:rPr>
        <w:t>）</w:t>
      </w:r>
      <w:r>
        <w:rPr>
          <w:rFonts w:hint="default" w:ascii="Times New Roman" w:hAnsi="Times New Roman" w:cs="Times New Roman"/>
          <w:i w:val="0"/>
          <w:caps w:val="0"/>
          <w:color w:val="333333"/>
          <w:spacing w:val="0"/>
          <w:sz w:val="24"/>
          <w:szCs w:val="24"/>
          <w:highlight w:val="none"/>
          <w:shd w:val="clear" w:fill="FFFFFF"/>
          <w:lang w:eastAsia="zh-CN"/>
        </w:rPr>
        <w:t>，</w:t>
      </w:r>
      <w:r>
        <w:rPr>
          <w:rFonts w:hint="default" w:ascii="Times New Roman" w:hAnsi="Times New Roman" w:cs="Times New Roman"/>
          <w:sz w:val="24"/>
          <w:szCs w:val="24"/>
          <w:highlight w:val="none"/>
          <w:lang w:val="en-US" w:eastAsia="zh-CN"/>
        </w:rPr>
        <w:t>单因子污染指数的计算公式可表示为：</w:t>
      </w:r>
      <w:r>
        <w:rPr>
          <w:rFonts w:hint="default" w:ascii="Times New Roman" w:hAnsi="Times New Roman" w:cs="Times New Roman"/>
          <w:highlight w:val="none"/>
        </w:rPr>
        <w:drawing>
          <wp:inline distT="0" distB="0" distL="114300" distR="114300">
            <wp:extent cx="552450" cy="390525"/>
            <wp:effectExtent l="0" t="0" r="0" b="889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33"/>
                    <a:stretch>
                      <a:fillRect/>
                    </a:stretch>
                  </pic:blipFill>
                  <pic:spPr>
                    <a:xfrm>
                      <a:off x="0" y="0"/>
                      <a:ext cx="552450" cy="390525"/>
                    </a:xfrm>
                    <a:prstGeom prst="rect">
                      <a:avLst/>
                    </a:prstGeom>
                    <a:noFill/>
                    <a:ln>
                      <a:noFill/>
                    </a:ln>
                  </pic:spPr>
                </pic:pic>
              </a:graphicData>
            </a:graphic>
          </wp:inline>
        </w:drawing>
      </w:r>
    </w:p>
    <w:p w14:paraId="4D846BDB">
      <w:pPr>
        <w:pStyle w:val="2"/>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式中：</w:t>
      </w:r>
    </w:p>
    <w:p w14:paraId="5704A2EE">
      <w:pPr>
        <w:pStyle w:val="2"/>
        <w:numPr>
          <w:ilvl w:val="255"/>
          <w:numId w:val="0"/>
        </w:numPr>
        <w:spacing w:after="0"/>
        <w:ind w:firstLine="420"/>
        <w:rPr>
          <w:highlight w:val="none"/>
        </w:rPr>
      </w:pPr>
      <w:r>
        <w:rPr>
          <w:highlight w:val="none"/>
        </w:rPr>
        <w:t>P</w:t>
      </w:r>
      <w:r>
        <w:rPr>
          <w:highlight w:val="none"/>
          <w:vertAlign w:val="subscript"/>
        </w:rPr>
        <w:t>i</w:t>
      </w:r>
      <w:r>
        <w:rPr>
          <w:rFonts w:hint="eastAsia"/>
          <w:highlight w:val="none"/>
        </w:rPr>
        <w:t>：</w:t>
      </w:r>
      <w:r>
        <w:rPr>
          <w:highlight w:val="none"/>
        </w:rPr>
        <w:t>某评价因子的单因子污染指数，无量纲；</w:t>
      </w:r>
    </w:p>
    <w:p w14:paraId="0DA125FD">
      <w:pPr>
        <w:pStyle w:val="2"/>
        <w:numPr>
          <w:ilvl w:val="255"/>
          <w:numId w:val="0"/>
        </w:numPr>
        <w:spacing w:after="0"/>
        <w:ind w:firstLine="420"/>
        <w:rPr>
          <w:highlight w:val="none"/>
        </w:rPr>
      </w:pPr>
      <w:r>
        <w:rPr>
          <w:highlight w:val="none"/>
        </w:rPr>
        <w:t>C</w:t>
      </w:r>
      <w:r>
        <w:rPr>
          <w:highlight w:val="none"/>
          <w:vertAlign w:val="subscript"/>
        </w:rPr>
        <w:t>i</w:t>
      </w:r>
      <w:r>
        <w:rPr>
          <w:rFonts w:hint="eastAsia"/>
          <w:highlight w:val="none"/>
        </w:rPr>
        <w:t>：</w:t>
      </w:r>
      <w:r>
        <w:rPr>
          <w:highlight w:val="none"/>
        </w:rPr>
        <w:t>某评价因子的实测值，单位由实测值给出；</w:t>
      </w:r>
    </w:p>
    <w:p w14:paraId="5E6CC9AA">
      <w:pPr>
        <w:pStyle w:val="2"/>
        <w:numPr>
          <w:ilvl w:val="255"/>
          <w:numId w:val="0"/>
        </w:numPr>
        <w:spacing w:after="0"/>
        <w:ind w:firstLine="420"/>
        <w:rPr>
          <w:highlight w:val="none"/>
        </w:rPr>
      </w:pPr>
      <w:r>
        <w:rPr>
          <w:highlight w:val="none"/>
        </w:rPr>
        <w:t>C</w:t>
      </w:r>
      <w:r>
        <w:rPr>
          <w:highlight w:val="none"/>
          <w:vertAlign w:val="subscript"/>
        </w:rPr>
        <w:t>0</w:t>
      </w:r>
      <w:r>
        <w:rPr>
          <w:rFonts w:hint="eastAsia"/>
          <w:highlight w:val="none"/>
        </w:rPr>
        <w:t>：</w:t>
      </w:r>
      <w:r>
        <w:rPr>
          <w:highlight w:val="none"/>
        </w:rPr>
        <w:t>某评价因子的筛选值，单位同实测值</w:t>
      </w:r>
      <w:r>
        <w:rPr>
          <w:rFonts w:hint="eastAsia"/>
          <w:highlight w:val="none"/>
        </w:rPr>
        <w:t>。</w:t>
      </w:r>
    </w:p>
    <w:p w14:paraId="50D4304F">
      <w:pPr>
        <w:pStyle w:val="2"/>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单因子污染指数的评价标准见表5-2-1。</w:t>
      </w:r>
    </w:p>
    <w:p w14:paraId="669D2C32">
      <w:pPr>
        <w:pStyle w:val="2"/>
        <w:keepNext w:val="0"/>
        <w:keepLines w:val="0"/>
        <w:pageBreakBefore w:val="0"/>
        <w:widowControl w:val="0"/>
        <w:kinsoku/>
        <w:wordWrap/>
        <w:overflowPunct/>
        <w:topLinePunct w:val="0"/>
        <w:autoSpaceDE/>
        <w:autoSpaceDN/>
        <w:bidi w:val="0"/>
        <w:adjustRightInd/>
        <w:snapToGrid/>
        <w:spacing w:before="166" w:beforeLines="50" w:after="0" w:line="240" w:lineRule="auto"/>
        <w:jc w:val="center"/>
        <w:textAlignment w:val="auto"/>
        <w:rPr>
          <w:rFonts w:hint="default" w:ascii="Times New Roman" w:hAnsi="Times New Roman" w:cs="Times New Roman"/>
          <w:b/>
          <w:bCs/>
          <w:sz w:val="24"/>
          <w:szCs w:val="24"/>
          <w:highlight w:val="none"/>
          <w:lang w:val="en-US" w:eastAsia="zh-CN"/>
        </w:rPr>
      </w:pPr>
      <w:r>
        <w:rPr>
          <w:rFonts w:hint="default" w:ascii="Times New Roman" w:hAnsi="Times New Roman" w:cs="Times New Roman"/>
          <w:b/>
          <w:bCs/>
          <w:sz w:val="24"/>
          <w:szCs w:val="24"/>
          <w:highlight w:val="none"/>
          <w:lang w:val="en-US" w:eastAsia="zh-CN"/>
        </w:rPr>
        <w:t>表5-2-1 土壤</w:t>
      </w:r>
      <w:r>
        <w:rPr>
          <w:rFonts w:hint="eastAsia" w:cs="Times New Roman"/>
          <w:b/>
          <w:bCs/>
          <w:sz w:val="24"/>
          <w:szCs w:val="24"/>
          <w:highlight w:val="none"/>
          <w:lang w:val="en-US" w:eastAsia="zh-CN"/>
        </w:rPr>
        <w:t>单因子</w:t>
      </w:r>
      <w:r>
        <w:rPr>
          <w:rFonts w:hint="default" w:ascii="Times New Roman" w:hAnsi="Times New Roman" w:cs="Times New Roman"/>
          <w:b/>
          <w:bCs/>
          <w:sz w:val="24"/>
          <w:szCs w:val="24"/>
          <w:highlight w:val="none"/>
          <w:lang w:val="en-US" w:eastAsia="zh-CN"/>
        </w:rPr>
        <w:t>污染指数评价标准</w:t>
      </w:r>
    </w:p>
    <w:tbl>
      <w:tblPr>
        <w:tblStyle w:val="21"/>
        <w:tblW w:w="9611"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3203"/>
        <w:gridCol w:w="3204"/>
        <w:gridCol w:w="3204"/>
      </w:tblGrid>
      <w:tr w14:paraId="7A3A95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bottom w:val="single" w:color="000000" w:sz="12" w:space="0"/>
            </w:tcBorders>
            <w:shd w:val="clear" w:color="auto" w:fill="auto"/>
            <w:tcMar>
              <w:top w:w="15" w:type="dxa"/>
              <w:left w:w="15" w:type="dxa"/>
              <w:right w:w="15" w:type="dxa"/>
            </w:tcMar>
            <w:vAlign w:val="center"/>
          </w:tcPr>
          <w:p w14:paraId="156DEF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等级</w:t>
            </w:r>
          </w:p>
        </w:tc>
        <w:tc>
          <w:tcPr>
            <w:tcW w:w="3204" w:type="dxa"/>
            <w:tcBorders>
              <w:bottom w:val="single" w:color="000000" w:sz="12" w:space="0"/>
            </w:tcBorders>
            <w:shd w:val="clear" w:color="auto" w:fill="auto"/>
            <w:tcMar>
              <w:top w:w="15" w:type="dxa"/>
              <w:left w:w="15" w:type="dxa"/>
              <w:right w:w="15" w:type="dxa"/>
            </w:tcMar>
            <w:vAlign w:val="center"/>
          </w:tcPr>
          <w:p w14:paraId="5132B5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cs="Times New Roman"/>
                <w:b/>
                <w:i w:val="0"/>
                <w:color w:val="000000"/>
                <w:kern w:val="0"/>
                <w:sz w:val="21"/>
                <w:szCs w:val="21"/>
                <w:highlight w:val="none"/>
                <w:u w:val="none"/>
                <w:lang w:val="en-US" w:eastAsia="zh-CN" w:bidi="ar"/>
              </w:rPr>
              <w:t>单因子污染指数</w:t>
            </w:r>
          </w:p>
        </w:tc>
        <w:tc>
          <w:tcPr>
            <w:tcW w:w="3204" w:type="dxa"/>
            <w:tcBorders>
              <w:bottom w:val="single" w:color="000000" w:sz="12" w:space="0"/>
            </w:tcBorders>
            <w:shd w:val="clear" w:color="auto" w:fill="auto"/>
            <w:tcMar>
              <w:top w:w="15" w:type="dxa"/>
              <w:left w:w="15" w:type="dxa"/>
              <w:right w:w="15" w:type="dxa"/>
            </w:tcMar>
            <w:vAlign w:val="center"/>
          </w:tcPr>
          <w:p w14:paraId="3A0264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污染</w:t>
            </w:r>
            <w:r>
              <w:rPr>
                <w:rFonts w:hint="default" w:ascii="Times New Roman" w:hAnsi="Times New Roman" w:cs="Times New Roman"/>
                <w:b/>
                <w:i w:val="0"/>
                <w:color w:val="000000"/>
                <w:kern w:val="0"/>
                <w:sz w:val="21"/>
                <w:szCs w:val="21"/>
                <w:highlight w:val="none"/>
                <w:u w:val="none"/>
                <w:lang w:val="en-US" w:eastAsia="zh-CN" w:bidi="ar"/>
              </w:rPr>
              <w:t>程度</w:t>
            </w:r>
          </w:p>
        </w:tc>
      </w:tr>
      <w:tr w14:paraId="3FBE74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top w:val="single" w:color="000000" w:sz="12" w:space="0"/>
              <w:tl2br w:val="nil"/>
              <w:tr2bl w:val="nil"/>
            </w:tcBorders>
            <w:shd w:val="clear" w:color="auto" w:fill="auto"/>
            <w:tcMar>
              <w:top w:w="15" w:type="dxa"/>
              <w:left w:w="15" w:type="dxa"/>
              <w:right w:w="15" w:type="dxa"/>
            </w:tcMar>
            <w:vAlign w:val="center"/>
          </w:tcPr>
          <w:p w14:paraId="7630FF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Ⅰ</w:t>
            </w:r>
          </w:p>
        </w:tc>
        <w:tc>
          <w:tcPr>
            <w:tcW w:w="3204" w:type="dxa"/>
            <w:tcBorders>
              <w:top w:val="single" w:color="000000" w:sz="12" w:space="0"/>
              <w:tl2br w:val="nil"/>
              <w:tr2bl w:val="nil"/>
            </w:tcBorders>
            <w:shd w:val="clear" w:color="auto" w:fill="auto"/>
            <w:tcMar>
              <w:top w:w="15" w:type="dxa"/>
              <w:left w:w="15" w:type="dxa"/>
              <w:right w:w="15" w:type="dxa"/>
            </w:tcMar>
            <w:vAlign w:val="center"/>
          </w:tcPr>
          <w:p w14:paraId="5D49BE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P</w:t>
            </w:r>
            <w:r>
              <w:rPr>
                <w:rFonts w:hint="default" w:ascii="Times New Roman" w:hAnsi="Times New Roman" w:cs="Times New Roman"/>
                <w:i w:val="0"/>
                <w:color w:val="000000"/>
                <w:kern w:val="0"/>
                <w:sz w:val="21"/>
                <w:szCs w:val="21"/>
                <w:highlight w:val="none"/>
                <w:u w:val="none"/>
                <w:vertAlign w:val="subscript"/>
                <w:lang w:val="en-US" w:eastAsia="zh-CN" w:bidi="ar"/>
              </w:rPr>
              <w:t>i</w:t>
            </w:r>
            <w:r>
              <w:rPr>
                <w:rFonts w:hint="default" w:ascii="Times New Roman" w:hAnsi="Times New Roman" w:cs="Times New Roman"/>
                <w:i w:val="0"/>
                <w:color w:val="000000"/>
                <w:kern w:val="0"/>
                <w:sz w:val="21"/>
                <w:szCs w:val="21"/>
                <w:highlight w:val="none"/>
                <w:u w:val="none"/>
                <w:lang w:val="en-US" w:eastAsia="zh-CN" w:bidi="ar"/>
              </w:rPr>
              <w:t>＜1</w:t>
            </w:r>
          </w:p>
        </w:tc>
        <w:tc>
          <w:tcPr>
            <w:tcW w:w="3204" w:type="dxa"/>
            <w:tcBorders>
              <w:top w:val="single" w:color="000000" w:sz="12" w:space="0"/>
              <w:tl2br w:val="nil"/>
              <w:tr2bl w:val="nil"/>
            </w:tcBorders>
            <w:shd w:val="clear" w:color="auto" w:fill="auto"/>
            <w:tcMar>
              <w:top w:w="15" w:type="dxa"/>
              <w:left w:w="15" w:type="dxa"/>
              <w:right w:w="15" w:type="dxa"/>
            </w:tcMar>
            <w:vAlign w:val="center"/>
          </w:tcPr>
          <w:p w14:paraId="0F6875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无污染</w:t>
            </w:r>
          </w:p>
        </w:tc>
      </w:tr>
      <w:tr w14:paraId="49D9E8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tl2br w:val="nil"/>
              <w:tr2bl w:val="nil"/>
            </w:tcBorders>
            <w:shd w:val="clear" w:color="auto" w:fill="auto"/>
            <w:tcMar>
              <w:top w:w="15" w:type="dxa"/>
              <w:left w:w="15" w:type="dxa"/>
              <w:right w:w="15" w:type="dxa"/>
            </w:tcMar>
            <w:vAlign w:val="center"/>
          </w:tcPr>
          <w:p w14:paraId="38D385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Ⅱ</w:t>
            </w:r>
          </w:p>
        </w:tc>
        <w:tc>
          <w:tcPr>
            <w:tcW w:w="3204" w:type="dxa"/>
            <w:tcBorders>
              <w:tl2br w:val="nil"/>
              <w:tr2bl w:val="nil"/>
            </w:tcBorders>
            <w:shd w:val="clear" w:color="auto" w:fill="auto"/>
            <w:tcMar>
              <w:top w:w="15" w:type="dxa"/>
              <w:left w:w="15" w:type="dxa"/>
              <w:right w:w="15" w:type="dxa"/>
            </w:tcMar>
            <w:vAlign w:val="center"/>
          </w:tcPr>
          <w:p w14:paraId="7417A7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1＜</w:t>
            </w:r>
            <w:r>
              <w:rPr>
                <w:rFonts w:hint="default" w:ascii="Times New Roman" w:hAnsi="Times New Roman" w:eastAsia="宋体" w:cs="Times New Roman"/>
                <w:i w:val="0"/>
                <w:color w:val="000000"/>
                <w:kern w:val="0"/>
                <w:sz w:val="21"/>
                <w:szCs w:val="21"/>
                <w:highlight w:val="none"/>
                <w:u w:val="none"/>
                <w:lang w:val="en-US" w:eastAsia="zh-CN" w:bidi="ar"/>
              </w:rPr>
              <w:t>P</w:t>
            </w:r>
            <w:r>
              <w:rPr>
                <w:rFonts w:hint="default" w:ascii="Times New Roman" w:hAnsi="Times New Roman" w:cs="Times New Roman"/>
                <w:i w:val="0"/>
                <w:color w:val="000000"/>
                <w:kern w:val="0"/>
                <w:sz w:val="21"/>
                <w:szCs w:val="21"/>
                <w:highlight w:val="none"/>
                <w:u w:val="none"/>
                <w:vertAlign w:val="subscript"/>
                <w:lang w:val="en-US" w:eastAsia="zh-CN" w:bidi="ar"/>
              </w:rPr>
              <w:t>i</w:t>
            </w: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2</w:t>
            </w:r>
          </w:p>
        </w:tc>
        <w:tc>
          <w:tcPr>
            <w:tcW w:w="3204" w:type="dxa"/>
            <w:tcBorders>
              <w:tl2br w:val="nil"/>
              <w:tr2bl w:val="nil"/>
            </w:tcBorders>
            <w:shd w:val="clear" w:color="auto" w:fill="auto"/>
            <w:tcMar>
              <w:top w:w="15" w:type="dxa"/>
              <w:left w:w="15" w:type="dxa"/>
              <w:right w:w="15" w:type="dxa"/>
            </w:tcMar>
            <w:vAlign w:val="center"/>
          </w:tcPr>
          <w:p w14:paraId="49FA42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轻微污染</w:t>
            </w:r>
          </w:p>
        </w:tc>
      </w:tr>
      <w:tr w14:paraId="6AF8A1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tl2br w:val="nil"/>
              <w:tr2bl w:val="nil"/>
            </w:tcBorders>
            <w:shd w:val="clear" w:color="auto" w:fill="auto"/>
            <w:tcMar>
              <w:top w:w="15" w:type="dxa"/>
              <w:left w:w="15" w:type="dxa"/>
              <w:right w:w="15" w:type="dxa"/>
            </w:tcMar>
            <w:vAlign w:val="center"/>
          </w:tcPr>
          <w:p w14:paraId="1796AE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Ⅲ</w:t>
            </w:r>
          </w:p>
        </w:tc>
        <w:tc>
          <w:tcPr>
            <w:tcW w:w="3204" w:type="dxa"/>
            <w:tcBorders>
              <w:tl2br w:val="nil"/>
              <w:tr2bl w:val="nil"/>
            </w:tcBorders>
            <w:shd w:val="clear" w:color="auto" w:fill="auto"/>
            <w:tcMar>
              <w:top w:w="15" w:type="dxa"/>
              <w:left w:w="15" w:type="dxa"/>
              <w:right w:w="15" w:type="dxa"/>
            </w:tcMar>
            <w:vAlign w:val="center"/>
          </w:tcPr>
          <w:p w14:paraId="4FE8FA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2＜</w:t>
            </w:r>
            <w:r>
              <w:rPr>
                <w:rFonts w:hint="default" w:ascii="Times New Roman" w:hAnsi="Times New Roman" w:eastAsia="宋体" w:cs="Times New Roman"/>
                <w:i w:val="0"/>
                <w:color w:val="000000"/>
                <w:kern w:val="0"/>
                <w:sz w:val="21"/>
                <w:szCs w:val="21"/>
                <w:highlight w:val="none"/>
                <w:u w:val="none"/>
                <w:lang w:val="en-US" w:eastAsia="zh-CN" w:bidi="ar"/>
              </w:rPr>
              <w:t>P</w:t>
            </w:r>
            <w:r>
              <w:rPr>
                <w:rFonts w:hint="default" w:ascii="Times New Roman" w:hAnsi="Times New Roman" w:cs="Times New Roman"/>
                <w:i w:val="0"/>
                <w:color w:val="000000"/>
                <w:kern w:val="0"/>
                <w:sz w:val="21"/>
                <w:szCs w:val="21"/>
                <w:highlight w:val="none"/>
                <w:u w:val="none"/>
                <w:vertAlign w:val="subscript"/>
                <w:lang w:val="en-US" w:eastAsia="zh-CN" w:bidi="ar"/>
              </w:rPr>
              <w:t>i</w:t>
            </w: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3</w:t>
            </w:r>
          </w:p>
        </w:tc>
        <w:tc>
          <w:tcPr>
            <w:tcW w:w="3204" w:type="dxa"/>
            <w:tcBorders>
              <w:tl2br w:val="nil"/>
              <w:tr2bl w:val="nil"/>
            </w:tcBorders>
            <w:shd w:val="clear" w:color="auto" w:fill="auto"/>
            <w:tcMar>
              <w:top w:w="15" w:type="dxa"/>
              <w:left w:w="15" w:type="dxa"/>
              <w:right w:w="15" w:type="dxa"/>
            </w:tcMar>
            <w:vAlign w:val="center"/>
          </w:tcPr>
          <w:p w14:paraId="0ABC75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eastAsia="zh-CN"/>
              </w:rPr>
            </w:pPr>
            <w:r>
              <w:rPr>
                <w:rFonts w:hint="default" w:ascii="Times New Roman" w:hAnsi="Times New Roman" w:cs="Times New Roman"/>
                <w:i w:val="0"/>
                <w:color w:val="000000"/>
                <w:sz w:val="21"/>
                <w:szCs w:val="21"/>
                <w:highlight w:val="none"/>
                <w:u w:val="none"/>
                <w:lang w:eastAsia="zh-CN"/>
              </w:rPr>
              <w:t>轻度污染</w:t>
            </w:r>
          </w:p>
        </w:tc>
      </w:tr>
      <w:tr w14:paraId="2C1A98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90" w:hRule="atLeast"/>
          <w:jc w:val="center"/>
        </w:trPr>
        <w:tc>
          <w:tcPr>
            <w:tcW w:w="3203" w:type="dxa"/>
            <w:tcBorders>
              <w:tl2br w:val="nil"/>
              <w:tr2bl w:val="nil"/>
            </w:tcBorders>
            <w:shd w:val="clear" w:color="auto" w:fill="auto"/>
            <w:tcMar>
              <w:top w:w="15" w:type="dxa"/>
              <w:left w:w="15" w:type="dxa"/>
              <w:right w:w="15" w:type="dxa"/>
            </w:tcMar>
            <w:vAlign w:val="center"/>
          </w:tcPr>
          <w:p w14:paraId="686E5E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Ⅳ</w:t>
            </w:r>
          </w:p>
        </w:tc>
        <w:tc>
          <w:tcPr>
            <w:tcW w:w="3204" w:type="dxa"/>
            <w:tcBorders>
              <w:tl2br w:val="nil"/>
              <w:tr2bl w:val="nil"/>
            </w:tcBorders>
            <w:shd w:val="clear" w:color="auto" w:fill="auto"/>
            <w:tcMar>
              <w:top w:w="15" w:type="dxa"/>
              <w:left w:w="15" w:type="dxa"/>
              <w:right w:w="15" w:type="dxa"/>
            </w:tcMar>
            <w:vAlign w:val="center"/>
          </w:tcPr>
          <w:p w14:paraId="7C56EA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cs="Times New Roman"/>
                <w:i w:val="0"/>
                <w:color w:val="000000"/>
                <w:kern w:val="0"/>
                <w:sz w:val="21"/>
                <w:szCs w:val="21"/>
                <w:highlight w:val="none"/>
                <w:u w:val="none"/>
                <w:lang w:val="en-US" w:eastAsia="zh-CN" w:bidi="ar"/>
              </w:rPr>
              <w:t>3＜</w:t>
            </w:r>
            <w:r>
              <w:rPr>
                <w:rFonts w:hint="default" w:ascii="Times New Roman" w:hAnsi="Times New Roman" w:eastAsia="宋体" w:cs="Times New Roman"/>
                <w:i w:val="0"/>
                <w:color w:val="000000"/>
                <w:kern w:val="0"/>
                <w:sz w:val="21"/>
                <w:szCs w:val="21"/>
                <w:highlight w:val="none"/>
                <w:u w:val="none"/>
                <w:lang w:val="en-US" w:eastAsia="zh-CN" w:bidi="ar"/>
              </w:rPr>
              <w:t>P</w:t>
            </w:r>
            <w:r>
              <w:rPr>
                <w:rFonts w:hint="default" w:ascii="Times New Roman" w:hAnsi="Times New Roman" w:cs="Times New Roman"/>
                <w:i w:val="0"/>
                <w:color w:val="000000"/>
                <w:kern w:val="0"/>
                <w:sz w:val="21"/>
                <w:szCs w:val="21"/>
                <w:highlight w:val="none"/>
                <w:u w:val="none"/>
                <w:vertAlign w:val="subscript"/>
                <w:lang w:val="en-US" w:eastAsia="zh-CN" w:bidi="ar"/>
              </w:rPr>
              <w:t>i</w:t>
            </w: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5</w:t>
            </w:r>
          </w:p>
        </w:tc>
        <w:tc>
          <w:tcPr>
            <w:tcW w:w="3204" w:type="dxa"/>
            <w:tcBorders>
              <w:tl2br w:val="nil"/>
              <w:tr2bl w:val="nil"/>
            </w:tcBorders>
            <w:shd w:val="clear" w:color="auto" w:fill="auto"/>
            <w:tcMar>
              <w:top w:w="15" w:type="dxa"/>
              <w:left w:w="15" w:type="dxa"/>
              <w:right w:w="15" w:type="dxa"/>
            </w:tcMar>
            <w:vAlign w:val="center"/>
          </w:tcPr>
          <w:p w14:paraId="1BB2FC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eastAsia="zh-CN"/>
              </w:rPr>
            </w:pPr>
            <w:r>
              <w:rPr>
                <w:rFonts w:hint="default" w:ascii="Times New Roman" w:hAnsi="Times New Roman" w:cs="Times New Roman"/>
                <w:i w:val="0"/>
                <w:color w:val="000000"/>
                <w:sz w:val="21"/>
                <w:szCs w:val="21"/>
                <w:highlight w:val="none"/>
                <w:u w:val="none"/>
                <w:lang w:eastAsia="zh-CN"/>
              </w:rPr>
              <w:t>中度污染</w:t>
            </w:r>
          </w:p>
        </w:tc>
      </w:tr>
      <w:tr w14:paraId="6D2343D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tl2br w:val="nil"/>
              <w:tr2bl w:val="nil"/>
            </w:tcBorders>
            <w:shd w:val="clear" w:color="auto" w:fill="auto"/>
            <w:tcMar>
              <w:top w:w="15" w:type="dxa"/>
              <w:left w:w="15" w:type="dxa"/>
              <w:right w:w="15" w:type="dxa"/>
            </w:tcMar>
            <w:vAlign w:val="center"/>
          </w:tcPr>
          <w:p w14:paraId="64FFF9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 5 \* ROMAN \* MERGEFORMAT </w:instrText>
            </w:r>
            <w:r>
              <w:rPr>
                <w:rFonts w:hint="default" w:ascii="Times New Roman" w:hAnsi="Times New Roman" w:cs="Times New Roman"/>
                <w:color w:val="auto"/>
                <w:sz w:val="21"/>
                <w:szCs w:val="21"/>
                <w:highlight w:val="none"/>
              </w:rPr>
              <w:fldChar w:fldCharType="separate"/>
            </w:r>
            <w:r>
              <w:rPr>
                <w:rFonts w:hint="default" w:ascii="Times New Roman" w:hAnsi="Times New Roman" w:cs="Times New Roman"/>
                <w:color w:val="auto"/>
                <w:sz w:val="21"/>
                <w:szCs w:val="21"/>
                <w:highlight w:val="none"/>
              </w:rPr>
              <w:t>V</w:t>
            </w:r>
            <w:r>
              <w:rPr>
                <w:rFonts w:hint="default" w:ascii="Times New Roman" w:hAnsi="Times New Roman" w:cs="Times New Roman"/>
                <w:color w:val="auto"/>
                <w:sz w:val="21"/>
                <w:szCs w:val="21"/>
                <w:highlight w:val="none"/>
              </w:rPr>
              <w:fldChar w:fldCharType="end"/>
            </w:r>
          </w:p>
        </w:tc>
        <w:tc>
          <w:tcPr>
            <w:tcW w:w="3204" w:type="dxa"/>
            <w:tcBorders>
              <w:tl2br w:val="nil"/>
              <w:tr2bl w:val="nil"/>
            </w:tcBorders>
            <w:shd w:val="clear" w:color="auto" w:fill="auto"/>
            <w:tcMar>
              <w:top w:w="15" w:type="dxa"/>
              <w:left w:w="15" w:type="dxa"/>
              <w:right w:w="15" w:type="dxa"/>
            </w:tcMar>
            <w:vAlign w:val="center"/>
          </w:tcPr>
          <w:p w14:paraId="4AF0C1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P</w:t>
            </w:r>
            <w:r>
              <w:rPr>
                <w:rFonts w:hint="default" w:ascii="Times New Roman" w:hAnsi="Times New Roman" w:cs="Times New Roman"/>
                <w:i w:val="0"/>
                <w:color w:val="000000"/>
                <w:kern w:val="0"/>
                <w:sz w:val="21"/>
                <w:szCs w:val="21"/>
                <w:highlight w:val="none"/>
                <w:u w:val="none"/>
                <w:vertAlign w:val="subscript"/>
                <w:lang w:val="en-US" w:eastAsia="zh-CN" w:bidi="ar"/>
              </w:rPr>
              <w:t>i</w:t>
            </w:r>
            <w:r>
              <w:rPr>
                <w:rFonts w:hint="default" w:ascii="Times New Roman" w:hAnsi="Times New Roman" w:cs="Times New Roman"/>
                <w:i w:val="0"/>
                <w:color w:val="000000"/>
                <w:kern w:val="0"/>
                <w:sz w:val="21"/>
                <w:szCs w:val="21"/>
                <w:highlight w:val="none"/>
                <w:u w:val="none"/>
                <w:lang w:val="en-US" w:eastAsia="zh-CN" w:bidi="ar"/>
              </w:rPr>
              <w:t>＞5</w:t>
            </w:r>
          </w:p>
        </w:tc>
        <w:tc>
          <w:tcPr>
            <w:tcW w:w="3204" w:type="dxa"/>
            <w:tcBorders>
              <w:tl2br w:val="nil"/>
              <w:tr2bl w:val="nil"/>
            </w:tcBorders>
            <w:shd w:val="clear" w:color="auto" w:fill="auto"/>
            <w:tcMar>
              <w:top w:w="15" w:type="dxa"/>
              <w:left w:w="15" w:type="dxa"/>
              <w:right w:w="15" w:type="dxa"/>
            </w:tcMar>
            <w:vAlign w:val="center"/>
          </w:tcPr>
          <w:p w14:paraId="38EE3F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重度污染</w:t>
            </w:r>
          </w:p>
        </w:tc>
      </w:tr>
    </w:tbl>
    <w:p w14:paraId="64474C56">
      <w:pPr>
        <w:pStyle w:val="6"/>
        <w:numPr>
          <w:ilvl w:val="0"/>
          <w:numId w:val="0"/>
        </w:numPr>
        <w:spacing w:before="0" w:after="0" w:line="360" w:lineRule="auto"/>
        <w:ind w:leftChars="0"/>
        <w:jc w:val="left"/>
        <w:rPr>
          <w:rFonts w:hint="default" w:ascii="Times New Roman" w:hAnsi="Times New Roman" w:eastAsia="宋体" w:cs="Times New Roman"/>
          <w:color w:val="000000"/>
          <w:kern w:val="0"/>
          <w:sz w:val="24"/>
          <w:szCs w:val="24"/>
          <w:highlight w:val="none"/>
          <w:lang w:val="en-US" w:eastAsia="zh-CN"/>
        </w:rPr>
      </w:pPr>
      <w:r>
        <w:rPr>
          <w:rFonts w:hint="default" w:ascii="Times New Roman" w:hAnsi="Times New Roman" w:eastAsia="宋体" w:cs="Times New Roman"/>
          <w:color w:val="000000"/>
          <w:kern w:val="0"/>
          <w:sz w:val="24"/>
          <w:szCs w:val="24"/>
          <w:highlight w:val="none"/>
          <w:lang w:val="en-US" w:eastAsia="zh-CN"/>
        </w:rPr>
        <w:t>5.2.2.2内梅罗污染指数评价</w:t>
      </w:r>
    </w:p>
    <w:p w14:paraId="7D23DCD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内梅罗指数反映了各污染物对土壤的作用，</w:t>
      </w:r>
      <w:r>
        <w:rPr>
          <w:rFonts w:hint="eastAsia" w:cs="Times New Roman"/>
          <w:sz w:val="24"/>
          <w:szCs w:val="24"/>
          <w:highlight w:val="none"/>
          <w:lang w:val="en-US" w:eastAsia="zh-CN"/>
        </w:rPr>
        <w:t>同时</w:t>
      </w:r>
      <w:r>
        <w:rPr>
          <w:rFonts w:hint="default" w:ascii="Times New Roman" w:hAnsi="Times New Roman" w:cs="Times New Roman"/>
          <w:sz w:val="24"/>
          <w:szCs w:val="24"/>
          <w:highlight w:val="none"/>
          <w:lang w:eastAsia="zh-CN"/>
        </w:rPr>
        <w:t>突出了高浓度污染物对土壤环境质量的影响，可按内梅罗污染指数，划定污染等级。内梅罗指数计算公式如下：</w:t>
      </w:r>
    </w:p>
    <w:p w14:paraId="7078E059">
      <w:pPr>
        <w:ind w:firstLine="420" w:firstLineChars="0"/>
        <w:rPr>
          <w:rFonts w:hint="default" w:ascii="Times New Roman" w:hAnsi="Times New Roman" w:cs="Times New Roman"/>
          <w:sz w:val="24"/>
          <w:szCs w:val="24"/>
          <w:highlight w:val="none"/>
          <w:vertAlign w:val="superscript"/>
          <w:lang w:eastAsia="zh-CN"/>
        </w:rPr>
      </w:pPr>
      <w:r>
        <w:rPr>
          <w:rFonts w:hint="default" w:ascii="Times New Roman" w:hAnsi="Times New Roman" w:cs="Times New Roman"/>
          <w:sz w:val="24"/>
          <w:szCs w:val="24"/>
          <w:highlight w:val="none"/>
          <w:lang w:eastAsia="zh-CN"/>
        </w:rPr>
        <w:t>内梅罗污染指数（P</w:t>
      </w:r>
      <w:r>
        <w:rPr>
          <w:rFonts w:hint="default" w:ascii="Times New Roman" w:hAnsi="Times New Roman" w:cs="Times New Roman"/>
          <w:sz w:val="24"/>
          <w:szCs w:val="24"/>
          <w:highlight w:val="none"/>
          <w:vertAlign w:val="subscript"/>
          <w:lang w:eastAsia="zh-CN"/>
        </w:rPr>
        <w:t>N</w:t>
      </w:r>
      <w:r>
        <w:rPr>
          <w:rFonts w:hint="default" w:ascii="Times New Roman" w:hAnsi="Times New Roman" w:cs="Times New Roman"/>
          <w:sz w:val="24"/>
          <w:szCs w:val="24"/>
          <w:highlight w:val="none"/>
          <w:lang w:eastAsia="zh-CN"/>
        </w:rPr>
        <w:t>）= ｛［（P</w:t>
      </w:r>
      <w:r>
        <w:rPr>
          <w:rFonts w:hint="default" w:ascii="Times New Roman" w:hAnsi="Times New Roman" w:cs="Times New Roman"/>
          <w:sz w:val="24"/>
          <w:szCs w:val="24"/>
          <w:highlight w:val="none"/>
          <w:lang w:val="en-US" w:eastAsia="zh-CN"/>
        </w:rPr>
        <w:t>i</w:t>
      </w:r>
      <w:r>
        <w:rPr>
          <w:rFonts w:hint="default" w:ascii="Times New Roman" w:hAnsi="Times New Roman" w:cs="Times New Roman"/>
          <w:sz w:val="24"/>
          <w:szCs w:val="24"/>
          <w:highlight w:val="none"/>
          <w:lang w:eastAsia="zh-CN"/>
        </w:rPr>
        <w:t xml:space="preserve"> </w:t>
      </w:r>
      <w:r>
        <w:rPr>
          <w:rFonts w:hint="default" w:ascii="Times New Roman" w:hAnsi="Times New Roman" w:cs="Times New Roman"/>
          <w:sz w:val="24"/>
          <w:szCs w:val="24"/>
          <w:highlight w:val="none"/>
          <w:vertAlign w:val="subscript"/>
          <w:lang w:eastAsia="zh-CN"/>
        </w:rPr>
        <w:t>均</w:t>
      </w:r>
      <w:r>
        <w:rPr>
          <w:rFonts w:hint="default" w:ascii="Times New Roman" w:hAnsi="Times New Roman" w:cs="Times New Roman"/>
          <w:sz w:val="24"/>
          <w:szCs w:val="24"/>
          <w:highlight w:val="none"/>
          <w:vertAlign w:val="superscript"/>
          <w:lang w:eastAsia="zh-CN"/>
        </w:rPr>
        <w:t>2</w:t>
      </w:r>
      <w:r>
        <w:rPr>
          <w:rFonts w:hint="default" w:ascii="Times New Roman" w:hAnsi="Times New Roman" w:cs="Times New Roman"/>
          <w:sz w:val="24"/>
          <w:szCs w:val="24"/>
          <w:highlight w:val="none"/>
          <w:lang w:eastAsia="zh-CN"/>
        </w:rPr>
        <w:t>）+ （P</w:t>
      </w:r>
      <w:r>
        <w:rPr>
          <w:rFonts w:hint="default" w:ascii="Times New Roman" w:hAnsi="Times New Roman" w:cs="Times New Roman"/>
          <w:sz w:val="24"/>
          <w:szCs w:val="24"/>
          <w:highlight w:val="none"/>
          <w:lang w:val="en-US" w:eastAsia="zh-CN"/>
        </w:rPr>
        <w:t>i</w:t>
      </w:r>
      <w:r>
        <w:rPr>
          <w:rFonts w:hint="default" w:ascii="Times New Roman" w:hAnsi="Times New Roman" w:cs="Times New Roman"/>
          <w:sz w:val="24"/>
          <w:szCs w:val="24"/>
          <w:highlight w:val="none"/>
          <w:lang w:eastAsia="zh-CN"/>
        </w:rPr>
        <w:t xml:space="preserve"> </w:t>
      </w:r>
      <w:r>
        <w:rPr>
          <w:rFonts w:hint="default" w:ascii="Times New Roman" w:hAnsi="Times New Roman" w:cs="Times New Roman"/>
          <w:sz w:val="24"/>
          <w:szCs w:val="24"/>
          <w:highlight w:val="none"/>
          <w:vertAlign w:val="subscript"/>
          <w:lang w:eastAsia="zh-CN"/>
        </w:rPr>
        <w:t>最大</w:t>
      </w:r>
      <w:r>
        <w:rPr>
          <w:rFonts w:hint="default" w:ascii="Times New Roman" w:hAnsi="Times New Roman" w:cs="Times New Roman"/>
          <w:sz w:val="24"/>
          <w:szCs w:val="24"/>
          <w:highlight w:val="none"/>
          <w:vertAlign w:val="superscript"/>
          <w:lang w:eastAsia="zh-CN"/>
        </w:rPr>
        <w:t>2</w:t>
      </w:r>
      <w:r>
        <w:rPr>
          <w:rFonts w:hint="default" w:ascii="Times New Roman" w:hAnsi="Times New Roman" w:cs="Times New Roman"/>
          <w:sz w:val="24"/>
          <w:szCs w:val="24"/>
          <w:highlight w:val="none"/>
          <w:lang w:eastAsia="zh-CN"/>
        </w:rPr>
        <w:t>］/2｝</w:t>
      </w:r>
      <w:r>
        <w:rPr>
          <w:rFonts w:hint="default" w:ascii="Times New Roman" w:hAnsi="Times New Roman" w:cs="Times New Roman"/>
          <w:sz w:val="24"/>
          <w:szCs w:val="24"/>
          <w:highlight w:val="none"/>
          <w:vertAlign w:val="superscript"/>
          <w:lang w:eastAsia="zh-CN"/>
        </w:rPr>
        <w:t>1/2</w:t>
      </w:r>
    </w:p>
    <w:p w14:paraId="30E853F4">
      <w:pPr>
        <w:pStyle w:val="2"/>
        <w:keepNext w:val="0"/>
        <w:keepLines w:val="0"/>
        <w:pageBreakBefore w:val="0"/>
        <w:widowControl w:val="0"/>
        <w:kinsoku/>
        <w:wordWrap/>
        <w:overflowPunct/>
        <w:topLinePunct w:val="0"/>
        <w:autoSpaceDE/>
        <w:autoSpaceDN/>
        <w:bidi w:val="0"/>
        <w:adjustRightInd/>
        <w:snapToGrid/>
        <w:spacing w:after="0"/>
        <w:ind w:firstLine="420" w:firstLineChars="0"/>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式中 P</w:t>
      </w:r>
      <w:r>
        <w:rPr>
          <w:rFonts w:hint="default" w:ascii="Times New Roman" w:hAnsi="Times New Roman" w:cs="Times New Roman"/>
          <w:sz w:val="24"/>
          <w:szCs w:val="24"/>
          <w:highlight w:val="none"/>
          <w:lang w:val="en-US" w:eastAsia="zh-CN"/>
        </w:rPr>
        <w:t>i</w:t>
      </w:r>
      <w:r>
        <w:rPr>
          <w:rFonts w:hint="default" w:ascii="Times New Roman" w:hAnsi="Times New Roman" w:cs="Times New Roman"/>
          <w:sz w:val="24"/>
          <w:szCs w:val="24"/>
          <w:highlight w:val="none"/>
          <w:lang w:eastAsia="zh-CN"/>
        </w:rPr>
        <w:t xml:space="preserve"> </w:t>
      </w:r>
      <w:r>
        <w:rPr>
          <w:rFonts w:hint="default" w:ascii="Times New Roman" w:hAnsi="Times New Roman" w:cs="Times New Roman"/>
          <w:sz w:val="24"/>
          <w:szCs w:val="24"/>
          <w:highlight w:val="none"/>
          <w:vertAlign w:val="subscript"/>
          <w:lang w:eastAsia="zh-CN"/>
        </w:rPr>
        <w:t>均</w:t>
      </w:r>
      <w:r>
        <w:rPr>
          <w:rFonts w:hint="default" w:ascii="Times New Roman" w:hAnsi="Times New Roman" w:cs="Times New Roman"/>
          <w:sz w:val="24"/>
          <w:szCs w:val="24"/>
          <w:highlight w:val="none"/>
          <w:lang w:eastAsia="zh-CN"/>
        </w:rPr>
        <w:t>和 P</w:t>
      </w:r>
      <w:r>
        <w:rPr>
          <w:rFonts w:hint="default" w:ascii="Times New Roman" w:hAnsi="Times New Roman" w:cs="Times New Roman"/>
          <w:sz w:val="24"/>
          <w:szCs w:val="24"/>
          <w:highlight w:val="none"/>
          <w:lang w:val="en-US" w:eastAsia="zh-CN"/>
        </w:rPr>
        <w:t>i</w:t>
      </w:r>
      <w:r>
        <w:rPr>
          <w:rFonts w:hint="default" w:ascii="Times New Roman" w:hAnsi="Times New Roman" w:cs="Times New Roman"/>
          <w:sz w:val="24"/>
          <w:szCs w:val="24"/>
          <w:highlight w:val="none"/>
          <w:lang w:eastAsia="zh-CN"/>
        </w:rPr>
        <w:t xml:space="preserve"> </w:t>
      </w:r>
      <w:r>
        <w:rPr>
          <w:rFonts w:hint="default" w:ascii="Times New Roman" w:hAnsi="Times New Roman" w:cs="Times New Roman"/>
          <w:sz w:val="24"/>
          <w:szCs w:val="24"/>
          <w:highlight w:val="none"/>
          <w:vertAlign w:val="subscript"/>
          <w:lang w:eastAsia="zh-CN"/>
        </w:rPr>
        <w:t>最大</w:t>
      </w:r>
      <w:r>
        <w:rPr>
          <w:rFonts w:hint="default" w:ascii="Times New Roman" w:hAnsi="Times New Roman" w:cs="Times New Roman"/>
          <w:sz w:val="24"/>
          <w:szCs w:val="24"/>
          <w:highlight w:val="none"/>
          <w:lang w:eastAsia="zh-CN"/>
        </w:rPr>
        <w:t>分别是平均单项污染指数和最大单项污染指数。</w:t>
      </w:r>
    </w:p>
    <w:p w14:paraId="090168C4">
      <w:pPr>
        <w:pStyle w:val="2"/>
        <w:keepNext w:val="0"/>
        <w:keepLines w:val="0"/>
        <w:pageBreakBefore w:val="0"/>
        <w:widowControl w:val="0"/>
        <w:kinsoku/>
        <w:wordWrap/>
        <w:overflowPunct/>
        <w:topLinePunct w:val="0"/>
        <w:autoSpaceDE/>
        <w:autoSpaceDN/>
        <w:bidi w:val="0"/>
        <w:adjustRightInd/>
        <w:snapToGrid/>
        <w:spacing w:after="0"/>
        <w:ind w:firstLine="420" w:firstLineChars="0"/>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内梅罗指数土壤污染评价标准见表</w:t>
      </w:r>
      <w:r>
        <w:rPr>
          <w:rFonts w:hint="default" w:ascii="Times New Roman" w:hAnsi="Times New Roman" w:cs="Times New Roman"/>
          <w:sz w:val="24"/>
          <w:szCs w:val="24"/>
          <w:highlight w:val="none"/>
          <w:lang w:val="en-US" w:eastAsia="zh-CN"/>
        </w:rPr>
        <w:t>5-2-2</w:t>
      </w:r>
      <w:r>
        <w:rPr>
          <w:rFonts w:hint="default" w:ascii="Times New Roman" w:hAnsi="Times New Roman" w:cs="Times New Roman"/>
          <w:sz w:val="24"/>
          <w:szCs w:val="24"/>
          <w:highlight w:val="none"/>
          <w:lang w:eastAsia="zh-CN"/>
        </w:rPr>
        <w:t xml:space="preserve">。 </w:t>
      </w:r>
    </w:p>
    <w:p w14:paraId="3B3E66CF">
      <w:pPr>
        <w:pStyle w:val="2"/>
        <w:keepNext w:val="0"/>
        <w:keepLines w:val="0"/>
        <w:pageBreakBefore w:val="0"/>
        <w:widowControl w:val="0"/>
        <w:kinsoku/>
        <w:wordWrap/>
        <w:overflowPunct/>
        <w:topLinePunct w:val="0"/>
        <w:autoSpaceDE/>
        <w:autoSpaceDN/>
        <w:bidi w:val="0"/>
        <w:adjustRightInd/>
        <w:snapToGrid/>
        <w:spacing w:before="166" w:beforeLines="50" w:after="0" w:line="240" w:lineRule="auto"/>
        <w:jc w:val="center"/>
        <w:textAlignment w:val="auto"/>
        <w:rPr>
          <w:rFonts w:hint="default" w:ascii="Times New Roman" w:hAnsi="Times New Roman" w:cs="Times New Roman"/>
          <w:b/>
          <w:bCs/>
          <w:sz w:val="24"/>
          <w:szCs w:val="24"/>
          <w:highlight w:val="none"/>
          <w:lang w:val="en-US" w:eastAsia="zh-CN"/>
        </w:rPr>
      </w:pPr>
      <w:r>
        <w:rPr>
          <w:rFonts w:hint="default" w:ascii="Times New Roman" w:hAnsi="Times New Roman" w:cs="Times New Roman"/>
          <w:b/>
          <w:bCs/>
          <w:sz w:val="24"/>
          <w:szCs w:val="24"/>
          <w:highlight w:val="none"/>
          <w:lang w:val="en-US" w:eastAsia="zh-CN"/>
        </w:rPr>
        <w:t>表5-2-2 土壤内梅罗污染指数评价标准</w:t>
      </w:r>
    </w:p>
    <w:tbl>
      <w:tblPr>
        <w:tblStyle w:val="21"/>
        <w:tblW w:w="9611"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3203"/>
        <w:gridCol w:w="3204"/>
        <w:gridCol w:w="3204"/>
      </w:tblGrid>
      <w:tr w14:paraId="4FB88B1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bottom w:val="single" w:color="000000" w:sz="12" w:space="0"/>
            </w:tcBorders>
            <w:shd w:val="clear" w:color="auto" w:fill="auto"/>
            <w:tcMar>
              <w:top w:w="15" w:type="dxa"/>
              <w:left w:w="15" w:type="dxa"/>
              <w:right w:w="15" w:type="dxa"/>
            </w:tcMar>
            <w:vAlign w:val="center"/>
          </w:tcPr>
          <w:p w14:paraId="2C2C6F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等级</w:t>
            </w:r>
          </w:p>
        </w:tc>
        <w:tc>
          <w:tcPr>
            <w:tcW w:w="3204" w:type="dxa"/>
            <w:tcBorders>
              <w:bottom w:val="single" w:color="000000" w:sz="12" w:space="0"/>
            </w:tcBorders>
            <w:shd w:val="clear" w:color="auto" w:fill="auto"/>
            <w:tcMar>
              <w:top w:w="15" w:type="dxa"/>
              <w:left w:w="15" w:type="dxa"/>
              <w:right w:w="15" w:type="dxa"/>
            </w:tcMar>
            <w:vAlign w:val="center"/>
          </w:tcPr>
          <w:p w14:paraId="2D346EE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内梅罗污染指数</w:t>
            </w:r>
          </w:p>
        </w:tc>
        <w:tc>
          <w:tcPr>
            <w:tcW w:w="3204" w:type="dxa"/>
            <w:tcBorders>
              <w:bottom w:val="single" w:color="000000" w:sz="12" w:space="0"/>
            </w:tcBorders>
            <w:shd w:val="clear" w:color="auto" w:fill="auto"/>
            <w:tcMar>
              <w:top w:w="15" w:type="dxa"/>
              <w:left w:w="15" w:type="dxa"/>
              <w:right w:w="15" w:type="dxa"/>
            </w:tcMar>
            <w:vAlign w:val="center"/>
          </w:tcPr>
          <w:p w14:paraId="7F64D7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污染等级</w:t>
            </w:r>
          </w:p>
        </w:tc>
      </w:tr>
      <w:tr w14:paraId="7D3683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top w:val="single" w:color="000000" w:sz="12" w:space="0"/>
              <w:tl2br w:val="nil"/>
              <w:tr2bl w:val="nil"/>
            </w:tcBorders>
            <w:shd w:val="clear" w:color="auto" w:fill="auto"/>
            <w:tcMar>
              <w:top w:w="15" w:type="dxa"/>
              <w:left w:w="15" w:type="dxa"/>
              <w:right w:w="15" w:type="dxa"/>
            </w:tcMar>
            <w:vAlign w:val="center"/>
          </w:tcPr>
          <w:p w14:paraId="0C0CFF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Ⅰ</w:t>
            </w:r>
          </w:p>
        </w:tc>
        <w:tc>
          <w:tcPr>
            <w:tcW w:w="3204" w:type="dxa"/>
            <w:tcBorders>
              <w:top w:val="single" w:color="000000" w:sz="12" w:space="0"/>
              <w:tl2br w:val="nil"/>
              <w:tr2bl w:val="nil"/>
            </w:tcBorders>
            <w:shd w:val="clear" w:color="auto" w:fill="auto"/>
            <w:tcMar>
              <w:top w:w="15" w:type="dxa"/>
              <w:left w:w="15" w:type="dxa"/>
              <w:right w:w="15" w:type="dxa"/>
            </w:tcMar>
            <w:vAlign w:val="center"/>
          </w:tcPr>
          <w:p w14:paraId="38D3DE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P</w:t>
            </w:r>
            <w:r>
              <w:rPr>
                <w:rFonts w:hint="default" w:ascii="Times New Roman" w:hAnsi="Times New Roman" w:eastAsia="宋体" w:cs="Times New Roman"/>
                <w:i w:val="0"/>
                <w:color w:val="000000"/>
                <w:kern w:val="0"/>
                <w:sz w:val="21"/>
                <w:szCs w:val="21"/>
                <w:highlight w:val="none"/>
                <w:u w:val="none"/>
                <w:vertAlign w:val="subscript"/>
                <w:lang w:val="en-US" w:eastAsia="zh-CN" w:bidi="ar"/>
              </w:rPr>
              <w:t>N</w:t>
            </w:r>
            <w:r>
              <w:rPr>
                <w:rFonts w:hint="default" w:ascii="Times New Roman" w:hAnsi="Times New Roman" w:eastAsia="宋体" w:cs="Times New Roman"/>
                <w:i w:val="0"/>
                <w:color w:val="000000"/>
                <w:kern w:val="0"/>
                <w:sz w:val="21"/>
                <w:szCs w:val="21"/>
                <w:highlight w:val="none"/>
                <w:u w:val="none"/>
                <w:lang w:val="en-US" w:eastAsia="zh-CN" w:bidi="ar"/>
              </w:rPr>
              <w:t>≤0.7</w:t>
            </w:r>
          </w:p>
        </w:tc>
        <w:tc>
          <w:tcPr>
            <w:tcW w:w="3204" w:type="dxa"/>
            <w:tcBorders>
              <w:top w:val="single" w:color="000000" w:sz="12" w:space="0"/>
              <w:tl2br w:val="nil"/>
              <w:tr2bl w:val="nil"/>
            </w:tcBorders>
            <w:shd w:val="clear" w:color="auto" w:fill="auto"/>
            <w:tcMar>
              <w:top w:w="15" w:type="dxa"/>
              <w:left w:w="15" w:type="dxa"/>
              <w:right w:w="15" w:type="dxa"/>
            </w:tcMar>
            <w:vAlign w:val="center"/>
          </w:tcPr>
          <w:p w14:paraId="34E554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清洁（安全）</w:t>
            </w:r>
          </w:p>
        </w:tc>
      </w:tr>
      <w:tr w14:paraId="1782B6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tl2br w:val="nil"/>
              <w:tr2bl w:val="nil"/>
            </w:tcBorders>
            <w:shd w:val="clear" w:color="auto" w:fill="auto"/>
            <w:tcMar>
              <w:top w:w="15" w:type="dxa"/>
              <w:left w:w="15" w:type="dxa"/>
              <w:right w:w="15" w:type="dxa"/>
            </w:tcMar>
            <w:vAlign w:val="center"/>
          </w:tcPr>
          <w:p w14:paraId="7E7590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Ⅱ</w:t>
            </w:r>
          </w:p>
        </w:tc>
        <w:tc>
          <w:tcPr>
            <w:tcW w:w="3204" w:type="dxa"/>
            <w:tcBorders>
              <w:tl2br w:val="nil"/>
              <w:tr2bl w:val="nil"/>
            </w:tcBorders>
            <w:shd w:val="clear" w:color="auto" w:fill="auto"/>
            <w:tcMar>
              <w:top w:w="15" w:type="dxa"/>
              <w:left w:w="15" w:type="dxa"/>
              <w:right w:w="15" w:type="dxa"/>
            </w:tcMar>
            <w:vAlign w:val="center"/>
          </w:tcPr>
          <w:p w14:paraId="76F400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0.7＜</w:t>
            </w:r>
            <w:r>
              <w:rPr>
                <w:rFonts w:hint="default" w:ascii="Times New Roman" w:hAnsi="Times New Roman" w:eastAsia="宋体" w:cs="Times New Roman"/>
                <w:i w:val="0"/>
                <w:color w:val="000000"/>
                <w:kern w:val="0"/>
                <w:sz w:val="21"/>
                <w:szCs w:val="21"/>
                <w:highlight w:val="none"/>
                <w:u w:val="none"/>
                <w:lang w:val="en-US" w:eastAsia="zh-CN" w:bidi="ar"/>
              </w:rPr>
              <w:t>P</w:t>
            </w:r>
            <w:r>
              <w:rPr>
                <w:rFonts w:hint="default" w:ascii="Times New Roman" w:hAnsi="Times New Roman" w:eastAsia="宋体" w:cs="Times New Roman"/>
                <w:i w:val="0"/>
                <w:color w:val="000000"/>
                <w:kern w:val="0"/>
                <w:sz w:val="21"/>
                <w:szCs w:val="21"/>
                <w:highlight w:val="none"/>
                <w:u w:val="none"/>
                <w:vertAlign w:val="subscript"/>
                <w:lang w:val="en-US" w:eastAsia="zh-CN" w:bidi="ar"/>
              </w:rPr>
              <w:t>N</w:t>
            </w:r>
            <w:r>
              <w:rPr>
                <w:rFonts w:hint="default" w:ascii="Times New Roman" w:hAnsi="Times New Roman" w:eastAsia="宋体" w:cs="Times New Roman"/>
                <w:i w:val="0"/>
                <w:color w:val="000000"/>
                <w:kern w:val="0"/>
                <w:sz w:val="21"/>
                <w:szCs w:val="21"/>
                <w:highlight w:val="none"/>
                <w:u w:val="none"/>
                <w:lang w:val="en-US" w:eastAsia="zh-CN" w:bidi="ar"/>
              </w:rPr>
              <w:t>≤1.0</w:t>
            </w:r>
          </w:p>
        </w:tc>
        <w:tc>
          <w:tcPr>
            <w:tcW w:w="3204" w:type="dxa"/>
            <w:tcBorders>
              <w:tl2br w:val="nil"/>
              <w:tr2bl w:val="nil"/>
            </w:tcBorders>
            <w:shd w:val="clear" w:color="auto" w:fill="auto"/>
            <w:tcMar>
              <w:top w:w="15" w:type="dxa"/>
              <w:left w:w="15" w:type="dxa"/>
              <w:right w:w="15" w:type="dxa"/>
            </w:tcMar>
            <w:vAlign w:val="center"/>
          </w:tcPr>
          <w:p w14:paraId="7A8459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尚清洁（警戒线）</w:t>
            </w:r>
          </w:p>
        </w:tc>
      </w:tr>
      <w:tr w14:paraId="3945202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tl2br w:val="nil"/>
              <w:tr2bl w:val="nil"/>
            </w:tcBorders>
            <w:shd w:val="clear" w:color="auto" w:fill="auto"/>
            <w:tcMar>
              <w:top w:w="15" w:type="dxa"/>
              <w:left w:w="15" w:type="dxa"/>
              <w:right w:w="15" w:type="dxa"/>
            </w:tcMar>
            <w:vAlign w:val="center"/>
          </w:tcPr>
          <w:p w14:paraId="27628D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Ⅲ</w:t>
            </w:r>
          </w:p>
        </w:tc>
        <w:tc>
          <w:tcPr>
            <w:tcW w:w="3204" w:type="dxa"/>
            <w:tcBorders>
              <w:tl2br w:val="nil"/>
              <w:tr2bl w:val="nil"/>
            </w:tcBorders>
            <w:shd w:val="clear" w:color="auto" w:fill="auto"/>
            <w:tcMar>
              <w:top w:w="15" w:type="dxa"/>
              <w:left w:w="15" w:type="dxa"/>
              <w:right w:w="15" w:type="dxa"/>
            </w:tcMar>
            <w:vAlign w:val="center"/>
          </w:tcPr>
          <w:p w14:paraId="7FC428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1.0＜</w:t>
            </w:r>
            <w:r>
              <w:rPr>
                <w:rFonts w:hint="default" w:ascii="Times New Roman" w:hAnsi="Times New Roman" w:eastAsia="宋体" w:cs="Times New Roman"/>
                <w:i w:val="0"/>
                <w:color w:val="000000"/>
                <w:kern w:val="0"/>
                <w:sz w:val="21"/>
                <w:szCs w:val="21"/>
                <w:highlight w:val="none"/>
                <w:u w:val="none"/>
                <w:lang w:val="en-US" w:eastAsia="zh-CN" w:bidi="ar"/>
              </w:rPr>
              <w:t>P</w:t>
            </w:r>
            <w:r>
              <w:rPr>
                <w:rFonts w:hint="default" w:ascii="Times New Roman" w:hAnsi="Times New Roman" w:eastAsia="宋体" w:cs="Times New Roman"/>
                <w:i w:val="0"/>
                <w:color w:val="000000"/>
                <w:kern w:val="0"/>
                <w:sz w:val="21"/>
                <w:szCs w:val="21"/>
                <w:highlight w:val="none"/>
                <w:u w:val="none"/>
                <w:vertAlign w:val="subscript"/>
                <w:lang w:val="en-US" w:eastAsia="zh-CN" w:bidi="ar"/>
              </w:rPr>
              <w:t>N</w:t>
            </w:r>
            <w:r>
              <w:rPr>
                <w:rFonts w:hint="default" w:ascii="Times New Roman" w:hAnsi="Times New Roman" w:eastAsia="宋体" w:cs="Times New Roman"/>
                <w:i w:val="0"/>
                <w:color w:val="000000"/>
                <w:kern w:val="0"/>
                <w:sz w:val="21"/>
                <w:szCs w:val="21"/>
                <w:highlight w:val="none"/>
                <w:u w:val="none"/>
                <w:lang w:val="en-US" w:eastAsia="zh-CN" w:bidi="ar"/>
              </w:rPr>
              <w:t>≤2.0</w:t>
            </w:r>
          </w:p>
        </w:tc>
        <w:tc>
          <w:tcPr>
            <w:tcW w:w="3204" w:type="dxa"/>
            <w:tcBorders>
              <w:tl2br w:val="nil"/>
              <w:tr2bl w:val="nil"/>
            </w:tcBorders>
            <w:shd w:val="clear" w:color="auto" w:fill="auto"/>
            <w:tcMar>
              <w:top w:w="15" w:type="dxa"/>
              <w:left w:w="15" w:type="dxa"/>
              <w:right w:w="15" w:type="dxa"/>
            </w:tcMar>
            <w:vAlign w:val="center"/>
          </w:tcPr>
          <w:p w14:paraId="094DC2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轻度污染</w:t>
            </w:r>
          </w:p>
        </w:tc>
      </w:tr>
      <w:tr w14:paraId="003307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90" w:hRule="atLeast"/>
          <w:jc w:val="center"/>
        </w:trPr>
        <w:tc>
          <w:tcPr>
            <w:tcW w:w="3203" w:type="dxa"/>
            <w:tcBorders>
              <w:tl2br w:val="nil"/>
              <w:tr2bl w:val="nil"/>
            </w:tcBorders>
            <w:shd w:val="clear" w:color="auto" w:fill="auto"/>
            <w:tcMar>
              <w:top w:w="15" w:type="dxa"/>
              <w:left w:w="15" w:type="dxa"/>
              <w:right w:w="15" w:type="dxa"/>
            </w:tcMar>
            <w:vAlign w:val="center"/>
          </w:tcPr>
          <w:p w14:paraId="082342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Ⅳ</w:t>
            </w:r>
          </w:p>
        </w:tc>
        <w:tc>
          <w:tcPr>
            <w:tcW w:w="3204" w:type="dxa"/>
            <w:tcBorders>
              <w:tl2br w:val="nil"/>
              <w:tr2bl w:val="nil"/>
            </w:tcBorders>
            <w:shd w:val="clear" w:color="auto" w:fill="auto"/>
            <w:tcMar>
              <w:top w:w="15" w:type="dxa"/>
              <w:left w:w="15" w:type="dxa"/>
              <w:right w:w="15" w:type="dxa"/>
            </w:tcMar>
            <w:vAlign w:val="center"/>
          </w:tcPr>
          <w:p w14:paraId="2034187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cs="Times New Roman"/>
                <w:i w:val="0"/>
                <w:color w:val="000000"/>
                <w:kern w:val="0"/>
                <w:sz w:val="21"/>
                <w:szCs w:val="21"/>
                <w:highlight w:val="none"/>
                <w:u w:val="none"/>
                <w:lang w:val="en-US" w:eastAsia="zh-CN" w:bidi="ar"/>
              </w:rPr>
              <w:t>2.0＜</w:t>
            </w:r>
            <w:r>
              <w:rPr>
                <w:rFonts w:hint="default" w:ascii="Times New Roman" w:hAnsi="Times New Roman" w:eastAsia="宋体" w:cs="Times New Roman"/>
                <w:i w:val="0"/>
                <w:color w:val="000000"/>
                <w:kern w:val="0"/>
                <w:sz w:val="21"/>
                <w:szCs w:val="21"/>
                <w:highlight w:val="none"/>
                <w:u w:val="none"/>
                <w:lang w:val="en-US" w:eastAsia="zh-CN" w:bidi="ar"/>
              </w:rPr>
              <w:t>P</w:t>
            </w:r>
            <w:r>
              <w:rPr>
                <w:rFonts w:hint="default" w:ascii="Times New Roman" w:hAnsi="Times New Roman" w:eastAsia="宋体" w:cs="Times New Roman"/>
                <w:i w:val="0"/>
                <w:color w:val="000000"/>
                <w:kern w:val="0"/>
                <w:sz w:val="21"/>
                <w:szCs w:val="21"/>
                <w:highlight w:val="none"/>
                <w:u w:val="none"/>
                <w:vertAlign w:val="subscript"/>
                <w:lang w:val="en-US" w:eastAsia="zh-CN" w:bidi="ar"/>
              </w:rPr>
              <w:t>N</w:t>
            </w: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3.0</w:t>
            </w:r>
          </w:p>
        </w:tc>
        <w:tc>
          <w:tcPr>
            <w:tcW w:w="3204" w:type="dxa"/>
            <w:tcBorders>
              <w:tl2br w:val="nil"/>
              <w:tr2bl w:val="nil"/>
            </w:tcBorders>
            <w:shd w:val="clear" w:color="auto" w:fill="auto"/>
            <w:tcMar>
              <w:top w:w="15" w:type="dxa"/>
              <w:left w:w="15" w:type="dxa"/>
              <w:right w:w="15" w:type="dxa"/>
            </w:tcMar>
            <w:vAlign w:val="center"/>
          </w:tcPr>
          <w:p w14:paraId="1E14A7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中度污染</w:t>
            </w:r>
          </w:p>
        </w:tc>
      </w:tr>
      <w:tr w14:paraId="435375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jc w:val="center"/>
        </w:trPr>
        <w:tc>
          <w:tcPr>
            <w:tcW w:w="3203" w:type="dxa"/>
            <w:tcBorders>
              <w:tl2br w:val="nil"/>
              <w:tr2bl w:val="nil"/>
            </w:tcBorders>
            <w:shd w:val="clear" w:color="auto" w:fill="auto"/>
            <w:tcMar>
              <w:top w:w="15" w:type="dxa"/>
              <w:left w:w="15" w:type="dxa"/>
              <w:right w:w="15" w:type="dxa"/>
            </w:tcMar>
            <w:vAlign w:val="center"/>
          </w:tcPr>
          <w:p w14:paraId="625FB7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 5 \* ROMAN \* MERGEFORMAT </w:instrText>
            </w:r>
            <w:r>
              <w:rPr>
                <w:rFonts w:hint="default" w:ascii="Times New Roman" w:hAnsi="Times New Roman" w:cs="Times New Roman"/>
                <w:color w:val="auto"/>
                <w:sz w:val="21"/>
                <w:szCs w:val="21"/>
                <w:highlight w:val="none"/>
              </w:rPr>
              <w:fldChar w:fldCharType="separate"/>
            </w:r>
            <w:r>
              <w:rPr>
                <w:rFonts w:hint="default" w:ascii="Times New Roman" w:hAnsi="Times New Roman" w:cs="Times New Roman"/>
                <w:color w:val="auto"/>
                <w:sz w:val="21"/>
                <w:szCs w:val="21"/>
                <w:highlight w:val="none"/>
              </w:rPr>
              <w:t>V</w:t>
            </w:r>
            <w:r>
              <w:rPr>
                <w:rFonts w:hint="default" w:ascii="Times New Roman" w:hAnsi="Times New Roman" w:cs="Times New Roman"/>
                <w:color w:val="auto"/>
                <w:sz w:val="21"/>
                <w:szCs w:val="21"/>
                <w:highlight w:val="none"/>
              </w:rPr>
              <w:fldChar w:fldCharType="end"/>
            </w:r>
          </w:p>
        </w:tc>
        <w:tc>
          <w:tcPr>
            <w:tcW w:w="3204" w:type="dxa"/>
            <w:tcBorders>
              <w:tl2br w:val="nil"/>
              <w:tr2bl w:val="nil"/>
            </w:tcBorders>
            <w:shd w:val="clear" w:color="auto" w:fill="auto"/>
            <w:tcMar>
              <w:top w:w="15" w:type="dxa"/>
              <w:left w:w="15" w:type="dxa"/>
              <w:right w:w="15" w:type="dxa"/>
            </w:tcMar>
            <w:vAlign w:val="center"/>
          </w:tcPr>
          <w:p w14:paraId="1925E3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P</w:t>
            </w:r>
            <w:r>
              <w:rPr>
                <w:rFonts w:hint="default" w:ascii="Times New Roman" w:hAnsi="Times New Roman" w:eastAsia="宋体" w:cs="Times New Roman"/>
                <w:i w:val="0"/>
                <w:color w:val="000000"/>
                <w:kern w:val="0"/>
                <w:sz w:val="21"/>
                <w:szCs w:val="21"/>
                <w:highlight w:val="none"/>
                <w:u w:val="none"/>
                <w:vertAlign w:val="subscript"/>
                <w:lang w:val="en-US" w:eastAsia="zh-CN" w:bidi="ar"/>
              </w:rPr>
              <w:t>N</w:t>
            </w:r>
            <w:r>
              <w:rPr>
                <w:rFonts w:hint="default" w:ascii="Times New Roman" w:hAnsi="Times New Roman" w:cs="Times New Roman"/>
                <w:i w:val="0"/>
                <w:color w:val="000000"/>
                <w:kern w:val="0"/>
                <w:sz w:val="21"/>
                <w:szCs w:val="21"/>
                <w:highlight w:val="none"/>
                <w:u w:val="none"/>
                <w:lang w:val="en-US" w:eastAsia="zh-CN" w:bidi="ar"/>
              </w:rPr>
              <w:t>＞</w:t>
            </w:r>
            <w:r>
              <w:rPr>
                <w:rFonts w:hint="default" w:ascii="Times New Roman" w:hAnsi="Times New Roman" w:eastAsia="宋体" w:cs="Times New Roman"/>
                <w:i w:val="0"/>
                <w:color w:val="000000"/>
                <w:kern w:val="0"/>
                <w:sz w:val="21"/>
                <w:szCs w:val="21"/>
                <w:highlight w:val="none"/>
                <w:u w:val="none"/>
                <w:lang w:val="en-US" w:eastAsia="zh-CN" w:bidi="ar"/>
              </w:rPr>
              <w:t>0.7</w:t>
            </w:r>
          </w:p>
        </w:tc>
        <w:tc>
          <w:tcPr>
            <w:tcW w:w="3204" w:type="dxa"/>
            <w:tcBorders>
              <w:tl2br w:val="nil"/>
              <w:tr2bl w:val="nil"/>
            </w:tcBorders>
            <w:shd w:val="clear" w:color="auto" w:fill="auto"/>
            <w:tcMar>
              <w:top w:w="15" w:type="dxa"/>
              <w:left w:w="15" w:type="dxa"/>
              <w:right w:w="15" w:type="dxa"/>
            </w:tcMar>
            <w:vAlign w:val="center"/>
          </w:tcPr>
          <w:p w14:paraId="757283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重污染</w:t>
            </w:r>
          </w:p>
        </w:tc>
      </w:tr>
    </w:tbl>
    <w:p w14:paraId="4BC35833">
      <w:pPr>
        <w:pStyle w:val="4"/>
        <w:tabs>
          <w:tab w:val="left" w:leader="dot" w:pos="0"/>
          <w:tab w:val="clear" w:pos="425"/>
        </w:tabs>
        <w:rPr>
          <w:rFonts w:hint="default" w:ascii="Times New Roman" w:hAnsi="Times New Roman" w:cs="Times New Roman"/>
          <w:highlight w:val="none"/>
        </w:rPr>
      </w:pPr>
      <w:bookmarkStart w:id="40" w:name="_Toc11644"/>
      <w:r>
        <w:rPr>
          <w:rFonts w:hint="default" w:ascii="Times New Roman" w:hAnsi="Times New Roman" w:cs="Times New Roman"/>
          <w:highlight w:val="none"/>
          <w:lang w:eastAsia="zh-CN"/>
        </w:rPr>
        <w:t>监测结果对标分析</w:t>
      </w:r>
      <w:bookmarkEnd w:id="39"/>
      <w:bookmarkEnd w:id="40"/>
    </w:p>
    <w:p w14:paraId="094BF97B">
      <w:pPr>
        <w:pStyle w:val="5"/>
        <w:tabs>
          <w:tab w:val="left" w:pos="425"/>
        </w:tabs>
        <w:bidi w:val="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土壤</w:t>
      </w:r>
      <w:r>
        <w:rPr>
          <w:rStyle w:val="65"/>
          <w:rFonts w:hint="default" w:ascii="Times New Roman" w:hAnsi="Times New Roman" w:cs="Times New Roman"/>
          <w:b/>
          <w:bCs/>
          <w:highlight w:val="none"/>
          <w:lang w:eastAsia="zh-CN"/>
        </w:rPr>
        <w:t>样品检测结</w:t>
      </w:r>
      <w:r>
        <w:rPr>
          <w:rFonts w:hint="default" w:ascii="Times New Roman" w:hAnsi="Times New Roman" w:cs="Times New Roman"/>
          <w:highlight w:val="none"/>
          <w:lang w:eastAsia="zh-CN"/>
        </w:rPr>
        <w:t>果分析</w:t>
      </w:r>
    </w:p>
    <w:p w14:paraId="6B55C197">
      <w:pPr>
        <w:spacing w:line="360" w:lineRule="auto"/>
        <w:ind w:firstLine="480" w:firstLineChars="200"/>
        <w:rPr>
          <w:rFonts w:hint="default" w:ascii="Times New Roman" w:hAnsi="Times New Roman" w:eastAsia="宋体" w:cs="Times New Roman"/>
          <w:sz w:val="24"/>
          <w:highlight w:val="none"/>
          <w:lang w:val="en-US" w:eastAsia="zh-CN"/>
        </w:rPr>
      </w:pPr>
      <w:bookmarkStart w:id="41" w:name="_Toc481482864"/>
      <w:bookmarkEnd w:id="41"/>
      <w:r>
        <w:rPr>
          <w:rFonts w:hint="default" w:ascii="Times New Roman" w:hAnsi="Times New Roman" w:cs="Times New Roman"/>
          <w:sz w:val="24"/>
          <w:highlight w:val="none"/>
        </w:rPr>
        <w:t>本次调查</w:t>
      </w:r>
      <w:r>
        <w:rPr>
          <w:rFonts w:hint="default" w:ascii="Times New Roman" w:hAnsi="Times New Roman" w:cs="Times New Roman"/>
          <w:sz w:val="24"/>
          <w:highlight w:val="none"/>
          <w:lang w:eastAsia="zh-CN"/>
        </w:rPr>
        <w:t>园区</w:t>
      </w:r>
      <w:r>
        <w:rPr>
          <w:rFonts w:hint="default" w:ascii="Times New Roman" w:hAnsi="Times New Roman" w:cs="Times New Roman"/>
          <w:sz w:val="24"/>
          <w:highlight w:val="none"/>
        </w:rPr>
        <w:t>内共采集土壤样品</w:t>
      </w:r>
      <w:r>
        <w:rPr>
          <w:rFonts w:hint="default" w:ascii="Times New Roman" w:hAnsi="Times New Roman" w:cs="Times New Roman"/>
          <w:sz w:val="24"/>
          <w:highlight w:val="none"/>
          <w:lang w:val="en-US" w:eastAsia="zh-CN"/>
        </w:rPr>
        <w:t>20</w:t>
      </w:r>
      <w:r>
        <w:rPr>
          <w:rFonts w:hint="default" w:ascii="Times New Roman" w:hAnsi="Times New Roman" w:cs="Times New Roman"/>
          <w:sz w:val="24"/>
          <w:highlight w:val="none"/>
        </w:rPr>
        <w:t>个</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3个现场平行盲样及1个运输空白样品</w:t>
      </w:r>
      <w:r>
        <w:rPr>
          <w:rFonts w:hint="default" w:ascii="Times New Roman" w:hAnsi="Times New Roman" w:cs="Times New Roman"/>
          <w:sz w:val="24"/>
          <w:highlight w:val="none"/>
        </w:rPr>
        <w:t>，所有样品全部送检，测试项目包括</w:t>
      </w:r>
      <w:r>
        <w:rPr>
          <w:rFonts w:hint="default" w:ascii="Times New Roman" w:hAnsi="Times New Roman" w:cs="Times New Roman"/>
          <w:sz w:val="24"/>
          <w:highlight w:val="none"/>
          <w:lang w:eastAsia="zh-CN"/>
        </w:rPr>
        <w:t>基本项目：</w:t>
      </w:r>
      <w:r>
        <w:rPr>
          <w:rFonts w:hint="default" w:ascii="Times New Roman" w:hAnsi="Times New Roman" w:cs="Times New Roman"/>
          <w:sz w:val="24"/>
          <w:highlight w:val="none"/>
        </w:rPr>
        <w:t>pH值、</w:t>
      </w:r>
      <w:r>
        <w:rPr>
          <w:rFonts w:hint="default" w:ascii="Times New Roman" w:hAnsi="Times New Roman" w:cs="Times New Roman"/>
          <w:sz w:val="24"/>
          <w:highlight w:val="none"/>
          <w:lang w:val="en-US" w:eastAsia="zh-CN"/>
        </w:rPr>
        <w:t>重金属（9项）</w:t>
      </w:r>
      <w:r>
        <w:rPr>
          <w:rFonts w:hint="default" w:ascii="Times New Roman" w:hAnsi="Times New Roman" w:cs="Times New Roman"/>
          <w:sz w:val="24"/>
          <w:highlight w:val="none"/>
        </w:rPr>
        <w:t>、挥发性有机物</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27项</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rPr>
        <w:t>、半挥发性有机物</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11项</w:t>
      </w:r>
      <w:r>
        <w:rPr>
          <w:rFonts w:hint="default" w:ascii="Times New Roman" w:hAnsi="Times New Roman" w:cs="Times New Roman"/>
          <w:sz w:val="24"/>
          <w:highlight w:val="none"/>
          <w:lang w:eastAsia="zh-CN"/>
        </w:rPr>
        <w:t>），园区增测项目（</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钴、石油烃（C</w:t>
      </w:r>
      <w:r>
        <w:rPr>
          <w:rFonts w:hint="default" w:ascii="Times New Roman" w:hAnsi="Times New Roman" w:cs="Times New Roman"/>
          <w:color w:val="000000" w:themeColor="text1"/>
          <w:kern w:val="0"/>
          <w:sz w:val="24"/>
          <w:highlight w:val="none"/>
          <w:vertAlign w:val="subscript"/>
          <w:lang w:val="en-US" w:eastAsia="zh-CN"/>
          <w14:textFill>
            <w14:solidFill>
              <w14:schemeClr w14:val="tx1"/>
            </w14:solidFill>
          </w14:textFill>
        </w:rPr>
        <w:t>10</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-C</w:t>
      </w:r>
      <w:r>
        <w:rPr>
          <w:rFonts w:hint="default" w:ascii="Times New Roman" w:hAnsi="Times New Roman" w:cs="Times New Roman"/>
          <w:color w:val="000000" w:themeColor="text1"/>
          <w:kern w:val="0"/>
          <w:sz w:val="24"/>
          <w:highlight w:val="none"/>
          <w:vertAlign w:val="subscript"/>
          <w:lang w:val="en-US" w:eastAsia="zh-CN"/>
          <w14:textFill>
            <w14:solidFill>
              <w14:schemeClr w14:val="tx1"/>
            </w14:solidFill>
          </w14:textFill>
        </w:rPr>
        <w:t>40</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w:t>
      </w:r>
      <w:r>
        <w:rPr>
          <w:rFonts w:hint="eastAsia" w:cs="Times New Roman"/>
          <w:color w:val="000000" w:themeColor="text1"/>
          <w:kern w:val="0"/>
          <w:sz w:val="24"/>
          <w:highlight w:val="none"/>
          <w:lang w:val="en-US" w:eastAsia="zh-CN"/>
          <w14:textFill>
            <w14:solidFill>
              <w14:schemeClr w14:val="tx1"/>
            </w14:solidFill>
          </w14:textFill>
        </w:rPr>
        <w:t>总氟化物</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共</w:t>
      </w:r>
      <w:r>
        <w:rPr>
          <w:rFonts w:hint="default" w:ascii="Times New Roman" w:hAnsi="Times New Roman" w:cs="Times New Roman"/>
          <w:sz w:val="24"/>
          <w:highlight w:val="none"/>
          <w:lang w:val="en-US" w:eastAsia="zh-CN"/>
        </w:rPr>
        <w:t>3</w:t>
      </w:r>
      <w:r>
        <w:rPr>
          <w:rFonts w:hint="default" w:ascii="Times New Roman" w:hAnsi="Times New Roman" w:cs="Times New Roman"/>
          <w:sz w:val="24"/>
          <w:highlight w:val="none"/>
          <w:lang w:eastAsia="zh-CN"/>
        </w:rPr>
        <w:t>项），其它增测项目（</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二噁英、氰化物、多氯联苯（总量）、苯酚、2-甲基苯酚、4-甲基苯酚</w:t>
      </w:r>
      <w:r>
        <w:rPr>
          <w:rFonts w:hint="eastAsia" w:cs="Times New Roman"/>
          <w:color w:val="000000" w:themeColor="text1"/>
          <w:kern w:val="0"/>
          <w:sz w:val="24"/>
          <w:highlight w:val="none"/>
          <w:lang w:val="en-US" w:eastAsia="zh-CN"/>
          <w14:textFill>
            <w14:solidFill>
              <w14:schemeClr w14:val="tx1"/>
            </w14:solidFill>
          </w14:textFill>
        </w:rPr>
        <w:t>）</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rPr>
        <w:t>共计</w:t>
      </w:r>
      <w:r>
        <w:rPr>
          <w:rFonts w:hint="eastAsia" w:cs="Times New Roman"/>
          <w:sz w:val="24"/>
          <w:highlight w:val="none"/>
          <w:lang w:val="en-US" w:eastAsia="zh-CN"/>
        </w:rPr>
        <w:t>57</w:t>
      </w:r>
      <w:r>
        <w:rPr>
          <w:rFonts w:hint="default" w:ascii="Times New Roman" w:hAnsi="Times New Roman" w:cs="Times New Roman"/>
          <w:sz w:val="24"/>
          <w:highlight w:val="none"/>
        </w:rPr>
        <w:t>项</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rPr>
        <w:t>重金属检测指标除</w:t>
      </w:r>
      <w:r>
        <w:rPr>
          <w:rFonts w:hint="default" w:ascii="Times New Roman" w:hAnsi="Times New Roman" w:cs="Times New Roman"/>
          <w:sz w:val="24"/>
          <w:highlight w:val="none"/>
          <w:lang w:eastAsia="zh-CN"/>
        </w:rPr>
        <w:t>铬（六价）</w:t>
      </w:r>
      <w:r>
        <w:rPr>
          <w:rFonts w:hint="default" w:ascii="Times New Roman" w:hAnsi="Times New Roman" w:cs="Times New Roman"/>
          <w:sz w:val="24"/>
          <w:highlight w:val="none"/>
        </w:rPr>
        <w:t>外均有检出，</w:t>
      </w:r>
      <w:r>
        <w:rPr>
          <w:rFonts w:hint="eastAsia"/>
          <w:highlight w:val="none"/>
        </w:rPr>
        <w:t>所有土壤样品的</w:t>
      </w:r>
      <w:r>
        <w:rPr>
          <w:rFonts w:hint="default" w:ascii="Times New Roman" w:hAnsi="Times New Roman" w:cs="Times New Roman"/>
          <w:sz w:val="24"/>
          <w:highlight w:val="none"/>
        </w:rPr>
        <w:t>挥发性和半挥发性有机物测试指标均未检出。</w:t>
      </w:r>
      <w:r>
        <w:rPr>
          <w:rFonts w:hint="default" w:ascii="Times New Roman" w:hAnsi="Times New Roman" w:cs="Times New Roman"/>
          <w:sz w:val="24"/>
          <w:highlight w:val="none"/>
          <w:lang w:eastAsia="zh-CN"/>
        </w:rPr>
        <w:t>本节在检测结果统计分析时仅对</w:t>
      </w:r>
      <w:r>
        <w:rPr>
          <w:rFonts w:hint="default" w:ascii="Times New Roman" w:hAnsi="Times New Roman" w:cs="Times New Roman"/>
          <w:sz w:val="24"/>
          <w:highlight w:val="none"/>
          <w:lang w:val="en-US" w:eastAsia="zh-CN"/>
        </w:rPr>
        <w:t>20</w:t>
      </w:r>
      <w:r>
        <w:rPr>
          <w:rFonts w:hint="eastAsia"/>
          <w:highlight w:val="none"/>
        </w:rPr>
        <w:t>个土壤</w:t>
      </w:r>
      <w:r>
        <w:rPr>
          <w:highlight w:val="none"/>
        </w:rPr>
        <w:t>样品</w:t>
      </w:r>
      <w:r>
        <w:rPr>
          <w:rFonts w:hint="eastAsia"/>
          <w:highlight w:val="none"/>
        </w:rPr>
        <w:t>（</w:t>
      </w:r>
      <w:r>
        <w:rPr>
          <w:rFonts w:hint="eastAsia"/>
          <w:highlight w:val="none"/>
          <w:lang w:eastAsia="zh-CN"/>
        </w:rPr>
        <w:t>不含质控样品</w:t>
      </w:r>
      <w:r>
        <w:rPr>
          <w:rFonts w:hint="eastAsia"/>
          <w:highlight w:val="none"/>
        </w:rPr>
        <w:t>）</w:t>
      </w:r>
      <w:r>
        <w:rPr>
          <w:rFonts w:hint="default" w:ascii="Times New Roman" w:hAnsi="Times New Roman" w:cs="Times New Roman"/>
          <w:sz w:val="24"/>
          <w:highlight w:val="none"/>
          <w:lang w:val="en-US" w:eastAsia="zh-CN"/>
        </w:rPr>
        <w:t>进行分析。</w:t>
      </w:r>
    </w:p>
    <w:p w14:paraId="6436409E">
      <w:pPr>
        <w:numPr>
          <w:ilvl w:val="0"/>
          <w:numId w:val="10"/>
        </w:numPr>
        <w:bidi w:val="0"/>
        <w:ind w:left="0" w:leftChars="0" w:firstLine="420" w:firstLineChars="0"/>
        <w:rPr>
          <w:rFonts w:hint="default" w:ascii="Times New Roman" w:hAnsi="Times New Roman" w:cs="Times New Roman"/>
          <w:b/>
          <w:bCs/>
          <w:highlight w:val="none"/>
          <w:lang w:val="en-US" w:eastAsia="zh-CN"/>
        </w:rPr>
      </w:pPr>
      <w:r>
        <w:rPr>
          <w:rFonts w:hint="default" w:ascii="Times New Roman" w:hAnsi="Times New Roman" w:cs="Times New Roman"/>
          <w:b/>
          <w:bCs/>
          <w:highlight w:val="none"/>
          <w:lang w:val="en-US" w:eastAsia="zh-CN"/>
        </w:rPr>
        <w:t>pH值</w:t>
      </w:r>
    </w:p>
    <w:p w14:paraId="1CD26C74">
      <w:pPr>
        <w:spacing w:line="360" w:lineRule="auto"/>
        <w:jc w:val="left"/>
        <w:rPr>
          <w:rFonts w:hint="default" w:ascii="Times New Roman" w:hAnsi="Times New Roman" w:eastAsia="黑体" w:cs="Times New Roman"/>
          <w:b/>
          <w:bCs/>
          <w:color w:val="000000"/>
          <w:sz w:val="24"/>
          <w:highlight w:val="none"/>
          <w:lang w:val="en-US"/>
        </w:rPr>
      </w:pPr>
      <w:r>
        <w:rPr>
          <w:rFonts w:hint="default" w:ascii="Times New Roman" w:hAnsi="Times New Roman" w:cs="Times New Roman"/>
          <w:highlight w:val="none"/>
          <w:lang w:val="en-US" w:eastAsia="zh-CN"/>
        </w:rPr>
        <w:tab/>
      </w:r>
      <w:r>
        <w:rPr>
          <w:rFonts w:hint="default" w:ascii="Times New Roman" w:hAnsi="Times New Roman" w:cs="Times New Roman"/>
          <w:sz w:val="24"/>
          <w:highlight w:val="none"/>
        </w:rPr>
        <w:t>检测结果显示，</w:t>
      </w:r>
      <w:r>
        <w:rPr>
          <w:rFonts w:hint="default" w:ascii="Times New Roman" w:hAnsi="Times New Roman" w:cs="Times New Roman"/>
          <w:sz w:val="24"/>
          <w:highlight w:val="none"/>
          <w:lang w:eastAsia="zh-CN"/>
        </w:rPr>
        <w:t>园区</w:t>
      </w:r>
      <w:r>
        <w:rPr>
          <w:rFonts w:hint="default" w:ascii="Times New Roman" w:hAnsi="Times New Roman" w:cs="Times New Roman"/>
          <w:sz w:val="24"/>
          <w:highlight w:val="none"/>
        </w:rPr>
        <w:t>内</w:t>
      </w:r>
      <w:r>
        <w:rPr>
          <w:rFonts w:hint="default" w:ascii="Times New Roman" w:hAnsi="Times New Roman" w:cs="Times New Roman"/>
          <w:sz w:val="24"/>
          <w:highlight w:val="none"/>
          <w:lang w:val="en-US" w:eastAsia="zh-CN"/>
        </w:rPr>
        <w:t>20</w:t>
      </w:r>
      <w:r>
        <w:rPr>
          <w:rFonts w:hint="default" w:ascii="Times New Roman" w:hAnsi="Times New Roman" w:cs="Times New Roman"/>
          <w:sz w:val="24"/>
          <w:highlight w:val="none"/>
        </w:rPr>
        <w:t>个</w:t>
      </w:r>
      <w:r>
        <w:rPr>
          <w:rFonts w:hint="eastAsia"/>
          <w:highlight w:val="none"/>
        </w:rPr>
        <w:t>土壤</w:t>
      </w:r>
      <w:r>
        <w:rPr>
          <w:highlight w:val="none"/>
        </w:rPr>
        <w:t>样品</w:t>
      </w:r>
      <w:r>
        <w:rPr>
          <w:rFonts w:hint="eastAsia"/>
          <w:highlight w:val="none"/>
        </w:rPr>
        <w:t>（</w:t>
      </w:r>
      <w:r>
        <w:rPr>
          <w:rFonts w:hint="eastAsia"/>
          <w:highlight w:val="none"/>
          <w:lang w:eastAsia="zh-CN"/>
        </w:rPr>
        <w:t>不含质控样品</w:t>
      </w:r>
      <w:r>
        <w:rPr>
          <w:rFonts w:hint="eastAsia"/>
          <w:highlight w:val="none"/>
        </w:rPr>
        <w:t>）</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pH值区间为5.2</w:t>
      </w:r>
      <w:r>
        <w:rPr>
          <w:rFonts w:hint="eastAsia" w:cs="Times New Roman"/>
          <w:sz w:val="24"/>
          <w:highlight w:val="none"/>
          <w:lang w:val="en-US" w:eastAsia="zh-CN"/>
        </w:rPr>
        <w:t>0</w:t>
      </w:r>
      <w:r>
        <w:rPr>
          <w:rFonts w:hint="default" w:ascii="Times New Roman" w:hAnsi="Times New Roman" w:cs="Times New Roman"/>
          <w:sz w:val="24"/>
          <w:highlight w:val="none"/>
          <w:lang w:val="en-US" w:eastAsia="zh-CN"/>
        </w:rPr>
        <w:t>~8.73，平均值为7.30。具体监测值见表5-3-1。</w:t>
      </w:r>
    </w:p>
    <w:p w14:paraId="452206B3">
      <w:pPr>
        <w:spacing w:line="240" w:lineRule="auto"/>
        <w:jc w:val="center"/>
        <w:rPr>
          <w:rFonts w:hint="default" w:ascii="Times New Roman" w:hAnsi="Times New Roman" w:eastAsia="黑体" w:cs="Times New Roman"/>
          <w:b/>
          <w:bCs/>
          <w:color w:val="000000"/>
          <w:sz w:val="24"/>
          <w:highlight w:val="none"/>
        </w:rPr>
      </w:pPr>
      <w:r>
        <w:rPr>
          <w:rFonts w:hint="default" w:ascii="Times New Roman" w:hAnsi="Times New Roman" w:eastAsia="黑体" w:cs="Times New Roman"/>
          <w:b/>
          <w:bCs/>
          <w:color w:val="000000"/>
          <w:sz w:val="24"/>
          <w:highlight w:val="none"/>
        </w:rPr>
        <w:t>表5-</w:t>
      </w:r>
      <w:r>
        <w:rPr>
          <w:rFonts w:hint="default" w:ascii="Times New Roman" w:hAnsi="Times New Roman" w:eastAsia="黑体" w:cs="Times New Roman"/>
          <w:b/>
          <w:bCs/>
          <w:color w:val="000000"/>
          <w:sz w:val="24"/>
          <w:highlight w:val="none"/>
          <w:lang w:val="en-US" w:eastAsia="zh-CN"/>
        </w:rPr>
        <w:t>3</w:t>
      </w:r>
      <w:r>
        <w:rPr>
          <w:rFonts w:hint="default" w:ascii="Times New Roman" w:hAnsi="Times New Roman" w:eastAsia="黑体" w:cs="Times New Roman"/>
          <w:b/>
          <w:bCs/>
          <w:color w:val="000000"/>
          <w:sz w:val="24"/>
          <w:highlight w:val="none"/>
        </w:rPr>
        <w:t>-1 土壤样品</w:t>
      </w:r>
      <w:r>
        <w:rPr>
          <w:rFonts w:hint="default" w:ascii="Times New Roman" w:hAnsi="Times New Roman" w:eastAsia="黑体" w:cs="Times New Roman"/>
          <w:b/>
          <w:bCs/>
          <w:color w:val="000000"/>
          <w:sz w:val="24"/>
          <w:highlight w:val="none"/>
          <w:lang w:val="en-US" w:eastAsia="zh-CN"/>
        </w:rPr>
        <w:t>pH</w:t>
      </w:r>
      <w:r>
        <w:rPr>
          <w:rFonts w:hint="default" w:ascii="Times New Roman" w:hAnsi="Times New Roman" w:eastAsia="黑体" w:cs="Times New Roman"/>
          <w:b/>
          <w:bCs/>
          <w:color w:val="000000"/>
          <w:sz w:val="24"/>
          <w:highlight w:val="none"/>
        </w:rPr>
        <w:t>值</w:t>
      </w:r>
      <w:r>
        <w:rPr>
          <w:rFonts w:hint="default" w:ascii="Times New Roman" w:hAnsi="Times New Roman" w:eastAsia="黑体" w:cs="Times New Roman"/>
          <w:b/>
          <w:bCs/>
          <w:color w:val="000000"/>
          <w:sz w:val="24"/>
          <w:highlight w:val="none"/>
          <w:lang w:eastAsia="zh-CN"/>
        </w:rPr>
        <w:t>监测值</w:t>
      </w:r>
    </w:p>
    <w:tbl>
      <w:tblPr>
        <w:tblStyle w:val="21"/>
        <w:tblW w:w="4993"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0" w:type="dxa"/>
          <w:bottom w:w="0" w:type="dxa"/>
          <w:right w:w="0" w:type="dxa"/>
        </w:tblCellMar>
      </w:tblPr>
      <w:tblGrid>
        <w:gridCol w:w="1904"/>
        <w:gridCol w:w="2751"/>
        <w:gridCol w:w="3036"/>
        <w:gridCol w:w="1907"/>
      </w:tblGrid>
      <w:tr w14:paraId="5A6DF9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tblHeader/>
          <w:jc w:val="center"/>
        </w:trPr>
        <w:tc>
          <w:tcPr>
            <w:tcW w:w="992" w:type="pct"/>
            <w:tcBorders>
              <w:bottom w:val="single" w:color="000000" w:sz="12" w:space="0"/>
            </w:tcBorders>
            <w:shd w:val="clear" w:color="auto" w:fill="auto"/>
            <w:noWrap/>
            <w:tcMar>
              <w:top w:w="15" w:type="dxa"/>
              <w:left w:w="15" w:type="dxa"/>
              <w:right w:w="15" w:type="dxa"/>
            </w:tcMar>
            <w:vAlign w:val="center"/>
          </w:tcPr>
          <w:p w14:paraId="13AF8B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序号</w:t>
            </w:r>
          </w:p>
        </w:tc>
        <w:tc>
          <w:tcPr>
            <w:tcW w:w="1433" w:type="pct"/>
            <w:tcBorders>
              <w:bottom w:val="single" w:color="000000" w:sz="12" w:space="0"/>
            </w:tcBorders>
            <w:shd w:val="clear" w:color="auto" w:fill="auto"/>
            <w:noWrap/>
            <w:tcMar>
              <w:top w:w="15" w:type="dxa"/>
              <w:left w:w="15" w:type="dxa"/>
              <w:right w:w="15" w:type="dxa"/>
            </w:tcMar>
            <w:vAlign w:val="center"/>
          </w:tcPr>
          <w:p w14:paraId="0C9A61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样品编号</w:t>
            </w:r>
          </w:p>
        </w:tc>
        <w:tc>
          <w:tcPr>
            <w:tcW w:w="1580" w:type="pct"/>
            <w:tcBorders>
              <w:bottom w:val="single" w:color="000000" w:sz="12" w:space="0"/>
            </w:tcBorders>
            <w:shd w:val="clear" w:color="auto" w:fill="auto"/>
            <w:noWrap/>
            <w:tcMar>
              <w:top w:w="15" w:type="dxa"/>
              <w:left w:w="15" w:type="dxa"/>
              <w:right w:w="15" w:type="dxa"/>
            </w:tcMar>
            <w:vAlign w:val="center"/>
          </w:tcPr>
          <w:p w14:paraId="7A1BC3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kern w:val="0"/>
                <w:sz w:val="21"/>
                <w:szCs w:val="21"/>
                <w:highlight w:val="none"/>
                <w:u w:val="none"/>
                <w:lang w:val="en-US" w:eastAsia="zh-CN" w:bidi="ar"/>
              </w:rPr>
            </w:pPr>
            <w:r>
              <w:rPr>
                <w:rFonts w:hint="eastAsia" w:cs="Times New Roman"/>
                <w:b/>
                <w:i w:val="0"/>
                <w:color w:val="000000"/>
                <w:kern w:val="0"/>
                <w:sz w:val="21"/>
                <w:szCs w:val="21"/>
                <w:highlight w:val="none"/>
                <w:u w:val="none"/>
                <w:lang w:val="en-US" w:eastAsia="zh-CN" w:bidi="ar"/>
              </w:rPr>
              <w:t>点位位置</w:t>
            </w:r>
          </w:p>
        </w:tc>
        <w:tc>
          <w:tcPr>
            <w:tcW w:w="993" w:type="pct"/>
            <w:tcBorders>
              <w:bottom w:val="single" w:color="000000" w:sz="12" w:space="0"/>
            </w:tcBorders>
            <w:shd w:val="clear" w:color="auto" w:fill="auto"/>
            <w:noWrap/>
            <w:tcMar>
              <w:top w:w="15" w:type="dxa"/>
              <w:left w:w="15" w:type="dxa"/>
              <w:right w:w="15" w:type="dxa"/>
            </w:tcMar>
            <w:vAlign w:val="center"/>
          </w:tcPr>
          <w:p w14:paraId="18845E2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pH值</w:t>
            </w:r>
          </w:p>
        </w:tc>
      </w:tr>
      <w:tr w14:paraId="7F2D00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992" w:type="pct"/>
            <w:tcBorders>
              <w:top w:val="single" w:color="000000" w:sz="12" w:space="0"/>
              <w:tl2br w:val="nil"/>
              <w:tr2bl w:val="nil"/>
            </w:tcBorders>
            <w:shd w:val="clear" w:color="auto" w:fill="auto"/>
            <w:noWrap/>
            <w:tcMar>
              <w:top w:w="15" w:type="dxa"/>
              <w:left w:w="15" w:type="dxa"/>
              <w:right w:w="15" w:type="dxa"/>
            </w:tcMar>
            <w:vAlign w:val="center"/>
          </w:tcPr>
          <w:p w14:paraId="4CC66A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w:t>
            </w:r>
          </w:p>
        </w:tc>
        <w:tc>
          <w:tcPr>
            <w:tcW w:w="1433" w:type="pct"/>
            <w:tcBorders>
              <w:top w:val="single" w:color="000000" w:sz="12" w:space="0"/>
              <w:tl2br w:val="nil"/>
              <w:tr2bl w:val="nil"/>
            </w:tcBorders>
            <w:shd w:val="clear" w:color="auto" w:fill="auto"/>
            <w:noWrap/>
            <w:tcMar>
              <w:top w:w="15" w:type="dxa"/>
              <w:left w:w="15" w:type="dxa"/>
              <w:right w:w="15" w:type="dxa"/>
            </w:tcMar>
            <w:vAlign w:val="center"/>
          </w:tcPr>
          <w:p w14:paraId="7D06AF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HR-1-75</w:t>
            </w:r>
          </w:p>
        </w:tc>
        <w:tc>
          <w:tcPr>
            <w:tcW w:w="1580" w:type="pct"/>
            <w:tcBorders>
              <w:top w:val="single" w:color="000000" w:sz="12" w:space="0"/>
              <w:tl2br w:val="nil"/>
              <w:tr2bl w:val="nil"/>
            </w:tcBorders>
            <w:shd w:val="clear" w:color="auto" w:fill="auto"/>
            <w:noWrap/>
            <w:tcMar>
              <w:top w:w="15" w:type="dxa"/>
              <w:left w:w="15" w:type="dxa"/>
              <w:right w:w="15" w:type="dxa"/>
            </w:tcMar>
            <w:vAlign w:val="center"/>
          </w:tcPr>
          <w:p w14:paraId="3226DC27">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园区边界西侧下风向75m</w:t>
            </w:r>
          </w:p>
        </w:tc>
        <w:tc>
          <w:tcPr>
            <w:tcW w:w="993" w:type="pct"/>
            <w:tcBorders>
              <w:top w:val="single" w:color="000000" w:sz="12" w:space="0"/>
              <w:tl2br w:val="nil"/>
              <w:tr2bl w:val="nil"/>
            </w:tcBorders>
            <w:shd w:val="clear" w:color="auto" w:fill="auto"/>
            <w:noWrap/>
            <w:tcMar>
              <w:top w:w="15" w:type="dxa"/>
              <w:left w:w="15" w:type="dxa"/>
              <w:right w:w="15" w:type="dxa"/>
            </w:tcMar>
            <w:vAlign w:val="center"/>
          </w:tcPr>
          <w:p w14:paraId="514637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7.84</w:t>
            </w:r>
          </w:p>
        </w:tc>
      </w:tr>
      <w:tr w14:paraId="60EAC6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992" w:type="pct"/>
            <w:tcBorders>
              <w:tl2br w:val="nil"/>
              <w:tr2bl w:val="nil"/>
            </w:tcBorders>
            <w:shd w:val="clear" w:color="auto" w:fill="auto"/>
            <w:noWrap/>
            <w:tcMar>
              <w:top w:w="15" w:type="dxa"/>
              <w:left w:w="15" w:type="dxa"/>
              <w:right w:w="15" w:type="dxa"/>
            </w:tcMar>
            <w:vAlign w:val="center"/>
          </w:tcPr>
          <w:p w14:paraId="287701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w:t>
            </w:r>
          </w:p>
        </w:tc>
        <w:tc>
          <w:tcPr>
            <w:tcW w:w="1433" w:type="pct"/>
            <w:tcBorders>
              <w:tl2br w:val="nil"/>
              <w:tr2bl w:val="nil"/>
            </w:tcBorders>
            <w:shd w:val="clear" w:color="auto" w:fill="auto"/>
            <w:noWrap/>
            <w:tcMar>
              <w:top w:w="15" w:type="dxa"/>
              <w:left w:w="15" w:type="dxa"/>
              <w:right w:w="15" w:type="dxa"/>
            </w:tcMar>
            <w:vAlign w:val="center"/>
          </w:tcPr>
          <w:p w14:paraId="0E9B87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HR-1-200</w:t>
            </w:r>
          </w:p>
        </w:tc>
        <w:tc>
          <w:tcPr>
            <w:tcW w:w="1580" w:type="pct"/>
            <w:tcBorders>
              <w:tl2br w:val="nil"/>
              <w:tr2bl w:val="nil"/>
            </w:tcBorders>
            <w:shd w:val="clear" w:color="auto" w:fill="auto"/>
            <w:noWrap/>
            <w:tcMar>
              <w:top w:w="15" w:type="dxa"/>
              <w:left w:w="15" w:type="dxa"/>
              <w:right w:w="15" w:type="dxa"/>
            </w:tcMar>
            <w:vAlign w:val="center"/>
          </w:tcPr>
          <w:p w14:paraId="05E0F868">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园区边界西侧下风向200m</w:t>
            </w:r>
          </w:p>
        </w:tc>
        <w:tc>
          <w:tcPr>
            <w:tcW w:w="993" w:type="pct"/>
            <w:tcBorders>
              <w:tl2br w:val="nil"/>
              <w:tr2bl w:val="nil"/>
            </w:tcBorders>
            <w:shd w:val="clear" w:color="auto" w:fill="auto"/>
            <w:noWrap/>
            <w:tcMar>
              <w:top w:w="15" w:type="dxa"/>
              <w:left w:w="15" w:type="dxa"/>
              <w:right w:w="15" w:type="dxa"/>
            </w:tcMar>
            <w:vAlign w:val="center"/>
          </w:tcPr>
          <w:p w14:paraId="6056D9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7.79</w:t>
            </w:r>
          </w:p>
        </w:tc>
      </w:tr>
      <w:tr w14:paraId="3E071E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992" w:type="pct"/>
            <w:tcBorders>
              <w:tl2br w:val="nil"/>
              <w:tr2bl w:val="nil"/>
            </w:tcBorders>
            <w:shd w:val="clear" w:color="auto" w:fill="auto"/>
            <w:noWrap/>
            <w:tcMar>
              <w:top w:w="15" w:type="dxa"/>
              <w:left w:w="15" w:type="dxa"/>
              <w:right w:w="15" w:type="dxa"/>
            </w:tcMar>
            <w:vAlign w:val="center"/>
          </w:tcPr>
          <w:p w14:paraId="0C9561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w:t>
            </w:r>
          </w:p>
        </w:tc>
        <w:tc>
          <w:tcPr>
            <w:tcW w:w="1433" w:type="pct"/>
            <w:tcBorders>
              <w:tl2br w:val="nil"/>
              <w:tr2bl w:val="nil"/>
            </w:tcBorders>
            <w:shd w:val="clear" w:color="auto" w:fill="auto"/>
            <w:noWrap/>
            <w:tcMar>
              <w:top w:w="15" w:type="dxa"/>
              <w:left w:w="15" w:type="dxa"/>
              <w:right w:w="15" w:type="dxa"/>
            </w:tcMar>
            <w:vAlign w:val="center"/>
          </w:tcPr>
          <w:p w14:paraId="683013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HR-1-400</w:t>
            </w:r>
          </w:p>
        </w:tc>
        <w:tc>
          <w:tcPr>
            <w:tcW w:w="1580" w:type="pct"/>
            <w:tcBorders>
              <w:tl2br w:val="nil"/>
              <w:tr2bl w:val="nil"/>
            </w:tcBorders>
            <w:shd w:val="clear" w:color="auto" w:fill="auto"/>
            <w:noWrap/>
            <w:tcMar>
              <w:top w:w="15" w:type="dxa"/>
              <w:left w:w="15" w:type="dxa"/>
              <w:right w:w="15" w:type="dxa"/>
            </w:tcMar>
            <w:vAlign w:val="center"/>
          </w:tcPr>
          <w:p w14:paraId="080B0076">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园区边界西侧下风向400m</w:t>
            </w:r>
          </w:p>
        </w:tc>
        <w:tc>
          <w:tcPr>
            <w:tcW w:w="993" w:type="pct"/>
            <w:tcBorders>
              <w:tl2br w:val="nil"/>
              <w:tr2bl w:val="nil"/>
            </w:tcBorders>
            <w:shd w:val="clear" w:color="auto" w:fill="auto"/>
            <w:noWrap/>
            <w:tcMar>
              <w:top w:w="15" w:type="dxa"/>
              <w:left w:w="15" w:type="dxa"/>
              <w:right w:w="15" w:type="dxa"/>
            </w:tcMar>
            <w:vAlign w:val="center"/>
          </w:tcPr>
          <w:p w14:paraId="571A98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7.4</w:t>
            </w:r>
            <w:r>
              <w:rPr>
                <w:rFonts w:hint="default" w:ascii="Times New Roman" w:hAnsi="Times New Roman" w:cs="Times New Roman"/>
                <w:i w:val="0"/>
                <w:color w:val="000000"/>
                <w:kern w:val="0"/>
                <w:sz w:val="21"/>
                <w:szCs w:val="21"/>
                <w:highlight w:val="none"/>
                <w:u w:val="none"/>
                <w:lang w:val="en-US" w:eastAsia="zh-CN" w:bidi="ar"/>
              </w:rPr>
              <w:t>0</w:t>
            </w:r>
          </w:p>
        </w:tc>
      </w:tr>
      <w:tr w14:paraId="5463A03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992" w:type="pct"/>
            <w:tcBorders>
              <w:tl2br w:val="nil"/>
              <w:tr2bl w:val="nil"/>
            </w:tcBorders>
            <w:shd w:val="clear" w:color="auto" w:fill="auto"/>
            <w:noWrap/>
            <w:tcMar>
              <w:top w:w="15" w:type="dxa"/>
              <w:left w:w="15" w:type="dxa"/>
              <w:right w:w="15" w:type="dxa"/>
            </w:tcMar>
            <w:vAlign w:val="center"/>
          </w:tcPr>
          <w:p w14:paraId="295DF2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w:t>
            </w:r>
          </w:p>
        </w:tc>
        <w:tc>
          <w:tcPr>
            <w:tcW w:w="1433" w:type="pct"/>
            <w:tcBorders>
              <w:tl2br w:val="nil"/>
              <w:tr2bl w:val="nil"/>
            </w:tcBorders>
            <w:shd w:val="clear" w:color="auto" w:fill="auto"/>
            <w:noWrap/>
            <w:tcMar>
              <w:top w:w="15" w:type="dxa"/>
              <w:left w:w="15" w:type="dxa"/>
              <w:right w:w="15" w:type="dxa"/>
            </w:tcMar>
            <w:vAlign w:val="center"/>
          </w:tcPr>
          <w:p w14:paraId="57ED08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HR-2-75</w:t>
            </w:r>
          </w:p>
        </w:tc>
        <w:tc>
          <w:tcPr>
            <w:tcW w:w="1580" w:type="pct"/>
            <w:tcBorders>
              <w:tl2br w:val="nil"/>
              <w:tr2bl w:val="nil"/>
            </w:tcBorders>
            <w:shd w:val="clear" w:color="auto" w:fill="auto"/>
            <w:noWrap/>
            <w:tcMar>
              <w:top w:w="15" w:type="dxa"/>
              <w:left w:w="15" w:type="dxa"/>
              <w:right w:w="15" w:type="dxa"/>
            </w:tcMar>
            <w:vAlign w:val="center"/>
          </w:tcPr>
          <w:p w14:paraId="1401EF5D">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园区边界西侧下风向75m</w:t>
            </w:r>
          </w:p>
        </w:tc>
        <w:tc>
          <w:tcPr>
            <w:tcW w:w="993" w:type="pct"/>
            <w:tcBorders>
              <w:tl2br w:val="nil"/>
              <w:tr2bl w:val="nil"/>
            </w:tcBorders>
            <w:shd w:val="clear" w:color="auto" w:fill="auto"/>
            <w:noWrap/>
            <w:tcMar>
              <w:top w:w="15" w:type="dxa"/>
              <w:left w:w="15" w:type="dxa"/>
              <w:right w:w="15" w:type="dxa"/>
            </w:tcMar>
            <w:vAlign w:val="center"/>
          </w:tcPr>
          <w:p w14:paraId="6ED5FA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8.72</w:t>
            </w:r>
          </w:p>
        </w:tc>
      </w:tr>
      <w:tr w14:paraId="1D76D4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992" w:type="pct"/>
            <w:tcBorders>
              <w:tl2br w:val="nil"/>
              <w:tr2bl w:val="nil"/>
            </w:tcBorders>
            <w:shd w:val="clear" w:color="auto" w:fill="auto"/>
            <w:noWrap/>
            <w:tcMar>
              <w:top w:w="15" w:type="dxa"/>
              <w:left w:w="15" w:type="dxa"/>
              <w:right w:w="15" w:type="dxa"/>
            </w:tcMar>
            <w:vAlign w:val="center"/>
          </w:tcPr>
          <w:p w14:paraId="0F2287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w:t>
            </w:r>
          </w:p>
        </w:tc>
        <w:tc>
          <w:tcPr>
            <w:tcW w:w="1433" w:type="pct"/>
            <w:tcBorders>
              <w:tl2br w:val="nil"/>
              <w:tr2bl w:val="nil"/>
            </w:tcBorders>
            <w:shd w:val="clear" w:color="auto" w:fill="auto"/>
            <w:noWrap/>
            <w:tcMar>
              <w:top w:w="15" w:type="dxa"/>
              <w:left w:w="15" w:type="dxa"/>
              <w:right w:w="15" w:type="dxa"/>
            </w:tcMar>
            <w:vAlign w:val="center"/>
          </w:tcPr>
          <w:p w14:paraId="362ED4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HR-2-200</w:t>
            </w:r>
          </w:p>
        </w:tc>
        <w:tc>
          <w:tcPr>
            <w:tcW w:w="1580" w:type="pct"/>
            <w:tcBorders>
              <w:tl2br w:val="nil"/>
              <w:tr2bl w:val="nil"/>
            </w:tcBorders>
            <w:shd w:val="clear" w:color="auto" w:fill="auto"/>
            <w:noWrap/>
            <w:tcMar>
              <w:top w:w="15" w:type="dxa"/>
              <w:left w:w="15" w:type="dxa"/>
              <w:right w:w="15" w:type="dxa"/>
            </w:tcMar>
            <w:vAlign w:val="center"/>
          </w:tcPr>
          <w:p w14:paraId="7906C6EA">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园区边界西侧下风向200m</w:t>
            </w:r>
          </w:p>
        </w:tc>
        <w:tc>
          <w:tcPr>
            <w:tcW w:w="993" w:type="pct"/>
            <w:tcBorders>
              <w:tl2br w:val="nil"/>
              <w:tr2bl w:val="nil"/>
            </w:tcBorders>
            <w:shd w:val="clear" w:color="auto" w:fill="auto"/>
            <w:noWrap/>
            <w:tcMar>
              <w:top w:w="15" w:type="dxa"/>
              <w:left w:w="15" w:type="dxa"/>
              <w:right w:w="15" w:type="dxa"/>
            </w:tcMar>
            <w:vAlign w:val="center"/>
          </w:tcPr>
          <w:p w14:paraId="18B8DD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8.45</w:t>
            </w:r>
          </w:p>
        </w:tc>
      </w:tr>
      <w:tr w14:paraId="480D7D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992" w:type="pct"/>
            <w:tcBorders>
              <w:tl2br w:val="nil"/>
              <w:tr2bl w:val="nil"/>
            </w:tcBorders>
            <w:shd w:val="clear" w:color="auto" w:fill="auto"/>
            <w:noWrap/>
            <w:tcMar>
              <w:top w:w="15" w:type="dxa"/>
              <w:left w:w="15" w:type="dxa"/>
              <w:right w:w="15" w:type="dxa"/>
            </w:tcMar>
            <w:vAlign w:val="center"/>
          </w:tcPr>
          <w:p w14:paraId="75A5A5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w:t>
            </w:r>
          </w:p>
        </w:tc>
        <w:tc>
          <w:tcPr>
            <w:tcW w:w="1433" w:type="pct"/>
            <w:tcBorders>
              <w:tl2br w:val="nil"/>
              <w:tr2bl w:val="nil"/>
            </w:tcBorders>
            <w:shd w:val="clear" w:color="auto" w:fill="auto"/>
            <w:noWrap/>
            <w:tcMar>
              <w:top w:w="15" w:type="dxa"/>
              <w:left w:w="15" w:type="dxa"/>
              <w:right w:w="15" w:type="dxa"/>
            </w:tcMar>
            <w:vAlign w:val="center"/>
          </w:tcPr>
          <w:p w14:paraId="403F22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HR-2-400</w:t>
            </w:r>
          </w:p>
        </w:tc>
        <w:tc>
          <w:tcPr>
            <w:tcW w:w="1580" w:type="pct"/>
            <w:tcBorders>
              <w:tl2br w:val="nil"/>
              <w:tr2bl w:val="nil"/>
            </w:tcBorders>
            <w:shd w:val="clear" w:color="auto" w:fill="auto"/>
            <w:noWrap/>
            <w:tcMar>
              <w:top w:w="15" w:type="dxa"/>
              <w:left w:w="15" w:type="dxa"/>
              <w:right w:w="15" w:type="dxa"/>
            </w:tcMar>
            <w:vAlign w:val="center"/>
          </w:tcPr>
          <w:p w14:paraId="754A81EC">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园区边界西侧下风向400m</w:t>
            </w:r>
          </w:p>
        </w:tc>
        <w:tc>
          <w:tcPr>
            <w:tcW w:w="993" w:type="pct"/>
            <w:tcBorders>
              <w:tl2br w:val="nil"/>
              <w:tr2bl w:val="nil"/>
            </w:tcBorders>
            <w:shd w:val="clear" w:color="auto" w:fill="auto"/>
            <w:noWrap/>
            <w:tcMar>
              <w:top w:w="15" w:type="dxa"/>
              <w:left w:w="15" w:type="dxa"/>
              <w:right w:w="15" w:type="dxa"/>
            </w:tcMar>
            <w:vAlign w:val="center"/>
          </w:tcPr>
          <w:p w14:paraId="463769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8.01</w:t>
            </w:r>
          </w:p>
        </w:tc>
      </w:tr>
      <w:tr w14:paraId="417955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992" w:type="pct"/>
            <w:tcBorders>
              <w:tl2br w:val="nil"/>
              <w:tr2bl w:val="nil"/>
            </w:tcBorders>
            <w:shd w:val="clear" w:color="auto" w:fill="auto"/>
            <w:noWrap/>
            <w:tcMar>
              <w:top w:w="15" w:type="dxa"/>
              <w:left w:w="15" w:type="dxa"/>
              <w:right w:w="15" w:type="dxa"/>
            </w:tcMar>
            <w:vAlign w:val="center"/>
          </w:tcPr>
          <w:p w14:paraId="6BA74C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w:t>
            </w:r>
          </w:p>
        </w:tc>
        <w:tc>
          <w:tcPr>
            <w:tcW w:w="1433" w:type="pct"/>
            <w:tcBorders>
              <w:tl2br w:val="nil"/>
              <w:tr2bl w:val="nil"/>
            </w:tcBorders>
            <w:shd w:val="clear" w:color="auto" w:fill="auto"/>
            <w:noWrap/>
            <w:tcMar>
              <w:top w:w="15" w:type="dxa"/>
              <w:left w:w="15" w:type="dxa"/>
              <w:right w:w="15" w:type="dxa"/>
            </w:tcMar>
            <w:vAlign w:val="center"/>
          </w:tcPr>
          <w:p w14:paraId="681E86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HR-3-75</w:t>
            </w:r>
          </w:p>
        </w:tc>
        <w:tc>
          <w:tcPr>
            <w:tcW w:w="1580" w:type="pct"/>
            <w:tcBorders>
              <w:tl2br w:val="nil"/>
              <w:tr2bl w:val="nil"/>
            </w:tcBorders>
            <w:shd w:val="clear" w:color="auto" w:fill="auto"/>
            <w:noWrap/>
            <w:tcMar>
              <w:top w:w="15" w:type="dxa"/>
              <w:left w:w="15" w:type="dxa"/>
              <w:right w:w="15" w:type="dxa"/>
            </w:tcMar>
            <w:vAlign w:val="center"/>
          </w:tcPr>
          <w:p w14:paraId="25B8B094">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园区边界南侧下风向75m</w:t>
            </w:r>
          </w:p>
        </w:tc>
        <w:tc>
          <w:tcPr>
            <w:tcW w:w="993" w:type="pct"/>
            <w:tcBorders>
              <w:tl2br w:val="nil"/>
              <w:tr2bl w:val="nil"/>
            </w:tcBorders>
            <w:shd w:val="clear" w:color="auto" w:fill="auto"/>
            <w:noWrap/>
            <w:tcMar>
              <w:top w:w="15" w:type="dxa"/>
              <w:left w:w="15" w:type="dxa"/>
              <w:right w:w="15" w:type="dxa"/>
            </w:tcMar>
            <w:vAlign w:val="center"/>
          </w:tcPr>
          <w:p w14:paraId="450EBE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7.7</w:t>
            </w:r>
            <w:r>
              <w:rPr>
                <w:rFonts w:hint="default" w:ascii="Times New Roman" w:hAnsi="Times New Roman" w:cs="Times New Roman"/>
                <w:i w:val="0"/>
                <w:color w:val="000000"/>
                <w:kern w:val="0"/>
                <w:sz w:val="21"/>
                <w:szCs w:val="21"/>
                <w:highlight w:val="none"/>
                <w:u w:val="none"/>
                <w:lang w:val="en-US" w:eastAsia="zh-CN" w:bidi="ar"/>
              </w:rPr>
              <w:t>0</w:t>
            </w:r>
          </w:p>
        </w:tc>
      </w:tr>
      <w:tr w14:paraId="1DB7EA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tblHeader/>
          <w:jc w:val="center"/>
        </w:trPr>
        <w:tc>
          <w:tcPr>
            <w:tcW w:w="992" w:type="pct"/>
            <w:tcBorders>
              <w:tl2br w:val="nil"/>
              <w:tr2bl w:val="nil"/>
            </w:tcBorders>
            <w:shd w:val="clear" w:color="auto" w:fill="auto"/>
            <w:noWrap/>
            <w:tcMar>
              <w:top w:w="15" w:type="dxa"/>
              <w:left w:w="15" w:type="dxa"/>
              <w:right w:w="15" w:type="dxa"/>
            </w:tcMar>
            <w:vAlign w:val="center"/>
          </w:tcPr>
          <w:p w14:paraId="5943E7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w:t>
            </w:r>
          </w:p>
        </w:tc>
        <w:tc>
          <w:tcPr>
            <w:tcW w:w="1433" w:type="pct"/>
            <w:tcBorders>
              <w:tl2br w:val="nil"/>
              <w:tr2bl w:val="nil"/>
            </w:tcBorders>
            <w:shd w:val="clear" w:color="auto" w:fill="auto"/>
            <w:noWrap/>
            <w:tcMar>
              <w:top w:w="15" w:type="dxa"/>
              <w:left w:w="15" w:type="dxa"/>
              <w:right w:w="15" w:type="dxa"/>
            </w:tcMar>
            <w:vAlign w:val="center"/>
          </w:tcPr>
          <w:p w14:paraId="1E607B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HR-3-200</w:t>
            </w:r>
          </w:p>
        </w:tc>
        <w:tc>
          <w:tcPr>
            <w:tcW w:w="1580" w:type="pct"/>
            <w:tcBorders>
              <w:tl2br w:val="nil"/>
              <w:tr2bl w:val="nil"/>
            </w:tcBorders>
            <w:shd w:val="clear" w:color="auto" w:fill="auto"/>
            <w:noWrap/>
            <w:tcMar>
              <w:top w:w="15" w:type="dxa"/>
              <w:left w:w="15" w:type="dxa"/>
              <w:right w:w="15" w:type="dxa"/>
            </w:tcMar>
            <w:vAlign w:val="center"/>
          </w:tcPr>
          <w:p w14:paraId="1274FD7B">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园区边界南侧下风向200m</w:t>
            </w:r>
          </w:p>
        </w:tc>
        <w:tc>
          <w:tcPr>
            <w:tcW w:w="993" w:type="pct"/>
            <w:tcBorders>
              <w:tl2br w:val="nil"/>
              <w:tr2bl w:val="nil"/>
            </w:tcBorders>
            <w:shd w:val="clear" w:color="auto" w:fill="auto"/>
            <w:noWrap/>
            <w:tcMar>
              <w:top w:w="15" w:type="dxa"/>
              <w:left w:w="15" w:type="dxa"/>
              <w:right w:w="15" w:type="dxa"/>
            </w:tcMar>
            <w:vAlign w:val="center"/>
          </w:tcPr>
          <w:p w14:paraId="5F965D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7.63</w:t>
            </w:r>
          </w:p>
        </w:tc>
      </w:tr>
      <w:tr w14:paraId="5D2351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992" w:type="pct"/>
            <w:tcBorders>
              <w:tl2br w:val="nil"/>
              <w:tr2bl w:val="nil"/>
            </w:tcBorders>
            <w:shd w:val="clear" w:color="auto" w:fill="auto"/>
            <w:noWrap/>
            <w:tcMar>
              <w:top w:w="15" w:type="dxa"/>
              <w:left w:w="15" w:type="dxa"/>
              <w:right w:w="15" w:type="dxa"/>
            </w:tcMar>
            <w:vAlign w:val="center"/>
          </w:tcPr>
          <w:p w14:paraId="62D922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9</w:t>
            </w:r>
          </w:p>
        </w:tc>
        <w:tc>
          <w:tcPr>
            <w:tcW w:w="1433" w:type="pct"/>
            <w:tcBorders>
              <w:tl2br w:val="nil"/>
              <w:tr2bl w:val="nil"/>
            </w:tcBorders>
            <w:shd w:val="clear" w:color="auto" w:fill="auto"/>
            <w:noWrap/>
            <w:tcMar>
              <w:top w:w="15" w:type="dxa"/>
              <w:left w:w="15" w:type="dxa"/>
              <w:right w:w="15" w:type="dxa"/>
            </w:tcMar>
            <w:vAlign w:val="center"/>
          </w:tcPr>
          <w:p w14:paraId="18C7F4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HR-3-400</w:t>
            </w:r>
          </w:p>
        </w:tc>
        <w:tc>
          <w:tcPr>
            <w:tcW w:w="1580" w:type="pct"/>
            <w:tcBorders>
              <w:tl2br w:val="nil"/>
              <w:tr2bl w:val="nil"/>
            </w:tcBorders>
            <w:shd w:val="clear" w:color="auto" w:fill="auto"/>
            <w:noWrap/>
            <w:tcMar>
              <w:top w:w="15" w:type="dxa"/>
              <w:left w:w="15" w:type="dxa"/>
              <w:right w:w="15" w:type="dxa"/>
            </w:tcMar>
            <w:vAlign w:val="center"/>
          </w:tcPr>
          <w:p w14:paraId="0CE83317">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园区边界南侧下风向400m</w:t>
            </w:r>
          </w:p>
        </w:tc>
        <w:tc>
          <w:tcPr>
            <w:tcW w:w="993" w:type="pct"/>
            <w:tcBorders>
              <w:tl2br w:val="nil"/>
              <w:tr2bl w:val="nil"/>
            </w:tcBorders>
            <w:shd w:val="clear" w:color="auto" w:fill="auto"/>
            <w:noWrap/>
            <w:tcMar>
              <w:top w:w="15" w:type="dxa"/>
              <w:left w:w="15" w:type="dxa"/>
              <w:right w:w="15" w:type="dxa"/>
            </w:tcMar>
            <w:vAlign w:val="center"/>
          </w:tcPr>
          <w:p w14:paraId="33CE95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5.2</w:t>
            </w:r>
            <w:r>
              <w:rPr>
                <w:rFonts w:hint="default" w:ascii="Times New Roman" w:hAnsi="Times New Roman" w:cs="Times New Roman"/>
                <w:i w:val="0"/>
                <w:color w:val="000000"/>
                <w:kern w:val="0"/>
                <w:sz w:val="21"/>
                <w:szCs w:val="21"/>
                <w:highlight w:val="none"/>
                <w:u w:val="none"/>
                <w:lang w:val="en-US" w:eastAsia="zh-CN" w:bidi="ar"/>
              </w:rPr>
              <w:t>0</w:t>
            </w:r>
          </w:p>
        </w:tc>
      </w:tr>
      <w:tr w14:paraId="3BDB97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992" w:type="pct"/>
            <w:tcBorders>
              <w:tl2br w:val="nil"/>
              <w:tr2bl w:val="nil"/>
            </w:tcBorders>
            <w:shd w:val="clear" w:color="auto" w:fill="auto"/>
            <w:noWrap/>
            <w:tcMar>
              <w:top w:w="15" w:type="dxa"/>
              <w:left w:w="15" w:type="dxa"/>
              <w:right w:w="15" w:type="dxa"/>
            </w:tcMar>
            <w:vAlign w:val="center"/>
          </w:tcPr>
          <w:p w14:paraId="1A3540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w:t>
            </w:r>
          </w:p>
        </w:tc>
        <w:tc>
          <w:tcPr>
            <w:tcW w:w="1433" w:type="pct"/>
            <w:tcBorders>
              <w:tl2br w:val="nil"/>
              <w:tr2bl w:val="nil"/>
            </w:tcBorders>
            <w:shd w:val="clear" w:color="auto" w:fill="auto"/>
            <w:noWrap/>
            <w:tcMar>
              <w:top w:w="15" w:type="dxa"/>
              <w:left w:w="15" w:type="dxa"/>
              <w:right w:w="15" w:type="dxa"/>
            </w:tcMar>
            <w:vAlign w:val="center"/>
          </w:tcPr>
          <w:p w14:paraId="529601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HR-4-75</w:t>
            </w:r>
          </w:p>
        </w:tc>
        <w:tc>
          <w:tcPr>
            <w:tcW w:w="1580" w:type="pct"/>
            <w:tcBorders>
              <w:tl2br w:val="nil"/>
              <w:tr2bl w:val="nil"/>
            </w:tcBorders>
            <w:shd w:val="clear" w:color="auto" w:fill="auto"/>
            <w:noWrap/>
            <w:tcMar>
              <w:top w:w="15" w:type="dxa"/>
              <w:left w:w="15" w:type="dxa"/>
              <w:right w:w="15" w:type="dxa"/>
            </w:tcMar>
            <w:vAlign w:val="center"/>
          </w:tcPr>
          <w:p w14:paraId="56F0FE91">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园区边界南侧下风向75m</w:t>
            </w:r>
          </w:p>
        </w:tc>
        <w:tc>
          <w:tcPr>
            <w:tcW w:w="993" w:type="pct"/>
            <w:tcBorders>
              <w:tl2br w:val="nil"/>
              <w:tr2bl w:val="nil"/>
            </w:tcBorders>
            <w:shd w:val="clear" w:color="auto" w:fill="auto"/>
            <w:noWrap/>
            <w:tcMar>
              <w:top w:w="15" w:type="dxa"/>
              <w:left w:w="15" w:type="dxa"/>
              <w:right w:w="15" w:type="dxa"/>
            </w:tcMar>
            <w:vAlign w:val="center"/>
          </w:tcPr>
          <w:p w14:paraId="496F2A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5.97</w:t>
            </w:r>
          </w:p>
        </w:tc>
      </w:tr>
      <w:tr w14:paraId="507D91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tblHeader/>
          <w:jc w:val="center"/>
        </w:trPr>
        <w:tc>
          <w:tcPr>
            <w:tcW w:w="992" w:type="pct"/>
            <w:tcBorders>
              <w:tl2br w:val="nil"/>
              <w:tr2bl w:val="nil"/>
            </w:tcBorders>
            <w:shd w:val="clear" w:color="auto" w:fill="auto"/>
            <w:noWrap/>
            <w:tcMar>
              <w:top w:w="15" w:type="dxa"/>
              <w:left w:w="15" w:type="dxa"/>
              <w:right w:w="15" w:type="dxa"/>
            </w:tcMar>
            <w:vAlign w:val="center"/>
          </w:tcPr>
          <w:p w14:paraId="11ED4B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w:t>
            </w:r>
          </w:p>
        </w:tc>
        <w:tc>
          <w:tcPr>
            <w:tcW w:w="1433" w:type="pct"/>
            <w:tcBorders>
              <w:tl2br w:val="nil"/>
              <w:tr2bl w:val="nil"/>
            </w:tcBorders>
            <w:shd w:val="clear" w:color="auto" w:fill="auto"/>
            <w:noWrap/>
            <w:tcMar>
              <w:top w:w="15" w:type="dxa"/>
              <w:left w:w="15" w:type="dxa"/>
              <w:right w:w="15" w:type="dxa"/>
            </w:tcMar>
            <w:vAlign w:val="center"/>
          </w:tcPr>
          <w:p w14:paraId="6442BC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HR-4-200</w:t>
            </w:r>
          </w:p>
        </w:tc>
        <w:tc>
          <w:tcPr>
            <w:tcW w:w="1580" w:type="pct"/>
            <w:tcBorders>
              <w:tl2br w:val="nil"/>
              <w:tr2bl w:val="nil"/>
            </w:tcBorders>
            <w:shd w:val="clear" w:color="auto" w:fill="auto"/>
            <w:noWrap/>
            <w:tcMar>
              <w:top w:w="15" w:type="dxa"/>
              <w:left w:w="15" w:type="dxa"/>
              <w:right w:w="15" w:type="dxa"/>
            </w:tcMar>
            <w:vAlign w:val="center"/>
          </w:tcPr>
          <w:p w14:paraId="7DB41C0A">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园区边界南侧下风向200m</w:t>
            </w:r>
          </w:p>
        </w:tc>
        <w:tc>
          <w:tcPr>
            <w:tcW w:w="993" w:type="pct"/>
            <w:tcBorders>
              <w:tl2br w:val="nil"/>
              <w:tr2bl w:val="nil"/>
            </w:tcBorders>
            <w:shd w:val="clear" w:color="auto" w:fill="auto"/>
            <w:noWrap/>
            <w:tcMar>
              <w:top w:w="15" w:type="dxa"/>
              <w:left w:w="15" w:type="dxa"/>
              <w:right w:w="15" w:type="dxa"/>
            </w:tcMar>
            <w:vAlign w:val="center"/>
          </w:tcPr>
          <w:p w14:paraId="60A867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7.15</w:t>
            </w:r>
          </w:p>
        </w:tc>
      </w:tr>
      <w:tr w14:paraId="4B70DD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992" w:type="pct"/>
            <w:tcBorders>
              <w:tl2br w:val="nil"/>
              <w:tr2bl w:val="nil"/>
            </w:tcBorders>
            <w:shd w:val="clear" w:color="auto" w:fill="auto"/>
            <w:noWrap/>
            <w:tcMar>
              <w:top w:w="15" w:type="dxa"/>
              <w:left w:w="15" w:type="dxa"/>
              <w:right w:w="15" w:type="dxa"/>
            </w:tcMar>
            <w:vAlign w:val="center"/>
          </w:tcPr>
          <w:p w14:paraId="0E1506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12</w:t>
            </w:r>
          </w:p>
        </w:tc>
        <w:tc>
          <w:tcPr>
            <w:tcW w:w="1433" w:type="pct"/>
            <w:tcBorders>
              <w:tl2br w:val="nil"/>
              <w:tr2bl w:val="nil"/>
            </w:tcBorders>
            <w:shd w:val="clear" w:color="auto" w:fill="auto"/>
            <w:noWrap/>
            <w:tcMar>
              <w:top w:w="15" w:type="dxa"/>
              <w:left w:w="15" w:type="dxa"/>
              <w:right w:w="15" w:type="dxa"/>
            </w:tcMar>
            <w:vAlign w:val="center"/>
          </w:tcPr>
          <w:p w14:paraId="55B2E5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HR-4-400</w:t>
            </w:r>
          </w:p>
        </w:tc>
        <w:tc>
          <w:tcPr>
            <w:tcW w:w="1580" w:type="pct"/>
            <w:tcBorders>
              <w:tl2br w:val="nil"/>
              <w:tr2bl w:val="nil"/>
            </w:tcBorders>
            <w:shd w:val="clear" w:color="auto" w:fill="auto"/>
            <w:noWrap/>
            <w:tcMar>
              <w:top w:w="15" w:type="dxa"/>
              <w:left w:w="15" w:type="dxa"/>
              <w:right w:w="15" w:type="dxa"/>
            </w:tcMar>
            <w:vAlign w:val="center"/>
          </w:tcPr>
          <w:p w14:paraId="5DCD8972">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园区边界南侧下风向400m</w:t>
            </w:r>
          </w:p>
        </w:tc>
        <w:tc>
          <w:tcPr>
            <w:tcW w:w="993" w:type="pct"/>
            <w:tcBorders>
              <w:tl2br w:val="nil"/>
              <w:tr2bl w:val="nil"/>
            </w:tcBorders>
            <w:shd w:val="clear" w:color="auto" w:fill="auto"/>
            <w:noWrap/>
            <w:tcMar>
              <w:top w:w="15" w:type="dxa"/>
              <w:left w:w="15" w:type="dxa"/>
              <w:right w:w="15" w:type="dxa"/>
            </w:tcMar>
            <w:vAlign w:val="center"/>
          </w:tcPr>
          <w:p w14:paraId="0177E2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7.56</w:t>
            </w:r>
          </w:p>
        </w:tc>
      </w:tr>
      <w:tr w14:paraId="739EA06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992" w:type="pct"/>
            <w:tcBorders>
              <w:tl2br w:val="nil"/>
              <w:tr2bl w:val="nil"/>
            </w:tcBorders>
            <w:shd w:val="clear" w:color="auto" w:fill="auto"/>
            <w:noWrap/>
            <w:tcMar>
              <w:top w:w="15" w:type="dxa"/>
              <w:left w:w="15" w:type="dxa"/>
              <w:right w:w="15" w:type="dxa"/>
            </w:tcMar>
            <w:vAlign w:val="center"/>
          </w:tcPr>
          <w:p w14:paraId="30CDEB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13</w:t>
            </w:r>
          </w:p>
        </w:tc>
        <w:tc>
          <w:tcPr>
            <w:tcW w:w="1433" w:type="pct"/>
            <w:tcBorders>
              <w:tl2br w:val="nil"/>
              <w:tr2bl w:val="nil"/>
            </w:tcBorders>
            <w:shd w:val="clear" w:color="auto" w:fill="auto"/>
            <w:noWrap/>
            <w:tcMar>
              <w:top w:w="15" w:type="dxa"/>
              <w:left w:w="15" w:type="dxa"/>
              <w:right w:w="15" w:type="dxa"/>
            </w:tcMar>
            <w:vAlign w:val="center"/>
          </w:tcPr>
          <w:p w14:paraId="79ECF5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HR-5</w:t>
            </w:r>
          </w:p>
        </w:tc>
        <w:tc>
          <w:tcPr>
            <w:tcW w:w="1580" w:type="pct"/>
            <w:tcBorders>
              <w:tl2br w:val="nil"/>
              <w:tr2bl w:val="nil"/>
            </w:tcBorders>
            <w:shd w:val="clear" w:color="auto" w:fill="auto"/>
            <w:noWrap/>
            <w:tcMar>
              <w:top w:w="15" w:type="dxa"/>
              <w:left w:w="15" w:type="dxa"/>
              <w:right w:w="15" w:type="dxa"/>
            </w:tcMar>
            <w:vAlign w:val="center"/>
          </w:tcPr>
          <w:p w14:paraId="21C4F290">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园区边界北侧上风向20m</w:t>
            </w:r>
            <w:r>
              <w:rPr>
                <w:rFonts w:hint="eastAsia" w:cs="Times New Roman"/>
                <w:sz w:val="21"/>
                <w:szCs w:val="21"/>
                <w:highlight w:val="none"/>
                <w:lang w:val="en-US" w:eastAsia="zh-CN"/>
              </w:rPr>
              <w:t>外</w:t>
            </w:r>
          </w:p>
        </w:tc>
        <w:tc>
          <w:tcPr>
            <w:tcW w:w="993" w:type="pct"/>
            <w:tcBorders>
              <w:tl2br w:val="nil"/>
              <w:tr2bl w:val="nil"/>
            </w:tcBorders>
            <w:shd w:val="clear" w:color="auto" w:fill="auto"/>
            <w:noWrap/>
            <w:tcMar>
              <w:top w:w="15" w:type="dxa"/>
              <w:left w:w="15" w:type="dxa"/>
              <w:right w:w="15" w:type="dxa"/>
            </w:tcMar>
            <w:vAlign w:val="center"/>
          </w:tcPr>
          <w:p w14:paraId="546F95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6.53</w:t>
            </w:r>
          </w:p>
        </w:tc>
      </w:tr>
      <w:tr w14:paraId="6D0DA1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992" w:type="pct"/>
            <w:tcBorders>
              <w:tl2br w:val="nil"/>
              <w:tr2bl w:val="nil"/>
            </w:tcBorders>
            <w:shd w:val="clear" w:color="auto" w:fill="auto"/>
            <w:noWrap/>
            <w:tcMar>
              <w:top w:w="15" w:type="dxa"/>
              <w:left w:w="15" w:type="dxa"/>
              <w:right w:w="15" w:type="dxa"/>
            </w:tcMar>
            <w:vAlign w:val="center"/>
          </w:tcPr>
          <w:p w14:paraId="2ED793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14</w:t>
            </w:r>
          </w:p>
        </w:tc>
        <w:tc>
          <w:tcPr>
            <w:tcW w:w="1433" w:type="pct"/>
            <w:tcBorders>
              <w:tl2br w:val="nil"/>
              <w:tr2bl w:val="nil"/>
            </w:tcBorders>
            <w:shd w:val="clear" w:color="auto" w:fill="auto"/>
            <w:noWrap/>
            <w:tcMar>
              <w:top w:w="15" w:type="dxa"/>
              <w:left w:w="15" w:type="dxa"/>
              <w:right w:w="15" w:type="dxa"/>
            </w:tcMar>
            <w:vAlign w:val="center"/>
          </w:tcPr>
          <w:p w14:paraId="6EC850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HR-6</w:t>
            </w:r>
          </w:p>
        </w:tc>
        <w:tc>
          <w:tcPr>
            <w:tcW w:w="1580" w:type="pct"/>
            <w:tcBorders>
              <w:tl2br w:val="nil"/>
              <w:tr2bl w:val="nil"/>
            </w:tcBorders>
            <w:shd w:val="clear" w:color="auto" w:fill="auto"/>
            <w:noWrap/>
            <w:tcMar>
              <w:top w:w="15" w:type="dxa"/>
              <w:left w:w="15" w:type="dxa"/>
              <w:right w:w="15" w:type="dxa"/>
            </w:tcMar>
            <w:vAlign w:val="center"/>
          </w:tcPr>
          <w:p w14:paraId="2A8E8E8E">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园区边界东侧上风向20m</w:t>
            </w:r>
            <w:r>
              <w:rPr>
                <w:rFonts w:hint="eastAsia" w:cs="Times New Roman"/>
                <w:sz w:val="21"/>
                <w:szCs w:val="21"/>
                <w:highlight w:val="none"/>
                <w:lang w:val="en-US" w:eastAsia="zh-CN"/>
              </w:rPr>
              <w:t>外</w:t>
            </w:r>
          </w:p>
        </w:tc>
        <w:tc>
          <w:tcPr>
            <w:tcW w:w="993" w:type="pct"/>
            <w:tcBorders>
              <w:tl2br w:val="nil"/>
              <w:tr2bl w:val="nil"/>
            </w:tcBorders>
            <w:shd w:val="clear" w:color="auto" w:fill="auto"/>
            <w:noWrap/>
            <w:tcMar>
              <w:top w:w="15" w:type="dxa"/>
              <w:left w:w="15" w:type="dxa"/>
              <w:right w:w="15" w:type="dxa"/>
            </w:tcMar>
            <w:vAlign w:val="center"/>
          </w:tcPr>
          <w:p w14:paraId="542360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5.56</w:t>
            </w:r>
          </w:p>
        </w:tc>
      </w:tr>
      <w:tr w14:paraId="787BAC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tblHeader/>
          <w:jc w:val="center"/>
        </w:trPr>
        <w:tc>
          <w:tcPr>
            <w:tcW w:w="992" w:type="pct"/>
            <w:tcBorders>
              <w:tl2br w:val="nil"/>
              <w:tr2bl w:val="nil"/>
            </w:tcBorders>
            <w:shd w:val="clear" w:color="auto" w:fill="auto"/>
            <w:noWrap/>
            <w:tcMar>
              <w:top w:w="15" w:type="dxa"/>
              <w:left w:w="15" w:type="dxa"/>
              <w:right w:w="15" w:type="dxa"/>
            </w:tcMar>
            <w:vAlign w:val="center"/>
          </w:tcPr>
          <w:p w14:paraId="422C60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15</w:t>
            </w:r>
          </w:p>
        </w:tc>
        <w:tc>
          <w:tcPr>
            <w:tcW w:w="1433" w:type="pct"/>
            <w:tcBorders>
              <w:tl2br w:val="nil"/>
              <w:tr2bl w:val="nil"/>
            </w:tcBorders>
            <w:shd w:val="clear" w:color="auto" w:fill="auto"/>
            <w:noWrap/>
            <w:tcMar>
              <w:top w:w="15" w:type="dxa"/>
              <w:left w:w="15" w:type="dxa"/>
              <w:right w:w="15" w:type="dxa"/>
            </w:tcMar>
            <w:vAlign w:val="center"/>
          </w:tcPr>
          <w:p w14:paraId="0D6845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HR-JJ-1</w:t>
            </w:r>
          </w:p>
        </w:tc>
        <w:tc>
          <w:tcPr>
            <w:tcW w:w="1580" w:type="pct"/>
            <w:tcBorders>
              <w:tl2br w:val="nil"/>
              <w:tr2bl w:val="nil"/>
            </w:tcBorders>
            <w:shd w:val="clear" w:color="auto" w:fill="auto"/>
            <w:noWrap/>
            <w:tcMar>
              <w:top w:w="15" w:type="dxa"/>
              <w:left w:w="15" w:type="dxa"/>
              <w:right w:w="15" w:type="dxa"/>
            </w:tcMar>
            <w:vAlign w:val="center"/>
          </w:tcPr>
          <w:p w14:paraId="6E936937">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企业聚集区西侧</w:t>
            </w:r>
          </w:p>
        </w:tc>
        <w:tc>
          <w:tcPr>
            <w:tcW w:w="993" w:type="pct"/>
            <w:tcBorders>
              <w:tl2br w:val="nil"/>
              <w:tr2bl w:val="nil"/>
            </w:tcBorders>
            <w:shd w:val="clear" w:color="auto" w:fill="auto"/>
            <w:noWrap/>
            <w:tcMar>
              <w:top w:w="15" w:type="dxa"/>
              <w:left w:w="15" w:type="dxa"/>
              <w:right w:w="15" w:type="dxa"/>
            </w:tcMar>
            <w:vAlign w:val="center"/>
          </w:tcPr>
          <w:p w14:paraId="59FC6E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6.62</w:t>
            </w:r>
          </w:p>
        </w:tc>
      </w:tr>
      <w:tr w14:paraId="5D7A75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992" w:type="pct"/>
            <w:tcBorders>
              <w:tl2br w:val="nil"/>
              <w:tr2bl w:val="nil"/>
            </w:tcBorders>
            <w:shd w:val="clear" w:color="auto" w:fill="auto"/>
            <w:noWrap/>
            <w:tcMar>
              <w:top w:w="15" w:type="dxa"/>
              <w:left w:w="15" w:type="dxa"/>
              <w:right w:w="15" w:type="dxa"/>
            </w:tcMar>
            <w:vAlign w:val="center"/>
          </w:tcPr>
          <w:p w14:paraId="395BD0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16</w:t>
            </w:r>
          </w:p>
        </w:tc>
        <w:tc>
          <w:tcPr>
            <w:tcW w:w="1433" w:type="pct"/>
            <w:tcBorders>
              <w:tl2br w:val="nil"/>
              <w:tr2bl w:val="nil"/>
            </w:tcBorders>
            <w:shd w:val="clear" w:color="auto" w:fill="auto"/>
            <w:noWrap/>
            <w:tcMar>
              <w:top w:w="15" w:type="dxa"/>
              <w:left w:w="15" w:type="dxa"/>
              <w:right w:w="15" w:type="dxa"/>
            </w:tcMar>
            <w:vAlign w:val="center"/>
          </w:tcPr>
          <w:p w14:paraId="210DCC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HR-JJ-2</w:t>
            </w:r>
          </w:p>
        </w:tc>
        <w:tc>
          <w:tcPr>
            <w:tcW w:w="1580" w:type="pct"/>
            <w:tcBorders>
              <w:tl2br w:val="nil"/>
              <w:tr2bl w:val="nil"/>
            </w:tcBorders>
            <w:shd w:val="clear" w:color="auto" w:fill="auto"/>
            <w:noWrap/>
            <w:tcMar>
              <w:top w:w="15" w:type="dxa"/>
              <w:left w:w="15" w:type="dxa"/>
              <w:right w:w="15" w:type="dxa"/>
            </w:tcMar>
            <w:vAlign w:val="center"/>
          </w:tcPr>
          <w:p w14:paraId="6309C53F">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企业聚集区南侧</w:t>
            </w:r>
          </w:p>
        </w:tc>
        <w:tc>
          <w:tcPr>
            <w:tcW w:w="993" w:type="pct"/>
            <w:tcBorders>
              <w:tl2br w:val="nil"/>
              <w:tr2bl w:val="nil"/>
            </w:tcBorders>
            <w:shd w:val="clear" w:color="auto" w:fill="auto"/>
            <w:noWrap/>
            <w:tcMar>
              <w:top w:w="15" w:type="dxa"/>
              <w:left w:w="15" w:type="dxa"/>
              <w:right w:w="15" w:type="dxa"/>
            </w:tcMar>
            <w:vAlign w:val="center"/>
          </w:tcPr>
          <w:p w14:paraId="5A428C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7.58</w:t>
            </w:r>
          </w:p>
        </w:tc>
      </w:tr>
      <w:tr w14:paraId="246584E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992" w:type="pct"/>
            <w:tcBorders>
              <w:tl2br w:val="nil"/>
              <w:tr2bl w:val="nil"/>
            </w:tcBorders>
            <w:shd w:val="clear" w:color="auto" w:fill="auto"/>
            <w:noWrap/>
            <w:tcMar>
              <w:top w:w="15" w:type="dxa"/>
              <w:left w:w="15" w:type="dxa"/>
              <w:right w:w="15" w:type="dxa"/>
            </w:tcMar>
            <w:vAlign w:val="center"/>
          </w:tcPr>
          <w:p w14:paraId="0A36BB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17</w:t>
            </w:r>
          </w:p>
        </w:tc>
        <w:tc>
          <w:tcPr>
            <w:tcW w:w="1433" w:type="pct"/>
            <w:tcBorders>
              <w:tl2br w:val="nil"/>
              <w:tr2bl w:val="nil"/>
            </w:tcBorders>
            <w:shd w:val="clear" w:color="auto" w:fill="auto"/>
            <w:noWrap/>
            <w:tcMar>
              <w:top w:w="15" w:type="dxa"/>
              <w:left w:w="15" w:type="dxa"/>
              <w:right w:w="15" w:type="dxa"/>
            </w:tcMar>
            <w:vAlign w:val="center"/>
          </w:tcPr>
          <w:p w14:paraId="1FD4B8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HR-JJ-3</w:t>
            </w:r>
          </w:p>
        </w:tc>
        <w:tc>
          <w:tcPr>
            <w:tcW w:w="1580" w:type="pct"/>
            <w:tcBorders>
              <w:tl2br w:val="nil"/>
              <w:tr2bl w:val="nil"/>
            </w:tcBorders>
            <w:shd w:val="clear" w:color="auto" w:fill="auto"/>
            <w:noWrap/>
            <w:tcMar>
              <w:top w:w="15" w:type="dxa"/>
              <w:left w:w="15" w:type="dxa"/>
              <w:right w:w="15" w:type="dxa"/>
            </w:tcMar>
            <w:vAlign w:val="center"/>
          </w:tcPr>
          <w:p w14:paraId="525F00F4">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w:t>
            </w:r>
            <w:r>
              <w:rPr>
                <w:rFonts w:hint="eastAsia" w:cs="Times New Roman"/>
                <w:sz w:val="21"/>
                <w:szCs w:val="21"/>
                <w:highlight w:val="none"/>
                <w:lang w:val="en-US" w:eastAsia="zh-CN"/>
              </w:rPr>
              <w:t>北</w:t>
            </w:r>
            <w:r>
              <w:rPr>
                <w:rFonts w:hint="default" w:ascii="Times New Roman" w:hAnsi="Times New Roman" w:cs="Times New Roman"/>
                <w:sz w:val="21"/>
                <w:szCs w:val="21"/>
                <w:highlight w:val="none"/>
                <w:lang w:val="en-US" w:eastAsia="zh-CN"/>
              </w:rPr>
              <w:t>侧</w:t>
            </w:r>
          </w:p>
        </w:tc>
        <w:tc>
          <w:tcPr>
            <w:tcW w:w="993" w:type="pct"/>
            <w:tcBorders>
              <w:tl2br w:val="nil"/>
              <w:tr2bl w:val="nil"/>
            </w:tcBorders>
            <w:shd w:val="clear" w:color="auto" w:fill="auto"/>
            <w:noWrap/>
            <w:tcMar>
              <w:top w:w="15" w:type="dxa"/>
              <w:left w:w="15" w:type="dxa"/>
              <w:right w:w="15" w:type="dxa"/>
            </w:tcMar>
            <w:vAlign w:val="center"/>
          </w:tcPr>
          <w:p w14:paraId="6E474C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7.52</w:t>
            </w:r>
          </w:p>
        </w:tc>
      </w:tr>
      <w:tr w14:paraId="7E643B0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tblHeader/>
          <w:jc w:val="center"/>
        </w:trPr>
        <w:tc>
          <w:tcPr>
            <w:tcW w:w="992" w:type="pct"/>
            <w:tcBorders>
              <w:tl2br w:val="nil"/>
              <w:tr2bl w:val="nil"/>
            </w:tcBorders>
            <w:shd w:val="clear" w:color="auto" w:fill="auto"/>
            <w:noWrap/>
            <w:tcMar>
              <w:top w:w="15" w:type="dxa"/>
              <w:left w:w="15" w:type="dxa"/>
              <w:right w:w="15" w:type="dxa"/>
            </w:tcMar>
            <w:vAlign w:val="center"/>
          </w:tcPr>
          <w:p w14:paraId="7EBCD9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18</w:t>
            </w:r>
          </w:p>
        </w:tc>
        <w:tc>
          <w:tcPr>
            <w:tcW w:w="1433" w:type="pct"/>
            <w:tcBorders>
              <w:tl2br w:val="nil"/>
              <w:tr2bl w:val="nil"/>
            </w:tcBorders>
            <w:shd w:val="clear" w:color="auto" w:fill="auto"/>
            <w:noWrap/>
            <w:tcMar>
              <w:top w:w="15" w:type="dxa"/>
              <w:left w:w="15" w:type="dxa"/>
              <w:right w:w="15" w:type="dxa"/>
            </w:tcMar>
            <w:vAlign w:val="center"/>
          </w:tcPr>
          <w:p w14:paraId="027805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HR-JJ-4</w:t>
            </w:r>
          </w:p>
        </w:tc>
        <w:tc>
          <w:tcPr>
            <w:tcW w:w="1580" w:type="pct"/>
            <w:tcBorders>
              <w:tl2br w:val="nil"/>
              <w:tr2bl w:val="nil"/>
            </w:tcBorders>
            <w:shd w:val="clear" w:color="auto" w:fill="auto"/>
            <w:noWrap/>
            <w:tcMar>
              <w:top w:w="15" w:type="dxa"/>
              <w:left w:w="15" w:type="dxa"/>
              <w:right w:w="15" w:type="dxa"/>
            </w:tcMar>
            <w:vAlign w:val="center"/>
          </w:tcPr>
          <w:p w14:paraId="6ED848FA">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企业聚集区西侧</w:t>
            </w:r>
          </w:p>
        </w:tc>
        <w:tc>
          <w:tcPr>
            <w:tcW w:w="993" w:type="pct"/>
            <w:tcBorders>
              <w:tl2br w:val="nil"/>
              <w:tr2bl w:val="nil"/>
            </w:tcBorders>
            <w:shd w:val="clear" w:color="auto" w:fill="auto"/>
            <w:noWrap/>
            <w:tcMar>
              <w:top w:w="15" w:type="dxa"/>
              <w:left w:w="15" w:type="dxa"/>
              <w:right w:w="15" w:type="dxa"/>
            </w:tcMar>
            <w:vAlign w:val="center"/>
          </w:tcPr>
          <w:p w14:paraId="6CCF44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8.23</w:t>
            </w:r>
          </w:p>
        </w:tc>
      </w:tr>
      <w:tr w14:paraId="23B791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992" w:type="pct"/>
            <w:tcBorders>
              <w:tl2br w:val="nil"/>
              <w:tr2bl w:val="nil"/>
            </w:tcBorders>
            <w:shd w:val="clear" w:color="auto" w:fill="auto"/>
            <w:noWrap/>
            <w:tcMar>
              <w:top w:w="15" w:type="dxa"/>
              <w:left w:w="15" w:type="dxa"/>
              <w:right w:w="15" w:type="dxa"/>
            </w:tcMar>
            <w:vAlign w:val="center"/>
          </w:tcPr>
          <w:p w14:paraId="6FE3AD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19</w:t>
            </w:r>
          </w:p>
        </w:tc>
        <w:tc>
          <w:tcPr>
            <w:tcW w:w="1433" w:type="pct"/>
            <w:tcBorders>
              <w:tl2br w:val="nil"/>
              <w:tr2bl w:val="nil"/>
            </w:tcBorders>
            <w:shd w:val="clear" w:color="auto" w:fill="auto"/>
            <w:noWrap/>
            <w:tcMar>
              <w:top w:w="15" w:type="dxa"/>
              <w:left w:w="15" w:type="dxa"/>
              <w:right w:w="15" w:type="dxa"/>
            </w:tcMar>
            <w:vAlign w:val="center"/>
          </w:tcPr>
          <w:p w14:paraId="3FC221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HR-JJ-5</w:t>
            </w:r>
          </w:p>
        </w:tc>
        <w:tc>
          <w:tcPr>
            <w:tcW w:w="1580" w:type="pct"/>
            <w:tcBorders>
              <w:tl2br w:val="nil"/>
              <w:tr2bl w:val="nil"/>
            </w:tcBorders>
            <w:shd w:val="clear" w:color="auto" w:fill="auto"/>
            <w:noWrap/>
            <w:tcMar>
              <w:top w:w="15" w:type="dxa"/>
              <w:left w:w="15" w:type="dxa"/>
              <w:right w:w="15" w:type="dxa"/>
            </w:tcMar>
            <w:vAlign w:val="center"/>
          </w:tcPr>
          <w:p w14:paraId="5CFEAC34">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企业聚集区西侧</w:t>
            </w:r>
          </w:p>
        </w:tc>
        <w:tc>
          <w:tcPr>
            <w:tcW w:w="993" w:type="pct"/>
            <w:tcBorders>
              <w:tl2br w:val="nil"/>
              <w:tr2bl w:val="nil"/>
            </w:tcBorders>
            <w:shd w:val="clear" w:color="auto" w:fill="auto"/>
            <w:noWrap/>
            <w:tcMar>
              <w:top w:w="15" w:type="dxa"/>
              <w:left w:w="15" w:type="dxa"/>
              <w:right w:w="15" w:type="dxa"/>
            </w:tcMar>
            <w:vAlign w:val="center"/>
          </w:tcPr>
          <w:p w14:paraId="294155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7.02</w:t>
            </w:r>
          </w:p>
        </w:tc>
      </w:tr>
      <w:tr w14:paraId="466166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992" w:type="pct"/>
            <w:tcBorders>
              <w:tl2br w:val="nil"/>
              <w:tr2bl w:val="nil"/>
            </w:tcBorders>
            <w:shd w:val="clear" w:color="auto" w:fill="auto"/>
            <w:noWrap/>
            <w:tcMar>
              <w:top w:w="15" w:type="dxa"/>
              <w:left w:w="15" w:type="dxa"/>
              <w:right w:w="15" w:type="dxa"/>
            </w:tcMar>
            <w:vAlign w:val="center"/>
          </w:tcPr>
          <w:p w14:paraId="52693B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20</w:t>
            </w:r>
          </w:p>
        </w:tc>
        <w:tc>
          <w:tcPr>
            <w:tcW w:w="1433" w:type="pct"/>
            <w:tcBorders>
              <w:tl2br w:val="nil"/>
              <w:tr2bl w:val="nil"/>
            </w:tcBorders>
            <w:shd w:val="clear" w:color="auto" w:fill="auto"/>
            <w:noWrap/>
            <w:tcMar>
              <w:top w:w="15" w:type="dxa"/>
              <w:left w:w="15" w:type="dxa"/>
              <w:right w:w="15" w:type="dxa"/>
            </w:tcMar>
            <w:vAlign w:val="center"/>
          </w:tcPr>
          <w:p w14:paraId="138A06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HR-JJ-6</w:t>
            </w:r>
          </w:p>
        </w:tc>
        <w:tc>
          <w:tcPr>
            <w:tcW w:w="1580" w:type="pct"/>
            <w:tcBorders>
              <w:tl2br w:val="nil"/>
              <w:tr2bl w:val="nil"/>
            </w:tcBorders>
            <w:shd w:val="clear" w:color="auto" w:fill="auto"/>
            <w:noWrap/>
            <w:tcMar>
              <w:top w:w="15" w:type="dxa"/>
              <w:left w:w="15" w:type="dxa"/>
              <w:right w:w="15" w:type="dxa"/>
            </w:tcMar>
            <w:vAlign w:val="center"/>
          </w:tcPr>
          <w:p w14:paraId="1251B11B">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企业聚集区南侧</w:t>
            </w:r>
          </w:p>
        </w:tc>
        <w:tc>
          <w:tcPr>
            <w:tcW w:w="993" w:type="pct"/>
            <w:tcBorders>
              <w:tl2br w:val="nil"/>
              <w:tr2bl w:val="nil"/>
            </w:tcBorders>
            <w:shd w:val="clear" w:color="auto" w:fill="auto"/>
            <w:noWrap/>
            <w:tcMar>
              <w:top w:w="15" w:type="dxa"/>
              <w:left w:w="15" w:type="dxa"/>
              <w:right w:w="15" w:type="dxa"/>
            </w:tcMar>
            <w:vAlign w:val="center"/>
          </w:tcPr>
          <w:p w14:paraId="2BB901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7.61</w:t>
            </w:r>
          </w:p>
        </w:tc>
      </w:tr>
      <w:tr w14:paraId="4A4A61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tblHeader/>
          <w:jc w:val="center"/>
        </w:trPr>
        <w:tc>
          <w:tcPr>
            <w:tcW w:w="4006" w:type="pct"/>
            <w:gridSpan w:val="3"/>
            <w:tcBorders>
              <w:tl2br w:val="nil"/>
              <w:tr2bl w:val="nil"/>
            </w:tcBorders>
            <w:shd w:val="clear" w:color="auto" w:fill="auto"/>
            <w:noWrap/>
            <w:tcMar>
              <w:top w:w="15" w:type="dxa"/>
              <w:left w:w="15" w:type="dxa"/>
              <w:right w:w="15" w:type="dxa"/>
            </w:tcMar>
            <w:vAlign w:val="center"/>
          </w:tcPr>
          <w:p w14:paraId="6689FF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最大值</w:t>
            </w:r>
          </w:p>
        </w:tc>
        <w:tc>
          <w:tcPr>
            <w:tcW w:w="993" w:type="pct"/>
            <w:tcBorders>
              <w:tl2br w:val="nil"/>
              <w:tr2bl w:val="nil"/>
            </w:tcBorders>
            <w:shd w:val="clear" w:color="auto" w:fill="auto"/>
            <w:noWrap/>
            <w:tcMar>
              <w:top w:w="15" w:type="dxa"/>
              <w:left w:w="15" w:type="dxa"/>
              <w:right w:w="15" w:type="dxa"/>
            </w:tcMar>
            <w:vAlign w:val="center"/>
          </w:tcPr>
          <w:p w14:paraId="15C119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8.72</w:t>
            </w:r>
          </w:p>
        </w:tc>
      </w:tr>
      <w:tr w14:paraId="3FB887E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4006" w:type="pct"/>
            <w:gridSpan w:val="3"/>
            <w:tcBorders>
              <w:tl2br w:val="nil"/>
              <w:tr2bl w:val="nil"/>
            </w:tcBorders>
            <w:shd w:val="clear" w:color="auto" w:fill="auto"/>
            <w:noWrap/>
            <w:tcMar>
              <w:top w:w="15" w:type="dxa"/>
              <w:left w:w="15" w:type="dxa"/>
              <w:right w:w="15" w:type="dxa"/>
            </w:tcMar>
            <w:vAlign w:val="center"/>
          </w:tcPr>
          <w:p w14:paraId="285D98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最小值</w:t>
            </w:r>
          </w:p>
        </w:tc>
        <w:tc>
          <w:tcPr>
            <w:tcW w:w="993" w:type="pct"/>
            <w:tcBorders>
              <w:tl2br w:val="nil"/>
              <w:tr2bl w:val="nil"/>
            </w:tcBorders>
            <w:shd w:val="clear" w:color="auto" w:fill="auto"/>
            <w:noWrap/>
            <w:tcMar>
              <w:top w:w="15" w:type="dxa"/>
              <w:left w:w="15" w:type="dxa"/>
              <w:right w:w="15" w:type="dxa"/>
            </w:tcMar>
            <w:vAlign w:val="center"/>
          </w:tcPr>
          <w:p w14:paraId="5CCFFF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5.2</w:t>
            </w:r>
            <w:r>
              <w:rPr>
                <w:rFonts w:hint="default" w:ascii="Times New Roman" w:hAnsi="Times New Roman" w:cs="Times New Roman"/>
                <w:i w:val="0"/>
                <w:color w:val="000000"/>
                <w:kern w:val="0"/>
                <w:sz w:val="21"/>
                <w:szCs w:val="21"/>
                <w:highlight w:val="none"/>
                <w:u w:val="none"/>
                <w:lang w:val="en-US" w:eastAsia="zh-CN" w:bidi="ar"/>
              </w:rPr>
              <w:t>0</w:t>
            </w:r>
          </w:p>
        </w:tc>
      </w:tr>
      <w:tr w14:paraId="222713D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4006" w:type="pct"/>
            <w:gridSpan w:val="3"/>
            <w:tcBorders>
              <w:tl2br w:val="nil"/>
              <w:tr2bl w:val="nil"/>
            </w:tcBorders>
            <w:shd w:val="clear" w:color="auto" w:fill="auto"/>
            <w:noWrap/>
            <w:tcMar>
              <w:top w:w="15" w:type="dxa"/>
              <w:left w:w="15" w:type="dxa"/>
              <w:right w:w="15" w:type="dxa"/>
            </w:tcMar>
            <w:vAlign w:val="center"/>
          </w:tcPr>
          <w:p w14:paraId="733DD3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平均值</w:t>
            </w:r>
          </w:p>
        </w:tc>
        <w:tc>
          <w:tcPr>
            <w:tcW w:w="993" w:type="pct"/>
            <w:tcBorders>
              <w:tl2br w:val="nil"/>
              <w:tr2bl w:val="nil"/>
            </w:tcBorders>
            <w:shd w:val="clear" w:color="auto" w:fill="auto"/>
            <w:noWrap/>
            <w:tcMar>
              <w:top w:w="15" w:type="dxa"/>
              <w:left w:w="15" w:type="dxa"/>
              <w:right w:w="15" w:type="dxa"/>
            </w:tcMar>
            <w:vAlign w:val="center"/>
          </w:tcPr>
          <w:p w14:paraId="7C784D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7.30</w:t>
            </w:r>
          </w:p>
        </w:tc>
      </w:tr>
    </w:tbl>
    <w:p w14:paraId="1FCBD9A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w:hAnsi="Times New Roman" w:cs="Times New Roman"/>
          <w:highlight w:val="none"/>
          <w:lang w:eastAsia="zh-CN"/>
        </w:rPr>
      </w:pPr>
      <w:bookmarkStart w:id="42" w:name="_Toc28171_WPSOffice_Level2"/>
      <w:bookmarkEnd w:id="42"/>
      <w:r>
        <w:rPr>
          <w:rFonts w:hint="default" w:ascii="Times New Roman" w:hAnsi="Times New Roman" w:cs="Times New Roman"/>
          <w:highlight w:val="none"/>
          <w:lang w:eastAsia="zh-CN"/>
        </w:rPr>
        <w:t>各点位</w:t>
      </w:r>
      <w:r>
        <w:rPr>
          <w:rFonts w:hint="default" w:ascii="Times New Roman" w:hAnsi="Times New Roman" w:cs="Times New Roman"/>
          <w:highlight w:val="none"/>
          <w:lang w:val="en-US" w:eastAsia="zh-CN"/>
        </w:rPr>
        <w:t>pH值</w:t>
      </w:r>
      <w:r>
        <w:rPr>
          <w:rFonts w:hint="default" w:ascii="Times New Roman" w:hAnsi="Times New Roman" w:cs="Times New Roman"/>
          <w:highlight w:val="none"/>
          <w:lang w:eastAsia="zh-CN"/>
        </w:rPr>
        <w:t>散点分布图如下：</w:t>
      </w:r>
    </w:p>
    <w:p w14:paraId="0F9A5F53">
      <w:pPr>
        <w:numPr>
          <w:ilvl w:val="0"/>
          <w:numId w:val="0"/>
        </w:numPr>
        <w:bidi w:val="0"/>
        <w:ind w:left="420" w:leftChars="0"/>
        <w:rPr>
          <w:rFonts w:hint="default" w:ascii="Times New Roman" w:hAnsi="Times New Roman" w:cs="Times New Roman"/>
          <w:b/>
          <w:bCs/>
          <w:highlight w:val="none"/>
          <w:lang w:val="en-US" w:eastAsia="zh-CN"/>
        </w:rPr>
      </w:pPr>
    </w:p>
    <w:tbl>
      <w:tblPr>
        <w:tblStyle w:val="22"/>
        <w:tblW w:w="88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26"/>
      </w:tblGrid>
      <w:tr w14:paraId="26644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5F61BF0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highlight w:val="none"/>
              </w:rPr>
            </w:pPr>
            <w:r>
              <w:rPr>
                <w:rFonts w:hint="default"/>
                <w:highlight w:val="none"/>
              </w:rPr>
              <w:drawing>
                <wp:inline distT="0" distB="0" distL="114300" distR="114300">
                  <wp:extent cx="5400040" cy="3599815"/>
                  <wp:effectExtent l="9525" t="9525" r="19685" b="48260"/>
                  <wp:docPr id="2"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84ED0D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b/>
                <w:bCs/>
                <w:highlight w:val="none"/>
                <w:lang w:eastAsia="zh-CN"/>
              </w:rPr>
              <w:t>图</w:t>
            </w:r>
            <w:r>
              <w:rPr>
                <w:rFonts w:hint="default" w:ascii="Times New Roman" w:hAnsi="Times New Roman" w:eastAsia="宋体" w:cs="Times New Roman"/>
                <w:b/>
                <w:bCs/>
                <w:highlight w:val="none"/>
                <w:lang w:val="en-US" w:eastAsia="zh-CN"/>
              </w:rPr>
              <w:t>5-3-1 pH指标</w:t>
            </w:r>
            <w:r>
              <w:rPr>
                <w:rFonts w:hint="eastAsia" w:cs="Times New Roman"/>
                <w:b/>
                <w:bCs/>
                <w:highlight w:val="none"/>
                <w:lang w:val="en-US" w:eastAsia="zh-CN"/>
              </w:rPr>
              <w:t>监测值</w:t>
            </w:r>
            <w:r>
              <w:rPr>
                <w:rFonts w:hint="default" w:ascii="Times New Roman" w:hAnsi="Times New Roman" w:eastAsia="宋体" w:cs="Times New Roman"/>
                <w:b/>
                <w:bCs/>
                <w:highlight w:val="none"/>
                <w:lang w:val="en-US" w:eastAsia="zh-CN"/>
              </w:rPr>
              <w:t>分布图</w:t>
            </w:r>
          </w:p>
        </w:tc>
      </w:tr>
    </w:tbl>
    <w:p w14:paraId="706D2E46">
      <w:pPr>
        <w:numPr>
          <w:ilvl w:val="0"/>
          <w:numId w:val="10"/>
        </w:numPr>
        <w:bidi w:val="0"/>
        <w:ind w:left="0" w:leftChars="0" w:firstLine="420" w:firstLineChars="0"/>
        <w:rPr>
          <w:rFonts w:hint="default" w:ascii="Times New Roman" w:hAnsi="Times New Roman" w:cs="Times New Roman"/>
          <w:b/>
          <w:bCs/>
          <w:highlight w:val="none"/>
          <w:lang w:val="en-US" w:eastAsia="zh-CN"/>
        </w:rPr>
      </w:pPr>
      <w:r>
        <w:rPr>
          <w:rFonts w:hint="eastAsia" w:cs="Times New Roman"/>
          <w:b/>
          <w:bCs/>
          <w:highlight w:val="none"/>
          <w:lang w:val="en-US" w:eastAsia="zh-CN"/>
        </w:rPr>
        <w:t>总氟化物</w:t>
      </w:r>
    </w:p>
    <w:p w14:paraId="0F2C056B">
      <w:pPr>
        <w:pStyle w:val="2"/>
        <w:keepNext w:val="0"/>
        <w:keepLines w:val="0"/>
        <w:pageBreakBefore w:val="0"/>
        <w:widowControl w:val="0"/>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highlight w:val="none"/>
          <w:lang w:val="en-US" w:eastAsia="zh-CN"/>
        </w:rPr>
        <w:t>20</w:t>
      </w:r>
      <w:r>
        <w:rPr>
          <w:rFonts w:hint="default" w:ascii="Times New Roman" w:hAnsi="Times New Roman" w:cs="Times New Roman"/>
          <w:sz w:val="24"/>
          <w:highlight w:val="none"/>
        </w:rPr>
        <w:t>个</w:t>
      </w:r>
      <w:r>
        <w:rPr>
          <w:rFonts w:hint="default" w:ascii="Times New Roman" w:hAnsi="Times New Roman" w:cs="Times New Roman"/>
          <w:sz w:val="24"/>
          <w:highlight w:val="none"/>
          <w:lang w:eastAsia="zh-CN"/>
        </w:rPr>
        <w:t>土壤样品</w:t>
      </w:r>
      <w:r>
        <w:rPr>
          <w:rFonts w:hint="eastAsia"/>
          <w:highlight w:val="none"/>
        </w:rPr>
        <w:t>（</w:t>
      </w:r>
      <w:r>
        <w:rPr>
          <w:rFonts w:hint="eastAsia"/>
          <w:highlight w:val="none"/>
          <w:lang w:eastAsia="zh-CN"/>
        </w:rPr>
        <w:t>不含质控样品</w:t>
      </w:r>
      <w:r>
        <w:rPr>
          <w:rFonts w:hint="eastAsia"/>
          <w:highlight w:val="none"/>
        </w:rPr>
        <w:t>）</w:t>
      </w:r>
      <w:r>
        <w:rPr>
          <w:rFonts w:hint="eastAsia" w:cs="Times New Roman"/>
          <w:sz w:val="24"/>
          <w:highlight w:val="none"/>
          <w:lang w:eastAsia="zh-CN"/>
        </w:rPr>
        <w:t>总氟化物</w:t>
      </w:r>
      <w:r>
        <w:rPr>
          <w:rFonts w:hint="default" w:ascii="Times New Roman" w:hAnsi="Times New Roman" w:cs="Times New Roman"/>
          <w:sz w:val="24"/>
          <w:highlight w:val="none"/>
          <w:lang w:eastAsia="zh-CN"/>
        </w:rPr>
        <w:t>均有检出，检出率</w:t>
      </w:r>
      <w:r>
        <w:rPr>
          <w:rFonts w:hint="default" w:ascii="Times New Roman" w:hAnsi="Times New Roman" w:cs="Times New Roman"/>
          <w:sz w:val="24"/>
          <w:highlight w:val="none"/>
          <w:lang w:val="en-US" w:eastAsia="zh-CN"/>
        </w:rPr>
        <w:t>100%</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rPr>
        <w:t>检测结果显示，</w:t>
      </w:r>
      <w:r>
        <w:rPr>
          <w:rFonts w:hint="default" w:ascii="Times New Roman" w:hAnsi="Times New Roman" w:cs="Times New Roman"/>
          <w:sz w:val="24"/>
          <w:highlight w:val="none"/>
          <w:lang w:val="en-US" w:eastAsia="zh-CN"/>
        </w:rPr>
        <w:t>最小值为419mg/kg，最大值为693mg/kg，见</w:t>
      </w:r>
      <w:r>
        <w:rPr>
          <w:rFonts w:hint="default" w:ascii="Times New Roman" w:hAnsi="Times New Roman" w:cs="Times New Roman"/>
          <w:sz w:val="24"/>
          <w:szCs w:val="24"/>
          <w:highlight w:val="none"/>
        </w:rPr>
        <w:t>表</w:t>
      </w:r>
      <w:r>
        <w:rPr>
          <w:rFonts w:hint="default" w:ascii="Times New Roman" w:hAnsi="Times New Roman" w:cs="Times New Roman"/>
          <w:sz w:val="24"/>
          <w:szCs w:val="24"/>
          <w:highlight w:val="none"/>
          <w:lang w:val="en-US" w:eastAsia="zh-CN"/>
        </w:rPr>
        <w:t>5-3-2</w:t>
      </w:r>
      <w:r>
        <w:rPr>
          <w:rFonts w:hint="default" w:ascii="Times New Roman" w:hAnsi="Times New Roman" w:cs="Times New Roman"/>
          <w:sz w:val="24"/>
          <w:szCs w:val="24"/>
          <w:highlight w:val="none"/>
          <w:lang w:eastAsia="zh-CN"/>
        </w:rPr>
        <w:t>。</w:t>
      </w:r>
    </w:p>
    <w:p w14:paraId="242951D1">
      <w:pPr>
        <w:pStyle w:val="2"/>
        <w:keepNext w:val="0"/>
        <w:keepLines w:val="0"/>
        <w:pageBreakBefore w:val="0"/>
        <w:widowControl w:val="0"/>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highlight w:val="none"/>
          <w:lang w:val="en-US" w:eastAsia="zh-CN"/>
        </w:rPr>
      </w:pPr>
      <w:r>
        <w:rPr>
          <w:rFonts w:hint="default" w:ascii="Times New Roman" w:hAnsi="Times New Roman" w:cs="Times New Roman"/>
          <w:sz w:val="24"/>
          <w:szCs w:val="24"/>
          <w:highlight w:val="none"/>
        </w:rPr>
        <w:t>本次调查所有送检土壤样品</w:t>
      </w:r>
      <w:r>
        <w:rPr>
          <w:rFonts w:hint="eastAsia" w:cs="Times New Roman"/>
          <w:sz w:val="24"/>
          <w:szCs w:val="24"/>
          <w:highlight w:val="none"/>
          <w:lang w:val="en-US" w:eastAsia="zh-CN"/>
        </w:rPr>
        <w:t>总氟化物</w:t>
      </w:r>
      <w:r>
        <w:rPr>
          <w:rFonts w:hint="default" w:ascii="Times New Roman" w:hAnsi="Times New Roman" w:cs="Times New Roman"/>
          <w:sz w:val="24"/>
          <w:szCs w:val="24"/>
          <w:highlight w:val="none"/>
        </w:rPr>
        <w:t>检测值均低于</w:t>
      </w:r>
      <w:r>
        <w:rPr>
          <w:rFonts w:hint="default" w:ascii="Times New Roman" w:hAnsi="Times New Roman" w:cs="Times New Roman"/>
          <w:sz w:val="24"/>
          <w:szCs w:val="24"/>
          <w:highlight w:val="none"/>
          <w:lang w:eastAsia="zh-CN"/>
        </w:rPr>
        <w:t>对应的</w:t>
      </w:r>
      <w:r>
        <w:rPr>
          <w:rFonts w:hint="default" w:ascii="Times New Roman" w:hAnsi="Times New Roman" w:cs="Times New Roman"/>
          <w:sz w:val="24"/>
          <w:szCs w:val="24"/>
          <w:highlight w:val="none"/>
          <w:lang w:val="en-US" w:eastAsia="zh-CN"/>
        </w:rPr>
        <w:t>参考标准值，各点位</w:t>
      </w:r>
      <w:r>
        <w:rPr>
          <w:rFonts w:hint="eastAsia" w:cs="Times New Roman"/>
          <w:sz w:val="24"/>
          <w:szCs w:val="24"/>
          <w:highlight w:val="none"/>
          <w:lang w:val="en-US" w:eastAsia="zh-CN"/>
        </w:rPr>
        <w:t>总氟化物</w:t>
      </w:r>
      <w:r>
        <w:rPr>
          <w:rFonts w:hint="default" w:ascii="Times New Roman" w:hAnsi="Times New Roman" w:cs="Times New Roman"/>
          <w:sz w:val="24"/>
          <w:szCs w:val="24"/>
          <w:highlight w:val="none"/>
          <w:lang w:val="en-US" w:eastAsia="zh-CN"/>
        </w:rPr>
        <w:t>监测结果达标</w:t>
      </w:r>
      <w:r>
        <w:rPr>
          <w:rFonts w:hint="default" w:ascii="Times New Roman" w:hAnsi="Times New Roman" w:cs="Times New Roman"/>
          <w:sz w:val="24"/>
          <w:highlight w:val="none"/>
          <w:lang w:val="en-US" w:eastAsia="zh-CN"/>
        </w:rPr>
        <w:t>。</w:t>
      </w:r>
    </w:p>
    <w:p w14:paraId="3536DF51">
      <w:pPr>
        <w:pStyle w:val="2"/>
        <w:keepNext w:val="0"/>
        <w:keepLines w:val="0"/>
        <w:pageBreakBefore w:val="0"/>
        <w:widowControl w:val="0"/>
        <w:kinsoku/>
        <w:wordWrap/>
        <w:overflowPunct/>
        <w:topLinePunct w:val="0"/>
        <w:autoSpaceDE/>
        <w:autoSpaceDN/>
        <w:bidi w:val="0"/>
        <w:adjustRightInd/>
        <w:snapToGrid/>
        <w:spacing w:before="166" w:beforeLines="50" w:after="0" w:line="240" w:lineRule="auto"/>
        <w:jc w:val="center"/>
        <w:textAlignment w:val="auto"/>
        <w:rPr>
          <w:rFonts w:hint="default" w:ascii="Times New Roman" w:hAnsi="Times New Roman" w:eastAsia="黑体" w:cs="Times New Roman"/>
          <w:highlight w:val="none"/>
          <w:lang w:val="en-US" w:eastAsia="zh-CN"/>
        </w:rPr>
      </w:pPr>
      <w:r>
        <w:rPr>
          <w:rFonts w:hint="default" w:ascii="Times New Roman" w:hAnsi="Times New Roman" w:eastAsia="黑体" w:cs="Times New Roman"/>
          <w:b/>
          <w:bCs/>
          <w:color w:val="000000"/>
          <w:sz w:val="24"/>
          <w:highlight w:val="none"/>
        </w:rPr>
        <w:t>表5-</w:t>
      </w:r>
      <w:r>
        <w:rPr>
          <w:rFonts w:hint="default" w:ascii="Times New Roman" w:hAnsi="Times New Roman" w:eastAsia="黑体" w:cs="Times New Roman"/>
          <w:b/>
          <w:bCs/>
          <w:color w:val="000000"/>
          <w:sz w:val="24"/>
          <w:highlight w:val="none"/>
          <w:lang w:val="en-US" w:eastAsia="zh-CN"/>
        </w:rPr>
        <w:t>3</w:t>
      </w:r>
      <w:r>
        <w:rPr>
          <w:rFonts w:hint="default" w:ascii="Times New Roman" w:hAnsi="Times New Roman" w:eastAsia="黑体" w:cs="Times New Roman"/>
          <w:b/>
          <w:bCs/>
          <w:color w:val="000000"/>
          <w:sz w:val="24"/>
          <w:highlight w:val="none"/>
        </w:rPr>
        <w:t>-</w:t>
      </w:r>
      <w:r>
        <w:rPr>
          <w:rFonts w:hint="default" w:ascii="Times New Roman" w:hAnsi="Times New Roman" w:eastAsia="黑体" w:cs="Times New Roman"/>
          <w:b/>
          <w:bCs/>
          <w:color w:val="000000"/>
          <w:sz w:val="24"/>
          <w:highlight w:val="none"/>
          <w:lang w:val="en-US" w:eastAsia="zh-CN"/>
        </w:rPr>
        <w:t>2</w:t>
      </w:r>
      <w:r>
        <w:rPr>
          <w:rFonts w:hint="default" w:ascii="Times New Roman" w:hAnsi="Times New Roman" w:eastAsia="黑体" w:cs="Times New Roman"/>
          <w:b/>
          <w:bCs/>
          <w:color w:val="000000"/>
          <w:sz w:val="24"/>
          <w:highlight w:val="none"/>
        </w:rPr>
        <w:t xml:space="preserve"> 土壤样</w:t>
      </w:r>
      <w:r>
        <w:rPr>
          <w:rFonts w:hint="default" w:ascii="Times New Roman" w:hAnsi="Times New Roman" w:eastAsia="黑体" w:cs="Times New Roman"/>
          <w:b/>
          <w:bCs/>
          <w:color w:val="000000"/>
          <w:sz w:val="24"/>
          <w:highlight w:val="none"/>
          <w:lang w:eastAsia="zh-CN"/>
        </w:rPr>
        <w:t>品</w:t>
      </w:r>
      <w:r>
        <w:rPr>
          <w:rFonts w:hint="eastAsia" w:eastAsia="黑体" w:cs="Times New Roman"/>
          <w:b/>
          <w:bCs/>
          <w:color w:val="000000"/>
          <w:sz w:val="24"/>
          <w:highlight w:val="none"/>
          <w:lang w:eastAsia="zh-CN"/>
        </w:rPr>
        <w:t>总氟化物</w:t>
      </w:r>
      <w:r>
        <w:rPr>
          <w:rFonts w:hint="default" w:ascii="Times New Roman" w:hAnsi="Times New Roman" w:eastAsia="黑体" w:cs="Times New Roman"/>
          <w:b/>
          <w:bCs/>
          <w:color w:val="000000"/>
          <w:sz w:val="24"/>
          <w:highlight w:val="none"/>
          <w:lang w:eastAsia="zh-CN"/>
        </w:rPr>
        <w:t>监测值</w:t>
      </w:r>
      <w:r>
        <w:rPr>
          <w:rFonts w:hint="default" w:ascii="Times New Roman" w:hAnsi="Times New Roman" w:eastAsia="黑体" w:cs="Times New Roman"/>
          <w:b/>
          <w:bCs/>
          <w:color w:val="000000"/>
          <w:sz w:val="24"/>
          <w:highlight w:val="none"/>
        </w:rPr>
        <w:t>（单位：mg/kg）</w:t>
      </w:r>
    </w:p>
    <w:tbl>
      <w:tblPr>
        <w:tblStyle w:val="21"/>
        <w:tblW w:w="4996"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1115"/>
        <w:gridCol w:w="1457"/>
        <w:gridCol w:w="2589"/>
        <w:gridCol w:w="3085"/>
        <w:gridCol w:w="1358"/>
      </w:tblGrid>
      <w:tr w14:paraId="17CFAE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 w:hRule="atLeast"/>
          <w:tblHeader/>
          <w:jc w:val="center"/>
        </w:trPr>
        <w:tc>
          <w:tcPr>
            <w:tcW w:w="580" w:type="pct"/>
            <w:tcBorders>
              <w:bottom w:val="single" w:color="000000" w:sz="12" w:space="0"/>
            </w:tcBorders>
            <w:shd w:val="clear" w:color="auto" w:fill="auto"/>
            <w:noWrap/>
            <w:tcMar>
              <w:top w:w="15" w:type="dxa"/>
              <w:left w:w="15" w:type="dxa"/>
              <w:right w:w="15" w:type="dxa"/>
            </w:tcMar>
            <w:vAlign w:val="center"/>
          </w:tcPr>
          <w:p w14:paraId="62F609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序号</w:t>
            </w:r>
          </w:p>
        </w:tc>
        <w:tc>
          <w:tcPr>
            <w:tcW w:w="758" w:type="pct"/>
            <w:tcBorders>
              <w:bottom w:val="single" w:color="000000" w:sz="12" w:space="0"/>
            </w:tcBorders>
            <w:shd w:val="clear" w:color="auto" w:fill="auto"/>
            <w:noWrap/>
            <w:tcMar>
              <w:top w:w="15" w:type="dxa"/>
              <w:left w:w="15" w:type="dxa"/>
              <w:right w:w="15" w:type="dxa"/>
            </w:tcMar>
            <w:vAlign w:val="center"/>
          </w:tcPr>
          <w:p w14:paraId="10B10C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样品编号</w:t>
            </w:r>
          </w:p>
        </w:tc>
        <w:tc>
          <w:tcPr>
            <w:tcW w:w="1347" w:type="pct"/>
            <w:tcBorders>
              <w:bottom w:val="single" w:color="000000" w:sz="12" w:space="0"/>
            </w:tcBorders>
            <w:shd w:val="clear" w:color="auto" w:fill="auto"/>
            <w:noWrap/>
            <w:tcMar>
              <w:top w:w="15" w:type="dxa"/>
              <w:left w:w="15" w:type="dxa"/>
              <w:right w:w="15" w:type="dxa"/>
            </w:tcMar>
            <w:vAlign w:val="center"/>
          </w:tcPr>
          <w:p w14:paraId="45575934">
            <w:pPr>
              <w:keepNext w:val="0"/>
              <w:keepLines w:val="0"/>
              <w:widowControl/>
              <w:suppressLineNumbers w:val="0"/>
              <w:spacing w:before="0" w:beforeAutospacing="0" w:after="0" w:afterAutospacing="0" w:line="240" w:lineRule="auto"/>
              <w:ind w:left="0" w:right="0"/>
              <w:jc w:val="center"/>
              <w:textAlignment w:val="center"/>
              <w:rPr>
                <w:rFonts w:hint="default" w:cs="Times New Roman"/>
                <w:b/>
                <w:i w:val="0"/>
                <w:color w:val="000000"/>
                <w:kern w:val="0"/>
                <w:sz w:val="21"/>
                <w:szCs w:val="21"/>
                <w:highlight w:val="none"/>
                <w:u w:val="none"/>
                <w:lang w:val="en-US" w:eastAsia="zh-CN" w:bidi="ar"/>
              </w:rPr>
            </w:pPr>
            <w:r>
              <w:rPr>
                <w:rFonts w:hint="eastAsia" w:cs="Times New Roman"/>
                <w:b/>
                <w:i w:val="0"/>
                <w:color w:val="000000"/>
                <w:kern w:val="0"/>
                <w:sz w:val="21"/>
                <w:szCs w:val="21"/>
                <w:highlight w:val="none"/>
                <w:u w:val="none"/>
                <w:lang w:val="en-US" w:eastAsia="zh-CN" w:bidi="ar"/>
              </w:rPr>
              <w:t>点位位置</w:t>
            </w:r>
          </w:p>
        </w:tc>
        <w:tc>
          <w:tcPr>
            <w:tcW w:w="1606" w:type="pct"/>
            <w:tcBorders>
              <w:bottom w:val="single" w:color="000000" w:sz="12" w:space="0"/>
            </w:tcBorders>
            <w:shd w:val="clear" w:color="auto" w:fill="auto"/>
            <w:noWrap/>
            <w:tcMar>
              <w:top w:w="15" w:type="dxa"/>
              <w:left w:w="15" w:type="dxa"/>
              <w:right w:w="15" w:type="dxa"/>
            </w:tcMar>
            <w:vAlign w:val="center"/>
          </w:tcPr>
          <w:p w14:paraId="33A0C559">
            <w:pPr>
              <w:keepNext w:val="0"/>
              <w:keepLines w:val="0"/>
              <w:widowControl/>
              <w:suppressLineNumbers w:val="0"/>
              <w:spacing w:before="0" w:beforeAutospacing="0" w:after="0" w:afterAutospacing="0" w:line="240" w:lineRule="auto"/>
              <w:ind w:left="0" w:right="0"/>
              <w:jc w:val="center"/>
              <w:textAlignment w:val="center"/>
              <w:rPr>
                <w:rFonts w:hint="default" w:cs="Times New Roman"/>
                <w:b/>
                <w:i w:val="0"/>
                <w:color w:val="000000"/>
                <w:kern w:val="0"/>
                <w:sz w:val="21"/>
                <w:szCs w:val="21"/>
                <w:highlight w:val="none"/>
                <w:u w:val="none"/>
                <w:lang w:val="en-US" w:eastAsia="zh-CN" w:bidi="ar"/>
              </w:rPr>
            </w:pPr>
            <w:r>
              <w:rPr>
                <w:rFonts w:hint="eastAsia" w:cs="Times New Roman"/>
                <w:b/>
                <w:i w:val="0"/>
                <w:color w:val="000000"/>
                <w:kern w:val="0"/>
                <w:sz w:val="21"/>
                <w:szCs w:val="21"/>
                <w:highlight w:val="none"/>
                <w:u w:val="none"/>
                <w:lang w:val="en-US" w:eastAsia="zh-CN" w:bidi="ar"/>
              </w:rPr>
              <w:t>参考标准</w:t>
            </w:r>
            <w:r>
              <w:rPr>
                <w:rFonts w:hint="eastAsia" w:cs="Times New Roman"/>
                <w:b/>
                <w:i w:val="0"/>
                <w:color w:val="000000"/>
                <w:kern w:val="0"/>
                <w:sz w:val="21"/>
                <w:szCs w:val="21"/>
                <w:highlight w:val="none"/>
                <w:u w:val="none"/>
                <w:vertAlign w:val="superscript"/>
                <w:lang w:val="en-US" w:eastAsia="zh-CN" w:bidi="ar"/>
              </w:rPr>
              <w:t>①</w:t>
            </w:r>
          </w:p>
        </w:tc>
        <w:tc>
          <w:tcPr>
            <w:tcW w:w="706" w:type="pct"/>
            <w:tcBorders>
              <w:bottom w:val="single" w:color="000000" w:sz="12" w:space="0"/>
            </w:tcBorders>
            <w:shd w:val="clear" w:color="auto" w:fill="auto"/>
            <w:noWrap/>
            <w:tcMar>
              <w:top w:w="15" w:type="dxa"/>
              <w:left w:w="15" w:type="dxa"/>
              <w:right w:w="15" w:type="dxa"/>
            </w:tcMar>
            <w:vAlign w:val="center"/>
          </w:tcPr>
          <w:p w14:paraId="6D85FB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lang w:val="en-US"/>
              </w:rPr>
            </w:pPr>
            <w:r>
              <w:rPr>
                <w:rFonts w:hint="eastAsia" w:cs="Times New Roman"/>
                <w:b/>
                <w:i w:val="0"/>
                <w:color w:val="000000"/>
                <w:kern w:val="0"/>
                <w:sz w:val="21"/>
                <w:szCs w:val="21"/>
                <w:highlight w:val="none"/>
                <w:u w:val="none"/>
                <w:lang w:val="en-US" w:eastAsia="zh-CN" w:bidi="ar"/>
              </w:rPr>
              <w:t>总氟化物</w:t>
            </w:r>
          </w:p>
        </w:tc>
      </w:tr>
      <w:tr w14:paraId="085F75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580" w:type="pct"/>
            <w:tcBorders>
              <w:top w:val="single" w:color="000000" w:sz="12" w:space="0"/>
              <w:tl2br w:val="nil"/>
              <w:tr2bl w:val="nil"/>
            </w:tcBorders>
            <w:shd w:val="clear" w:color="auto" w:fill="auto"/>
            <w:noWrap/>
            <w:tcMar>
              <w:top w:w="15" w:type="dxa"/>
              <w:left w:w="15" w:type="dxa"/>
              <w:right w:w="15" w:type="dxa"/>
            </w:tcMar>
            <w:vAlign w:val="center"/>
          </w:tcPr>
          <w:p w14:paraId="187C28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w:t>
            </w:r>
          </w:p>
        </w:tc>
        <w:tc>
          <w:tcPr>
            <w:tcW w:w="758" w:type="pct"/>
            <w:tcBorders>
              <w:top w:val="single" w:color="000000" w:sz="12" w:space="0"/>
              <w:tl2br w:val="nil"/>
              <w:tr2bl w:val="nil"/>
            </w:tcBorders>
            <w:shd w:val="clear" w:color="auto" w:fill="auto"/>
            <w:noWrap/>
            <w:tcMar>
              <w:top w:w="15" w:type="dxa"/>
              <w:left w:w="15" w:type="dxa"/>
              <w:right w:w="15" w:type="dxa"/>
            </w:tcMar>
            <w:vAlign w:val="center"/>
          </w:tcPr>
          <w:p w14:paraId="4DA951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HR-1-75</w:t>
            </w:r>
          </w:p>
        </w:tc>
        <w:tc>
          <w:tcPr>
            <w:tcW w:w="1347" w:type="pct"/>
            <w:tcBorders>
              <w:top w:val="single" w:color="000000" w:sz="12" w:space="0"/>
              <w:tl2br w:val="nil"/>
              <w:tr2bl w:val="nil"/>
            </w:tcBorders>
            <w:shd w:val="clear" w:color="auto" w:fill="auto"/>
            <w:noWrap/>
            <w:tcMar>
              <w:top w:w="15" w:type="dxa"/>
              <w:left w:w="15" w:type="dxa"/>
              <w:right w:w="15" w:type="dxa"/>
            </w:tcMar>
            <w:vAlign w:val="center"/>
          </w:tcPr>
          <w:p w14:paraId="57388935">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园区边界西侧下风向75m</w:t>
            </w:r>
          </w:p>
        </w:tc>
        <w:tc>
          <w:tcPr>
            <w:tcW w:w="1606" w:type="pct"/>
            <w:tcBorders>
              <w:top w:val="single" w:color="000000" w:sz="12" w:space="0"/>
              <w:tl2br w:val="nil"/>
              <w:tr2bl w:val="nil"/>
            </w:tcBorders>
            <w:shd w:val="clear" w:color="auto" w:fill="auto"/>
            <w:noWrap/>
            <w:tcMar>
              <w:top w:w="15" w:type="dxa"/>
              <w:left w:w="15" w:type="dxa"/>
              <w:right w:w="15" w:type="dxa"/>
            </w:tcMar>
            <w:vAlign w:val="center"/>
          </w:tcPr>
          <w:p w14:paraId="7606D9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kern w:val="2"/>
                <w:sz w:val="21"/>
                <w:szCs w:val="21"/>
                <w:highlight w:val="none"/>
                <w:u w:val="none"/>
                <w:lang w:val="en-US" w:eastAsia="zh-CN" w:bidi="ar-SA"/>
              </w:rPr>
            </w:pPr>
            <w:r>
              <w:rPr>
                <w:rFonts w:hint="default" w:ascii="Times New Roman" w:hAnsi="Times New Roman" w:cs="Times New Roman"/>
                <w:i w:val="0"/>
                <w:color w:val="000000"/>
                <w:sz w:val="21"/>
                <w:szCs w:val="21"/>
                <w:highlight w:val="none"/>
                <w:u w:val="none"/>
                <w:lang w:val="en-US" w:eastAsia="zh-CN"/>
              </w:rPr>
              <w:t>第二类用地筛选值</w:t>
            </w:r>
          </w:p>
        </w:tc>
        <w:tc>
          <w:tcPr>
            <w:tcW w:w="706" w:type="pct"/>
            <w:tcBorders>
              <w:top w:val="single" w:color="000000" w:sz="12" w:space="0"/>
              <w:tl2br w:val="nil"/>
              <w:tr2bl w:val="nil"/>
            </w:tcBorders>
            <w:shd w:val="clear" w:color="auto" w:fill="auto"/>
            <w:noWrap/>
            <w:tcMar>
              <w:top w:w="15" w:type="dxa"/>
              <w:left w:w="15" w:type="dxa"/>
              <w:right w:w="15" w:type="dxa"/>
            </w:tcMar>
            <w:vAlign w:val="center"/>
          </w:tcPr>
          <w:p w14:paraId="0D77D5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599</w:t>
            </w:r>
          </w:p>
        </w:tc>
      </w:tr>
      <w:tr w14:paraId="4BDF43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580" w:type="pct"/>
            <w:tcBorders>
              <w:tl2br w:val="nil"/>
              <w:tr2bl w:val="nil"/>
            </w:tcBorders>
            <w:shd w:val="clear" w:color="auto" w:fill="auto"/>
            <w:noWrap/>
            <w:tcMar>
              <w:top w:w="15" w:type="dxa"/>
              <w:left w:w="15" w:type="dxa"/>
              <w:right w:w="15" w:type="dxa"/>
            </w:tcMar>
            <w:vAlign w:val="center"/>
          </w:tcPr>
          <w:p w14:paraId="22ACD3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w:t>
            </w:r>
          </w:p>
        </w:tc>
        <w:tc>
          <w:tcPr>
            <w:tcW w:w="758" w:type="pct"/>
            <w:tcBorders>
              <w:tl2br w:val="nil"/>
              <w:tr2bl w:val="nil"/>
            </w:tcBorders>
            <w:shd w:val="clear" w:color="auto" w:fill="auto"/>
            <w:noWrap/>
            <w:tcMar>
              <w:top w:w="15" w:type="dxa"/>
              <w:left w:w="15" w:type="dxa"/>
              <w:right w:w="15" w:type="dxa"/>
            </w:tcMar>
            <w:vAlign w:val="center"/>
          </w:tcPr>
          <w:p w14:paraId="4B764C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HR-1-200</w:t>
            </w:r>
          </w:p>
        </w:tc>
        <w:tc>
          <w:tcPr>
            <w:tcW w:w="1347" w:type="pct"/>
            <w:tcBorders>
              <w:tl2br w:val="nil"/>
              <w:tr2bl w:val="nil"/>
            </w:tcBorders>
            <w:shd w:val="clear" w:color="auto" w:fill="auto"/>
            <w:noWrap/>
            <w:tcMar>
              <w:top w:w="15" w:type="dxa"/>
              <w:left w:w="15" w:type="dxa"/>
              <w:right w:w="15" w:type="dxa"/>
            </w:tcMar>
            <w:vAlign w:val="center"/>
          </w:tcPr>
          <w:p w14:paraId="7CC399DB">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园区边界西侧下风向200m</w:t>
            </w:r>
          </w:p>
        </w:tc>
        <w:tc>
          <w:tcPr>
            <w:tcW w:w="1606" w:type="pct"/>
            <w:tcBorders>
              <w:tl2br w:val="nil"/>
              <w:tr2bl w:val="nil"/>
            </w:tcBorders>
            <w:shd w:val="clear" w:color="auto" w:fill="auto"/>
            <w:noWrap/>
            <w:tcMar>
              <w:top w:w="15" w:type="dxa"/>
              <w:left w:w="15" w:type="dxa"/>
              <w:right w:w="15" w:type="dxa"/>
            </w:tcMar>
            <w:vAlign w:val="center"/>
          </w:tcPr>
          <w:p w14:paraId="46BDF7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二类用地筛选值</w:t>
            </w:r>
          </w:p>
        </w:tc>
        <w:tc>
          <w:tcPr>
            <w:tcW w:w="706" w:type="pct"/>
            <w:tcBorders>
              <w:tl2br w:val="nil"/>
              <w:tr2bl w:val="nil"/>
            </w:tcBorders>
            <w:shd w:val="clear" w:color="auto" w:fill="auto"/>
            <w:noWrap/>
            <w:tcMar>
              <w:top w:w="15" w:type="dxa"/>
              <w:left w:w="15" w:type="dxa"/>
              <w:right w:w="15" w:type="dxa"/>
            </w:tcMar>
            <w:vAlign w:val="center"/>
          </w:tcPr>
          <w:p w14:paraId="1B6853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547</w:t>
            </w:r>
          </w:p>
        </w:tc>
      </w:tr>
      <w:tr w14:paraId="368DBF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580" w:type="pct"/>
            <w:tcBorders>
              <w:tl2br w:val="nil"/>
              <w:tr2bl w:val="nil"/>
            </w:tcBorders>
            <w:shd w:val="clear" w:color="auto" w:fill="auto"/>
            <w:noWrap/>
            <w:tcMar>
              <w:top w:w="15" w:type="dxa"/>
              <w:left w:w="15" w:type="dxa"/>
              <w:right w:w="15" w:type="dxa"/>
            </w:tcMar>
            <w:vAlign w:val="center"/>
          </w:tcPr>
          <w:p w14:paraId="448905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w:t>
            </w:r>
          </w:p>
        </w:tc>
        <w:tc>
          <w:tcPr>
            <w:tcW w:w="758" w:type="pct"/>
            <w:tcBorders>
              <w:tl2br w:val="nil"/>
              <w:tr2bl w:val="nil"/>
            </w:tcBorders>
            <w:shd w:val="clear" w:color="auto" w:fill="auto"/>
            <w:noWrap/>
            <w:tcMar>
              <w:top w:w="15" w:type="dxa"/>
              <w:left w:w="15" w:type="dxa"/>
              <w:right w:w="15" w:type="dxa"/>
            </w:tcMar>
            <w:vAlign w:val="center"/>
          </w:tcPr>
          <w:p w14:paraId="3D9914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HR-1-400</w:t>
            </w:r>
          </w:p>
        </w:tc>
        <w:tc>
          <w:tcPr>
            <w:tcW w:w="1347" w:type="pct"/>
            <w:tcBorders>
              <w:tl2br w:val="nil"/>
              <w:tr2bl w:val="nil"/>
            </w:tcBorders>
            <w:shd w:val="clear" w:color="auto" w:fill="auto"/>
            <w:noWrap/>
            <w:tcMar>
              <w:top w:w="15" w:type="dxa"/>
              <w:left w:w="15" w:type="dxa"/>
              <w:right w:w="15" w:type="dxa"/>
            </w:tcMar>
            <w:vAlign w:val="center"/>
          </w:tcPr>
          <w:p w14:paraId="6AA2095C">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园区边界西侧下风向400m</w:t>
            </w:r>
          </w:p>
        </w:tc>
        <w:tc>
          <w:tcPr>
            <w:tcW w:w="1606" w:type="pct"/>
            <w:tcBorders>
              <w:tl2br w:val="nil"/>
              <w:tr2bl w:val="nil"/>
            </w:tcBorders>
            <w:shd w:val="clear" w:color="auto" w:fill="auto"/>
            <w:noWrap/>
            <w:tcMar>
              <w:top w:w="15" w:type="dxa"/>
              <w:left w:w="15" w:type="dxa"/>
              <w:right w:w="15" w:type="dxa"/>
            </w:tcMar>
            <w:vAlign w:val="center"/>
          </w:tcPr>
          <w:p w14:paraId="53AF61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二类用地筛选值</w:t>
            </w:r>
          </w:p>
        </w:tc>
        <w:tc>
          <w:tcPr>
            <w:tcW w:w="706" w:type="pct"/>
            <w:tcBorders>
              <w:tl2br w:val="nil"/>
              <w:tr2bl w:val="nil"/>
            </w:tcBorders>
            <w:shd w:val="clear" w:color="auto" w:fill="auto"/>
            <w:noWrap/>
            <w:tcMar>
              <w:top w:w="15" w:type="dxa"/>
              <w:left w:w="15" w:type="dxa"/>
              <w:right w:w="15" w:type="dxa"/>
            </w:tcMar>
            <w:vAlign w:val="center"/>
          </w:tcPr>
          <w:p w14:paraId="739E508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603</w:t>
            </w:r>
          </w:p>
        </w:tc>
      </w:tr>
      <w:tr w14:paraId="3F3EBC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580" w:type="pct"/>
            <w:tcBorders>
              <w:tl2br w:val="nil"/>
              <w:tr2bl w:val="nil"/>
            </w:tcBorders>
            <w:shd w:val="clear" w:color="auto" w:fill="auto"/>
            <w:noWrap/>
            <w:tcMar>
              <w:top w:w="15" w:type="dxa"/>
              <w:left w:w="15" w:type="dxa"/>
              <w:right w:w="15" w:type="dxa"/>
            </w:tcMar>
            <w:vAlign w:val="center"/>
          </w:tcPr>
          <w:p w14:paraId="1140A0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w:t>
            </w:r>
          </w:p>
        </w:tc>
        <w:tc>
          <w:tcPr>
            <w:tcW w:w="758" w:type="pct"/>
            <w:tcBorders>
              <w:tl2br w:val="nil"/>
              <w:tr2bl w:val="nil"/>
            </w:tcBorders>
            <w:shd w:val="clear" w:color="auto" w:fill="auto"/>
            <w:noWrap/>
            <w:tcMar>
              <w:top w:w="15" w:type="dxa"/>
              <w:left w:w="15" w:type="dxa"/>
              <w:right w:w="15" w:type="dxa"/>
            </w:tcMar>
            <w:vAlign w:val="center"/>
          </w:tcPr>
          <w:p w14:paraId="4259AA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HR-2-75</w:t>
            </w:r>
          </w:p>
        </w:tc>
        <w:tc>
          <w:tcPr>
            <w:tcW w:w="1347" w:type="pct"/>
            <w:tcBorders>
              <w:tl2br w:val="nil"/>
              <w:tr2bl w:val="nil"/>
            </w:tcBorders>
            <w:shd w:val="clear" w:color="auto" w:fill="auto"/>
            <w:noWrap/>
            <w:tcMar>
              <w:top w:w="15" w:type="dxa"/>
              <w:left w:w="15" w:type="dxa"/>
              <w:right w:w="15" w:type="dxa"/>
            </w:tcMar>
            <w:vAlign w:val="center"/>
          </w:tcPr>
          <w:p w14:paraId="1F0B8437">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园区边界西侧下风向75m</w:t>
            </w:r>
          </w:p>
        </w:tc>
        <w:tc>
          <w:tcPr>
            <w:tcW w:w="1606" w:type="pct"/>
            <w:tcBorders>
              <w:tl2br w:val="nil"/>
              <w:tr2bl w:val="nil"/>
            </w:tcBorders>
            <w:shd w:val="clear" w:color="auto" w:fill="auto"/>
            <w:noWrap/>
            <w:tcMar>
              <w:top w:w="15" w:type="dxa"/>
              <w:left w:w="15" w:type="dxa"/>
              <w:right w:w="15" w:type="dxa"/>
            </w:tcMar>
            <w:vAlign w:val="center"/>
          </w:tcPr>
          <w:p w14:paraId="2E1D59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二类用地筛选值</w:t>
            </w:r>
          </w:p>
        </w:tc>
        <w:tc>
          <w:tcPr>
            <w:tcW w:w="706" w:type="pct"/>
            <w:tcBorders>
              <w:tl2br w:val="nil"/>
              <w:tr2bl w:val="nil"/>
            </w:tcBorders>
            <w:shd w:val="clear" w:color="auto" w:fill="auto"/>
            <w:noWrap/>
            <w:tcMar>
              <w:top w:w="15" w:type="dxa"/>
              <w:left w:w="15" w:type="dxa"/>
              <w:right w:w="15" w:type="dxa"/>
            </w:tcMar>
            <w:vAlign w:val="center"/>
          </w:tcPr>
          <w:p w14:paraId="39E279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587</w:t>
            </w:r>
          </w:p>
        </w:tc>
      </w:tr>
      <w:tr w14:paraId="7057CE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580" w:type="pct"/>
            <w:tcBorders>
              <w:tl2br w:val="nil"/>
              <w:tr2bl w:val="nil"/>
            </w:tcBorders>
            <w:shd w:val="clear" w:color="auto" w:fill="auto"/>
            <w:noWrap/>
            <w:tcMar>
              <w:top w:w="15" w:type="dxa"/>
              <w:left w:w="15" w:type="dxa"/>
              <w:right w:w="15" w:type="dxa"/>
            </w:tcMar>
            <w:vAlign w:val="center"/>
          </w:tcPr>
          <w:p w14:paraId="0B8F6D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w:t>
            </w:r>
          </w:p>
        </w:tc>
        <w:tc>
          <w:tcPr>
            <w:tcW w:w="758" w:type="pct"/>
            <w:tcBorders>
              <w:tl2br w:val="nil"/>
              <w:tr2bl w:val="nil"/>
            </w:tcBorders>
            <w:shd w:val="clear" w:color="auto" w:fill="auto"/>
            <w:noWrap/>
            <w:tcMar>
              <w:top w:w="15" w:type="dxa"/>
              <w:left w:w="15" w:type="dxa"/>
              <w:right w:w="15" w:type="dxa"/>
            </w:tcMar>
            <w:vAlign w:val="center"/>
          </w:tcPr>
          <w:p w14:paraId="73D11F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HR-2-200</w:t>
            </w:r>
          </w:p>
        </w:tc>
        <w:tc>
          <w:tcPr>
            <w:tcW w:w="1347" w:type="pct"/>
            <w:tcBorders>
              <w:tl2br w:val="nil"/>
              <w:tr2bl w:val="nil"/>
            </w:tcBorders>
            <w:shd w:val="clear" w:color="auto" w:fill="auto"/>
            <w:noWrap/>
            <w:tcMar>
              <w:top w:w="15" w:type="dxa"/>
              <w:left w:w="15" w:type="dxa"/>
              <w:right w:w="15" w:type="dxa"/>
            </w:tcMar>
            <w:vAlign w:val="center"/>
          </w:tcPr>
          <w:p w14:paraId="00B28257">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园区边界西侧下风向200m</w:t>
            </w:r>
          </w:p>
        </w:tc>
        <w:tc>
          <w:tcPr>
            <w:tcW w:w="1606" w:type="pct"/>
            <w:tcBorders>
              <w:tl2br w:val="nil"/>
              <w:tr2bl w:val="nil"/>
            </w:tcBorders>
            <w:shd w:val="clear" w:color="auto" w:fill="auto"/>
            <w:noWrap/>
            <w:tcMar>
              <w:top w:w="15" w:type="dxa"/>
              <w:left w:w="15" w:type="dxa"/>
              <w:right w:w="15" w:type="dxa"/>
            </w:tcMar>
            <w:vAlign w:val="center"/>
          </w:tcPr>
          <w:p w14:paraId="517CFD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二类用地筛选值</w:t>
            </w:r>
          </w:p>
        </w:tc>
        <w:tc>
          <w:tcPr>
            <w:tcW w:w="706" w:type="pct"/>
            <w:tcBorders>
              <w:tl2br w:val="nil"/>
              <w:tr2bl w:val="nil"/>
            </w:tcBorders>
            <w:shd w:val="clear" w:color="auto" w:fill="auto"/>
            <w:noWrap/>
            <w:tcMar>
              <w:top w:w="15" w:type="dxa"/>
              <w:left w:w="15" w:type="dxa"/>
              <w:right w:w="15" w:type="dxa"/>
            </w:tcMar>
            <w:vAlign w:val="center"/>
          </w:tcPr>
          <w:p w14:paraId="0D1508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590</w:t>
            </w:r>
          </w:p>
        </w:tc>
      </w:tr>
      <w:tr w14:paraId="20ED6E3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580" w:type="pct"/>
            <w:tcBorders>
              <w:tl2br w:val="nil"/>
              <w:tr2bl w:val="nil"/>
            </w:tcBorders>
            <w:shd w:val="clear" w:color="auto" w:fill="auto"/>
            <w:noWrap/>
            <w:tcMar>
              <w:top w:w="15" w:type="dxa"/>
              <w:left w:w="15" w:type="dxa"/>
              <w:right w:w="15" w:type="dxa"/>
            </w:tcMar>
            <w:vAlign w:val="center"/>
          </w:tcPr>
          <w:p w14:paraId="2D990F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w:t>
            </w:r>
          </w:p>
        </w:tc>
        <w:tc>
          <w:tcPr>
            <w:tcW w:w="758" w:type="pct"/>
            <w:tcBorders>
              <w:tl2br w:val="nil"/>
              <w:tr2bl w:val="nil"/>
            </w:tcBorders>
            <w:shd w:val="clear" w:color="auto" w:fill="auto"/>
            <w:noWrap/>
            <w:tcMar>
              <w:top w:w="15" w:type="dxa"/>
              <w:left w:w="15" w:type="dxa"/>
              <w:right w:w="15" w:type="dxa"/>
            </w:tcMar>
            <w:vAlign w:val="center"/>
          </w:tcPr>
          <w:p w14:paraId="3F93AC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HR-2-400</w:t>
            </w:r>
          </w:p>
        </w:tc>
        <w:tc>
          <w:tcPr>
            <w:tcW w:w="1347" w:type="pct"/>
            <w:tcBorders>
              <w:tl2br w:val="nil"/>
              <w:tr2bl w:val="nil"/>
            </w:tcBorders>
            <w:shd w:val="clear" w:color="auto" w:fill="auto"/>
            <w:noWrap/>
            <w:tcMar>
              <w:top w:w="15" w:type="dxa"/>
              <w:left w:w="15" w:type="dxa"/>
              <w:right w:w="15" w:type="dxa"/>
            </w:tcMar>
            <w:vAlign w:val="center"/>
          </w:tcPr>
          <w:p w14:paraId="787E4196">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园区边界西侧下风向400m</w:t>
            </w:r>
          </w:p>
        </w:tc>
        <w:tc>
          <w:tcPr>
            <w:tcW w:w="1606" w:type="pct"/>
            <w:tcBorders>
              <w:tl2br w:val="nil"/>
              <w:tr2bl w:val="nil"/>
            </w:tcBorders>
            <w:shd w:val="clear" w:color="auto" w:fill="auto"/>
            <w:noWrap/>
            <w:tcMar>
              <w:top w:w="15" w:type="dxa"/>
              <w:left w:w="15" w:type="dxa"/>
              <w:right w:w="15" w:type="dxa"/>
            </w:tcMar>
            <w:vAlign w:val="center"/>
          </w:tcPr>
          <w:p w14:paraId="340665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二类用地筛选值</w:t>
            </w:r>
          </w:p>
        </w:tc>
        <w:tc>
          <w:tcPr>
            <w:tcW w:w="706" w:type="pct"/>
            <w:tcBorders>
              <w:tl2br w:val="nil"/>
              <w:tr2bl w:val="nil"/>
            </w:tcBorders>
            <w:shd w:val="clear" w:color="auto" w:fill="auto"/>
            <w:noWrap/>
            <w:tcMar>
              <w:top w:w="15" w:type="dxa"/>
              <w:left w:w="15" w:type="dxa"/>
              <w:right w:w="15" w:type="dxa"/>
            </w:tcMar>
            <w:vAlign w:val="center"/>
          </w:tcPr>
          <w:p w14:paraId="3984B92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545</w:t>
            </w:r>
          </w:p>
        </w:tc>
      </w:tr>
      <w:tr w14:paraId="644512F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580" w:type="pct"/>
            <w:tcBorders>
              <w:tl2br w:val="nil"/>
              <w:tr2bl w:val="nil"/>
            </w:tcBorders>
            <w:shd w:val="clear" w:color="auto" w:fill="auto"/>
            <w:noWrap/>
            <w:tcMar>
              <w:top w:w="15" w:type="dxa"/>
              <w:left w:w="15" w:type="dxa"/>
              <w:right w:w="15" w:type="dxa"/>
            </w:tcMar>
            <w:vAlign w:val="center"/>
          </w:tcPr>
          <w:p w14:paraId="095040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w:t>
            </w:r>
          </w:p>
        </w:tc>
        <w:tc>
          <w:tcPr>
            <w:tcW w:w="758" w:type="pct"/>
            <w:tcBorders>
              <w:tl2br w:val="nil"/>
              <w:tr2bl w:val="nil"/>
            </w:tcBorders>
            <w:shd w:val="clear" w:color="auto" w:fill="auto"/>
            <w:noWrap/>
            <w:tcMar>
              <w:top w:w="15" w:type="dxa"/>
              <w:left w:w="15" w:type="dxa"/>
              <w:right w:w="15" w:type="dxa"/>
            </w:tcMar>
            <w:vAlign w:val="center"/>
          </w:tcPr>
          <w:p w14:paraId="2CB98E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HR-3-75</w:t>
            </w:r>
          </w:p>
        </w:tc>
        <w:tc>
          <w:tcPr>
            <w:tcW w:w="1347" w:type="pct"/>
            <w:tcBorders>
              <w:tl2br w:val="nil"/>
              <w:tr2bl w:val="nil"/>
            </w:tcBorders>
            <w:shd w:val="clear" w:color="auto" w:fill="auto"/>
            <w:noWrap/>
            <w:tcMar>
              <w:top w:w="15" w:type="dxa"/>
              <w:left w:w="15" w:type="dxa"/>
              <w:right w:w="15" w:type="dxa"/>
            </w:tcMar>
            <w:vAlign w:val="center"/>
          </w:tcPr>
          <w:p w14:paraId="2DDA6DB9">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园区边界南侧下风向75m</w:t>
            </w:r>
          </w:p>
        </w:tc>
        <w:tc>
          <w:tcPr>
            <w:tcW w:w="1606" w:type="pct"/>
            <w:tcBorders>
              <w:tl2br w:val="nil"/>
              <w:tr2bl w:val="nil"/>
            </w:tcBorders>
            <w:shd w:val="clear" w:color="auto" w:fill="auto"/>
            <w:noWrap/>
            <w:tcMar>
              <w:top w:w="15" w:type="dxa"/>
              <w:left w:w="15" w:type="dxa"/>
              <w:right w:w="15" w:type="dxa"/>
            </w:tcMar>
            <w:vAlign w:val="center"/>
          </w:tcPr>
          <w:p w14:paraId="48CA49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一类用地筛选值</w:t>
            </w:r>
          </w:p>
        </w:tc>
        <w:tc>
          <w:tcPr>
            <w:tcW w:w="706" w:type="pct"/>
            <w:tcBorders>
              <w:tl2br w:val="nil"/>
              <w:tr2bl w:val="nil"/>
            </w:tcBorders>
            <w:shd w:val="clear" w:color="auto" w:fill="auto"/>
            <w:noWrap/>
            <w:tcMar>
              <w:top w:w="15" w:type="dxa"/>
              <w:left w:w="15" w:type="dxa"/>
              <w:right w:w="15" w:type="dxa"/>
            </w:tcMar>
            <w:vAlign w:val="center"/>
          </w:tcPr>
          <w:p w14:paraId="545B30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469</w:t>
            </w:r>
          </w:p>
        </w:tc>
      </w:tr>
      <w:tr w14:paraId="5F7906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580" w:type="pct"/>
            <w:tcBorders>
              <w:tl2br w:val="nil"/>
              <w:tr2bl w:val="nil"/>
            </w:tcBorders>
            <w:shd w:val="clear" w:color="auto" w:fill="auto"/>
            <w:noWrap/>
            <w:tcMar>
              <w:top w:w="15" w:type="dxa"/>
              <w:left w:w="15" w:type="dxa"/>
              <w:right w:w="15" w:type="dxa"/>
            </w:tcMar>
            <w:vAlign w:val="center"/>
          </w:tcPr>
          <w:p w14:paraId="712BF2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w:t>
            </w:r>
          </w:p>
        </w:tc>
        <w:tc>
          <w:tcPr>
            <w:tcW w:w="758" w:type="pct"/>
            <w:tcBorders>
              <w:tl2br w:val="nil"/>
              <w:tr2bl w:val="nil"/>
            </w:tcBorders>
            <w:shd w:val="clear" w:color="auto" w:fill="auto"/>
            <w:noWrap/>
            <w:tcMar>
              <w:top w:w="15" w:type="dxa"/>
              <w:left w:w="15" w:type="dxa"/>
              <w:right w:w="15" w:type="dxa"/>
            </w:tcMar>
            <w:vAlign w:val="center"/>
          </w:tcPr>
          <w:p w14:paraId="08A2E0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HR-3-200</w:t>
            </w:r>
          </w:p>
        </w:tc>
        <w:tc>
          <w:tcPr>
            <w:tcW w:w="1347" w:type="pct"/>
            <w:tcBorders>
              <w:tl2br w:val="nil"/>
              <w:tr2bl w:val="nil"/>
            </w:tcBorders>
            <w:shd w:val="clear" w:color="auto" w:fill="auto"/>
            <w:noWrap/>
            <w:tcMar>
              <w:top w:w="15" w:type="dxa"/>
              <w:left w:w="15" w:type="dxa"/>
              <w:right w:w="15" w:type="dxa"/>
            </w:tcMar>
            <w:vAlign w:val="center"/>
          </w:tcPr>
          <w:p w14:paraId="3351847D">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园区边界南侧下风向200m</w:t>
            </w:r>
          </w:p>
        </w:tc>
        <w:tc>
          <w:tcPr>
            <w:tcW w:w="1606" w:type="pct"/>
            <w:tcBorders>
              <w:tl2br w:val="nil"/>
              <w:tr2bl w:val="nil"/>
            </w:tcBorders>
            <w:shd w:val="clear" w:color="auto" w:fill="auto"/>
            <w:noWrap/>
            <w:tcMar>
              <w:top w:w="15" w:type="dxa"/>
              <w:left w:w="15" w:type="dxa"/>
              <w:right w:w="15" w:type="dxa"/>
            </w:tcMar>
            <w:vAlign w:val="center"/>
          </w:tcPr>
          <w:p w14:paraId="26D284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一类用地筛选值</w:t>
            </w:r>
          </w:p>
        </w:tc>
        <w:tc>
          <w:tcPr>
            <w:tcW w:w="706" w:type="pct"/>
            <w:tcBorders>
              <w:tl2br w:val="nil"/>
              <w:tr2bl w:val="nil"/>
            </w:tcBorders>
            <w:shd w:val="clear" w:color="auto" w:fill="auto"/>
            <w:noWrap/>
            <w:tcMar>
              <w:top w:w="15" w:type="dxa"/>
              <w:left w:w="15" w:type="dxa"/>
              <w:right w:w="15" w:type="dxa"/>
            </w:tcMar>
            <w:vAlign w:val="center"/>
          </w:tcPr>
          <w:p w14:paraId="4421DA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484</w:t>
            </w:r>
          </w:p>
        </w:tc>
      </w:tr>
      <w:tr w14:paraId="41AF221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580" w:type="pct"/>
            <w:tcBorders>
              <w:tl2br w:val="nil"/>
              <w:tr2bl w:val="nil"/>
            </w:tcBorders>
            <w:shd w:val="clear" w:color="auto" w:fill="auto"/>
            <w:noWrap/>
            <w:tcMar>
              <w:top w:w="15" w:type="dxa"/>
              <w:left w:w="15" w:type="dxa"/>
              <w:right w:w="15" w:type="dxa"/>
            </w:tcMar>
            <w:vAlign w:val="center"/>
          </w:tcPr>
          <w:p w14:paraId="130A8A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9</w:t>
            </w:r>
          </w:p>
        </w:tc>
        <w:tc>
          <w:tcPr>
            <w:tcW w:w="758" w:type="pct"/>
            <w:tcBorders>
              <w:tl2br w:val="nil"/>
              <w:tr2bl w:val="nil"/>
            </w:tcBorders>
            <w:shd w:val="clear" w:color="auto" w:fill="auto"/>
            <w:noWrap/>
            <w:tcMar>
              <w:top w:w="15" w:type="dxa"/>
              <w:left w:w="15" w:type="dxa"/>
              <w:right w:w="15" w:type="dxa"/>
            </w:tcMar>
            <w:vAlign w:val="center"/>
          </w:tcPr>
          <w:p w14:paraId="5BA3E2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HR-3-400</w:t>
            </w:r>
          </w:p>
        </w:tc>
        <w:tc>
          <w:tcPr>
            <w:tcW w:w="1347" w:type="pct"/>
            <w:tcBorders>
              <w:tl2br w:val="nil"/>
              <w:tr2bl w:val="nil"/>
            </w:tcBorders>
            <w:shd w:val="clear" w:color="auto" w:fill="auto"/>
            <w:noWrap/>
            <w:tcMar>
              <w:top w:w="15" w:type="dxa"/>
              <w:left w:w="15" w:type="dxa"/>
              <w:right w:w="15" w:type="dxa"/>
            </w:tcMar>
            <w:vAlign w:val="center"/>
          </w:tcPr>
          <w:p w14:paraId="254CB78E">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园区边界南侧下风向400m</w:t>
            </w:r>
          </w:p>
        </w:tc>
        <w:tc>
          <w:tcPr>
            <w:tcW w:w="1606" w:type="pct"/>
            <w:tcBorders>
              <w:tl2br w:val="nil"/>
              <w:tr2bl w:val="nil"/>
            </w:tcBorders>
            <w:shd w:val="clear" w:color="auto" w:fill="auto"/>
            <w:noWrap/>
            <w:tcMar>
              <w:top w:w="15" w:type="dxa"/>
              <w:left w:w="15" w:type="dxa"/>
              <w:right w:w="15" w:type="dxa"/>
            </w:tcMar>
            <w:vAlign w:val="center"/>
          </w:tcPr>
          <w:p w14:paraId="615D11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kern w:val="2"/>
                <w:sz w:val="21"/>
                <w:szCs w:val="21"/>
                <w:highlight w:val="none"/>
                <w:u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一类用地筛选值</w:t>
            </w:r>
          </w:p>
        </w:tc>
        <w:tc>
          <w:tcPr>
            <w:tcW w:w="706" w:type="pct"/>
            <w:tcBorders>
              <w:tl2br w:val="nil"/>
              <w:tr2bl w:val="nil"/>
            </w:tcBorders>
            <w:shd w:val="clear" w:color="auto" w:fill="auto"/>
            <w:noWrap/>
            <w:tcMar>
              <w:top w:w="15" w:type="dxa"/>
              <w:left w:w="15" w:type="dxa"/>
              <w:right w:w="15" w:type="dxa"/>
            </w:tcMar>
            <w:vAlign w:val="center"/>
          </w:tcPr>
          <w:p w14:paraId="14C77A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427</w:t>
            </w:r>
          </w:p>
        </w:tc>
      </w:tr>
      <w:tr w14:paraId="73A4B4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580" w:type="pct"/>
            <w:tcBorders>
              <w:tl2br w:val="nil"/>
              <w:tr2bl w:val="nil"/>
            </w:tcBorders>
            <w:shd w:val="clear" w:color="auto" w:fill="auto"/>
            <w:noWrap/>
            <w:tcMar>
              <w:top w:w="15" w:type="dxa"/>
              <w:left w:w="15" w:type="dxa"/>
              <w:right w:w="15" w:type="dxa"/>
            </w:tcMar>
            <w:vAlign w:val="center"/>
          </w:tcPr>
          <w:p w14:paraId="3B6BC6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w:t>
            </w:r>
          </w:p>
        </w:tc>
        <w:tc>
          <w:tcPr>
            <w:tcW w:w="758" w:type="pct"/>
            <w:tcBorders>
              <w:tl2br w:val="nil"/>
              <w:tr2bl w:val="nil"/>
            </w:tcBorders>
            <w:shd w:val="clear" w:color="auto" w:fill="auto"/>
            <w:noWrap/>
            <w:tcMar>
              <w:top w:w="15" w:type="dxa"/>
              <w:left w:w="15" w:type="dxa"/>
              <w:right w:w="15" w:type="dxa"/>
            </w:tcMar>
            <w:vAlign w:val="center"/>
          </w:tcPr>
          <w:p w14:paraId="182A67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HR-4-75</w:t>
            </w:r>
          </w:p>
        </w:tc>
        <w:tc>
          <w:tcPr>
            <w:tcW w:w="1347" w:type="pct"/>
            <w:tcBorders>
              <w:tl2br w:val="nil"/>
              <w:tr2bl w:val="nil"/>
            </w:tcBorders>
            <w:shd w:val="clear" w:color="auto" w:fill="auto"/>
            <w:noWrap/>
            <w:tcMar>
              <w:top w:w="15" w:type="dxa"/>
              <w:left w:w="15" w:type="dxa"/>
              <w:right w:w="15" w:type="dxa"/>
            </w:tcMar>
            <w:vAlign w:val="center"/>
          </w:tcPr>
          <w:p w14:paraId="09FD0262">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园区边界南侧下风向75m</w:t>
            </w:r>
          </w:p>
        </w:tc>
        <w:tc>
          <w:tcPr>
            <w:tcW w:w="1606" w:type="pct"/>
            <w:tcBorders>
              <w:tl2br w:val="nil"/>
              <w:tr2bl w:val="nil"/>
            </w:tcBorders>
            <w:shd w:val="clear" w:color="auto" w:fill="auto"/>
            <w:noWrap/>
            <w:tcMar>
              <w:top w:w="15" w:type="dxa"/>
              <w:left w:w="15" w:type="dxa"/>
              <w:right w:w="15" w:type="dxa"/>
            </w:tcMar>
            <w:vAlign w:val="center"/>
          </w:tcPr>
          <w:p w14:paraId="560DE1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kern w:val="2"/>
                <w:sz w:val="21"/>
                <w:szCs w:val="21"/>
                <w:highlight w:val="none"/>
                <w:u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一类用地筛选值</w:t>
            </w:r>
          </w:p>
        </w:tc>
        <w:tc>
          <w:tcPr>
            <w:tcW w:w="706" w:type="pct"/>
            <w:tcBorders>
              <w:tl2br w:val="nil"/>
              <w:tr2bl w:val="nil"/>
            </w:tcBorders>
            <w:shd w:val="clear" w:color="auto" w:fill="auto"/>
            <w:noWrap/>
            <w:tcMar>
              <w:top w:w="15" w:type="dxa"/>
              <w:left w:w="15" w:type="dxa"/>
              <w:right w:w="15" w:type="dxa"/>
            </w:tcMar>
            <w:vAlign w:val="center"/>
          </w:tcPr>
          <w:p w14:paraId="738E03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432</w:t>
            </w:r>
          </w:p>
        </w:tc>
      </w:tr>
      <w:tr w14:paraId="525079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580" w:type="pct"/>
            <w:tcBorders>
              <w:tl2br w:val="nil"/>
              <w:tr2bl w:val="nil"/>
            </w:tcBorders>
            <w:shd w:val="clear" w:color="auto" w:fill="auto"/>
            <w:noWrap/>
            <w:tcMar>
              <w:top w:w="15" w:type="dxa"/>
              <w:left w:w="15" w:type="dxa"/>
              <w:right w:w="15" w:type="dxa"/>
            </w:tcMar>
            <w:vAlign w:val="center"/>
          </w:tcPr>
          <w:p w14:paraId="0B1B1D2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w:t>
            </w:r>
          </w:p>
        </w:tc>
        <w:tc>
          <w:tcPr>
            <w:tcW w:w="758" w:type="pct"/>
            <w:tcBorders>
              <w:tl2br w:val="nil"/>
              <w:tr2bl w:val="nil"/>
            </w:tcBorders>
            <w:shd w:val="clear" w:color="auto" w:fill="auto"/>
            <w:noWrap/>
            <w:tcMar>
              <w:top w:w="15" w:type="dxa"/>
              <w:left w:w="15" w:type="dxa"/>
              <w:right w:w="15" w:type="dxa"/>
            </w:tcMar>
            <w:vAlign w:val="center"/>
          </w:tcPr>
          <w:p w14:paraId="27AC09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HR-4-200</w:t>
            </w:r>
          </w:p>
        </w:tc>
        <w:tc>
          <w:tcPr>
            <w:tcW w:w="1347" w:type="pct"/>
            <w:tcBorders>
              <w:tl2br w:val="nil"/>
              <w:tr2bl w:val="nil"/>
            </w:tcBorders>
            <w:shd w:val="clear" w:color="auto" w:fill="auto"/>
            <w:noWrap/>
            <w:tcMar>
              <w:top w:w="15" w:type="dxa"/>
              <w:left w:w="15" w:type="dxa"/>
              <w:right w:w="15" w:type="dxa"/>
            </w:tcMar>
            <w:vAlign w:val="center"/>
          </w:tcPr>
          <w:p w14:paraId="5F7D41A2">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园区边界南侧下风向200m</w:t>
            </w:r>
          </w:p>
        </w:tc>
        <w:tc>
          <w:tcPr>
            <w:tcW w:w="1606" w:type="pct"/>
            <w:tcBorders>
              <w:tl2br w:val="nil"/>
              <w:tr2bl w:val="nil"/>
            </w:tcBorders>
            <w:shd w:val="clear" w:color="auto" w:fill="auto"/>
            <w:noWrap/>
            <w:tcMar>
              <w:top w:w="15" w:type="dxa"/>
              <w:left w:w="15" w:type="dxa"/>
              <w:right w:w="15" w:type="dxa"/>
            </w:tcMar>
            <w:vAlign w:val="center"/>
          </w:tcPr>
          <w:p w14:paraId="26823E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一类用地筛选值</w:t>
            </w:r>
          </w:p>
        </w:tc>
        <w:tc>
          <w:tcPr>
            <w:tcW w:w="706" w:type="pct"/>
            <w:tcBorders>
              <w:tl2br w:val="nil"/>
              <w:tr2bl w:val="nil"/>
            </w:tcBorders>
            <w:shd w:val="clear" w:color="auto" w:fill="auto"/>
            <w:noWrap/>
            <w:tcMar>
              <w:top w:w="15" w:type="dxa"/>
              <w:left w:w="15" w:type="dxa"/>
              <w:right w:w="15" w:type="dxa"/>
            </w:tcMar>
            <w:vAlign w:val="center"/>
          </w:tcPr>
          <w:p w14:paraId="5A783F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470</w:t>
            </w:r>
          </w:p>
        </w:tc>
      </w:tr>
      <w:tr w14:paraId="25B1CA5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580" w:type="pct"/>
            <w:tcBorders>
              <w:tl2br w:val="nil"/>
              <w:tr2bl w:val="nil"/>
            </w:tcBorders>
            <w:shd w:val="clear" w:color="auto" w:fill="auto"/>
            <w:noWrap/>
            <w:tcMar>
              <w:top w:w="15" w:type="dxa"/>
              <w:left w:w="15" w:type="dxa"/>
              <w:right w:w="15" w:type="dxa"/>
            </w:tcMar>
            <w:vAlign w:val="center"/>
          </w:tcPr>
          <w:p w14:paraId="7CD77F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12</w:t>
            </w:r>
          </w:p>
        </w:tc>
        <w:tc>
          <w:tcPr>
            <w:tcW w:w="758" w:type="pct"/>
            <w:tcBorders>
              <w:tl2br w:val="nil"/>
              <w:tr2bl w:val="nil"/>
            </w:tcBorders>
            <w:shd w:val="clear" w:color="auto" w:fill="auto"/>
            <w:noWrap/>
            <w:tcMar>
              <w:top w:w="15" w:type="dxa"/>
              <w:left w:w="15" w:type="dxa"/>
              <w:right w:w="15" w:type="dxa"/>
            </w:tcMar>
            <w:vAlign w:val="center"/>
          </w:tcPr>
          <w:p w14:paraId="068B30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HR-4-400</w:t>
            </w:r>
          </w:p>
        </w:tc>
        <w:tc>
          <w:tcPr>
            <w:tcW w:w="1347" w:type="pct"/>
            <w:tcBorders>
              <w:tl2br w:val="nil"/>
              <w:tr2bl w:val="nil"/>
            </w:tcBorders>
            <w:shd w:val="clear" w:color="auto" w:fill="auto"/>
            <w:noWrap/>
            <w:tcMar>
              <w:top w:w="15" w:type="dxa"/>
              <w:left w:w="15" w:type="dxa"/>
              <w:right w:w="15" w:type="dxa"/>
            </w:tcMar>
            <w:vAlign w:val="center"/>
          </w:tcPr>
          <w:p w14:paraId="32BA90F9">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园区边界南侧下风向400m</w:t>
            </w:r>
          </w:p>
        </w:tc>
        <w:tc>
          <w:tcPr>
            <w:tcW w:w="1606" w:type="pct"/>
            <w:tcBorders>
              <w:tl2br w:val="nil"/>
              <w:tr2bl w:val="nil"/>
            </w:tcBorders>
            <w:shd w:val="clear" w:color="auto" w:fill="auto"/>
            <w:noWrap/>
            <w:tcMar>
              <w:top w:w="15" w:type="dxa"/>
              <w:left w:w="15" w:type="dxa"/>
              <w:right w:w="15" w:type="dxa"/>
            </w:tcMar>
            <w:vAlign w:val="center"/>
          </w:tcPr>
          <w:p w14:paraId="153435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一类用地筛选值</w:t>
            </w:r>
          </w:p>
        </w:tc>
        <w:tc>
          <w:tcPr>
            <w:tcW w:w="706" w:type="pct"/>
            <w:tcBorders>
              <w:tl2br w:val="nil"/>
              <w:tr2bl w:val="nil"/>
            </w:tcBorders>
            <w:shd w:val="clear" w:color="auto" w:fill="auto"/>
            <w:noWrap/>
            <w:tcMar>
              <w:top w:w="15" w:type="dxa"/>
              <w:left w:w="15" w:type="dxa"/>
              <w:right w:w="15" w:type="dxa"/>
            </w:tcMar>
            <w:vAlign w:val="center"/>
          </w:tcPr>
          <w:p w14:paraId="0BF754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460</w:t>
            </w:r>
          </w:p>
        </w:tc>
      </w:tr>
      <w:tr w14:paraId="3B0FC4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580" w:type="pct"/>
            <w:tcBorders>
              <w:tl2br w:val="nil"/>
              <w:tr2bl w:val="nil"/>
            </w:tcBorders>
            <w:shd w:val="clear" w:color="auto" w:fill="auto"/>
            <w:noWrap/>
            <w:tcMar>
              <w:top w:w="15" w:type="dxa"/>
              <w:left w:w="15" w:type="dxa"/>
              <w:right w:w="15" w:type="dxa"/>
            </w:tcMar>
            <w:vAlign w:val="center"/>
          </w:tcPr>
          <w:p w14:paraId="553132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13</w:t>
            </w:r>
          </w:p>
        </w:tc>
        <w:tc>
          <w:tcPr>
            <w:tcW w:w="758" w:type="pct"/>
            <w:tcBorders>
              <w:tl2br w:val="nil"/>
              <w:tr2bl w:val="nil"/>
            </w:tcBorders>
            <w:shd w:val="clear" w:color="auto" w:fill="auto"/>
            <w:noWrap/>
            <w:tcMar>
              <w:top w:w="15" w:type="dxa"/>
              <w:left w:w="15" w:type="dxa"/>
              <w:right w:w="15" w:type="dxa"/>
            </w:tcMar>
            <w:vAlign w:val="center"/>
          </w:tcPr>
          <w:p w14:paraId="6D0A90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HR-5</w:t>
            </w:r>
          </w:p>
        </w:tc>
        <w:tc>
          <w:tcPr>
            <w:tcW w:w="1347" w:type="pct"/>
            <w:tcBorders>
              <w:tl2br w:val="nil"/>
              <w:tr2bl w:val="nil"/>
            </w:tcBorders>
            <w:shd w:val="clear" w:color="auto" w:fill="auto"/>
            <w:noWrap/>
            <w:tcMar>
              <w:top w:w="15" w:type="dxa"/>
              <w:left w:w="15" w:type="dxa"/>
              <w:right w:w="15" w:type="dxa"/>
            </w:tcMar>
            <w:vAlign w:val="center"/>
          </w:tcPr>
          <w:p w14:paraId="2EAB85F9">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园区边界北侧上风向20m</w:t>
            </w:r>
            <w:r>
              <w:rPr>
                <w:rFonts w:hint="eastAsia" w:cs="Times New Roman"/>
                <w:sz w:val="21"/>
                <w:szCs w:val="21"/>
                <w:highlight w:val="none"/>
                <w:lang w:val="en-US" w:eastAsia="zh-CN"/>
              </w:rPr>
              <w:t>外</w:t>
            </w:r>
          </w:p>
        </w:tc>
        <w:tc>
          <w:tcPr>
            <w:tcW w:w="1606" w:type="pct"/>
            <w:tcBorders>
              <w:tl2br w:val="nil"/>
              <w:tr2bl w:val="nil"/>
            </w:tcBorders>
            <w:shd w:val="clear" w:color="auto" w:fill="auto"/>
            <w:noWrap/>
            <w:tcMar>
              <w:top w:w="15" w:type="dxa"/>
              <w:left w:w="15" w:type="dxa"/>
              <w:right w:w="15" w:type="dxa"/>
            </w:tcMar>
            <w:vAlign w:val="center"/>
          </w:tcPr>
          <w:p w14:paraId="68454A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一类用地筛选值</w:t>
            </w:r>
          </w:p>
        </w:tc>
        <w:tc>
          <w:tcPr>
            <w:tcW w:w="706" w:type="pct"/>
            <w:tcBorders>
              <w:tl2br w:val="nil"/>
              <w:tr2bl w:val="nil"/>
            </w:tcBorders>
            <w:shd w:val="clear" w:color="auto" w:fill="auto"/>
            <w:noWrap/>
            <w:tcMar>
              <w:top w:w="15" w:type="dxa"/>
              <w:left w:w="15" w:type="dxa"/>
              <w:right w:w="15" w:type="dxa"/>
            </w:tcMar>
            <w:vAlign w:val="center"/>
          </w:tcPr>
          <w:p w14:paraId="47A3C5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443</w:t>
            </w:r>
          </w:p>
        </w:tc>
      </w:tr>
      <w:tr w14:paraId="0B3A1B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580" w:type="pct"/>
            <w:tcBorders>
              <w:tl2br w:val="nil"/>
              <w:tr2bl w:val="nil"/>
            </w:tcBorders>
            <w:shd w:val="clear" w:color="auto" w:fill="auto"/>
            <w:noWrap/>
            <w:tcMar>
              <w:top w:w="15" w:type="dxa"/>
              <w:left w:w="15" w:type="dxa"/>
              <w:right w:w="15" w:type="dxa"/>
            </w:tcMar>
            <w:vAlign w:val="center"/>
          </w:tcPr>
          <w:p w14:paraId="035F58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14</w:t>
            </w:r>
          </w:p>
        </w:tc>
        <w:tc>
          <w:tcPr>
            <w:tcW w:w="758" w:type="pct"/>
            <w:tcBorders>
              <w:tl2br w:val="nil"/>
              <w:tr2bl w:val="nil"/>
            </w:tcBorders>
            <w:shd w:val="clear" w:color="auto" w:fill="auto"/>
            <w:noWrap/>
            <w:tcMar>
              <w:top w:w="15" w:type="dxa"/>
              <w:left w:w="15" w:type="dxa"/>
              <w:right w:w="15" w:type="dxa"/>
            </w:tcMar>
            <w:vAlign w:val="center"/>
          </w:tcPr>
          <w:p w14:paraId="0F76F0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HR-6</w:t>
            </w:r>
          </w:p>
        </w:tc>
        <w:tc>
          <w:tcPr>
            <w:tcW w:w="1347" w:type="pct"/>
            <w:tcBorders>
              <w:tl2br w:val="nil"/>
              <w:tr2bl w:val="nil"/>
            </w:tcBorders>
            <w:shd w:val="clear" w:color="auto" w:fill="auto"/>
            <w:noWrap/>
            <w:tcMar>
              <w:top w:w="15" w:type="dxa"/>
              <w:left w:w="15" w:type="dxa"/>
              <w:right w:w="15" w:type="dxa"/>
            </w:tcMar>
            <w:vAlign w:val="center"/>
          </w:tcPr>
          <w:p w14:paraId="1A9AC281">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园区边界东侧上风向20m</w:t>
            </w:r>
            <w:r>
              <w:rPr>
                <w:rFonts w:hint="eastAsia" w:cs="Times New Roman"/>
                <w:sz w:val="21"/>
                <w:szCs w:val="21"/>
                <w:highlight w:val="none"/>
                <w:lang w:val="en-US" w:eastAsia="zh-CN"/>
              </w:rPr>
              <w:t>外</w:t>
            </w:r>
          </w:p>
        </w:tc>
        <w:tc>
          <w:tcPr>
            <w:tcW w:w="1606" w:type="pct"/>
            <w:tcBorders>
              <w:tl2br w:val="nil"/>
              <w:tr2bl w:val="nil"/>
            </w:tcBorders>
            <w:shd w:val="clear" w:color="auto" w:fill="auto"/>
            <w:noWrap/>
            <w:tcMar>
              <w:top w:w="15" w:type="dxa"/>
              <w:left w:w="15" w:type="dxa"/>
              <w:right w:w="15" w:type="dxa"/>
            </w:tcMar>
            <w:vAlign w:val="center"/>
          </w:tcPr>
          <w:p w14:paraId="2E2E4C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一类用地筛选值</w:t>
            </w:r>
          </w:p>
        </w:tc>
        <w:tc>
          <w:tcPr>
            <w:tcW w:w="706" w:type="pct"/>
            <w:tcBorders>
              <w:tl2br w:val="nil"/>
              <w:tr2bl w:val="nil"/>
            </w:tcBorders>
            <w:shd w:val="clear" w:color="auto" w:fill="auto"/>
            <w:noWrap/>
            <w:tcMar>
              <w:top w:w="15" w:type="dxa"/>
              <w:left w:w="15" w:type="dxa"/>
              <w:right w:w="15" w:type="dxa"/>
            </w:tcMar>
            <w:vAlign w:val="center"/>
          </w:tcPr>
          <w:p w14:paraId="2ABBB4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419</w:t>
            </w:r>
          </w:p>
        </w:tc>
      </w:tr>
      <w:tr w14:paraId="5AD970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580" w:type="pct"/>
            <w:tcBorders>
              <w:tl2br w:val="nil"/>
              <w:tr2bl w:val="nil"/>
            </w:tcBorders>
            <w:shd w:val="clear" w:color="auto" w:fill="auto"/>
            <w:noWrap/>
            <w:tcMar>
              <w:top w:w="15" w:type="dxa"/>
              <w:left w:w="15" w:type="dxa"/>
              <w:right w:w="15" w:type="dxa"/>
            </w:tcMar>
            <w:vAlign w:val="center"/>
          </w:tcPr>
          <w:p w14:paraId="597130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15</w:t>
            </w:r>
          </w:p>
        </w:tc>
        <w:tc>
          <w:tcPr>
            <w:tcW w:w="758" w:type="pct"/>
            <w:tcBorders>
              <w:tl2br w:val="nil"/>
              <w:tr2bl w:val="nil"/>
            </w:tcBorders>
            <w:shd w:val="clear" w:color="auto" w:fill="auto"/>
            <w:noWrap/>
            <w:tcMar>
              <w:top w:w="15" w:type="dxa"/>
              <w:left w:w="15" w:type="dxa"/>
              <w:right w:w="15" w:type="dxa"/>
            </w:tcMar>
            <w:vAlign w:val="center"/>
          </w:tcPr>
          <w:p w14:paraId="366D54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HR-JJ-1</w:t>
            </w:r>
          </w:p>
        </w:tc>
        <w:tc>
          <w:tcPr>
            <w:tcW w:w="1347" w:type="pct"/>
            <w:tcBorders>
              <w:tl2br w:val="nil"/>
              <w:tr2bl w:val="nil"/>
            </w:tcBorders>
            <w:shd w:val="clear" w:color="auto" w:fill="auto"/>
            <w:noWrap/>
            <w:tcMar>
              <w:top w:w="15" w:type="dxa"/>
              <w:left w:w="15" w:type="dxa"/>
              <w:right w:w="15" w:type="dxa"/>
            </w:tcMar>
            <w:vAlign w:val="center"/>
          </w:tcPr>
          <w:p w14:paraId="391C989C">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企业聚集区西侧</w:t>
            </w:r>
          </w:p>
        </w:tc>
        <w:tc>
          <w:tcPr>
            <w:tcW w:w="1606" w:type="pct"/>
            <w:tcBorders>
              <w:tl2br w:val="nil"/>
              <w:tr2bl w:val="nil"/>
            </w:tcBorders>
            <w:shd w:val="clear" w:color="auto" w:fill="auto"/>
            <w:noWrap/>
            <w:tcMar>
              <w:top w:w="15" w:type="dxa"/>
              <w:left w:w="15" w:type="dxa"/>
              <w:right w:w="15" w:type="dxa"/>
            </w:tcMar>
            <w:vAlign w:val="center"/>
          </w:tcPr>
          <w:p w14:paraId="70A87C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一类用地筛选值</w:t>
            </w:r>
          </w:p>
        </w:tc>
        <w:tc>
          <w:tcPr>
            <w:tcW w:w="706" w:type="pct"/>
            <w:tcBorders>
              <w:tl2br w:val="nil"/>
              <w:tr2bl w:val="nil"/>
            </w:tcBorders>
            <w:shd w:val="clear" w:color="auto" w:fill="auto"/>
            <w:noWrap/>
            <w:tcMar>
              <w:top w:w="15" w:type="dxa"/>
              <w:left w:w="15" w:type="dxa"/>
              <w:right w:w="15" w:type="dxa"/>
            </w:tcMar>
            <w:vAlign w:val="center"/>
          </w:tcPr>
          <w:p w14:paraId="69FFE7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528</w:t>
            </w:r>
          </w:p>
        </w:tc>
      </w:tr>
      <w:tr w14:paraId="2B2980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580" w:type="pct"/>
            <w:tcBorders>
              <w:tl2br w:val="nil"/>
              <w:tr2bl w:val="nil"/>
            </w:tcBorders>
            <w:shd w:val="clear" w:color="auto" w:fill="auto"/>
            <w:noWrap/>
            <w:tcMar>
              <w:top w:w="15" w:type="dxa"/>
              <w:left w:w="15" w:type="dxa"/>
              <w:right w:w="15" w:type="dxa"/>
            </w:tcMar>
            <w:vAlign w:val="center"/>
          </w:tcPr>
          <w:p w14:paraId="6A83A4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16</w:t>
            </w:r>
          </w:p>
        </w:tc>
        <w:tc>
          <w:tcPr>
            <w:tcW w:w="758" w:type="pct"/>
            <w:tcBorders>
              <w:tl2br w:val="nil"/>
              <w:tr2bl w:val="nil"/>
            </w:tcBorders>
            <w:shd w:val="clear" w:color="auto" w:fill="auto"/>
            <w:noWrap/>
            <w:tcMar>
              <w:top w:w="15" w:type="dxa"/>
              <w:left w:w="15" w:type="dxa"/>
              <w:right w:w="15" w:type="dxa"/>
            </w:tcMar>
            <w:vAlign w:val="center"/>
          </w:tcPr>
          <w:p w14:paraId="73BA35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HR-JJ-2</w:t>
            </w:r>
          </w:p>
        </w:tc>
        <w:tc>
          <w:tcPr>
            <w:tcW w:w="1347" w:type="pct"/>
            <w:tcBorders>
              <w:tl2br w:val="nil"/>
              <w:tr2bl w:val="nil"/>
            </w:tcBorders>
            <w:shd w:val="clear" w:color="auto" w:fill="auto"/>
            <w:noWrap/>
            <w:tcMar>
              <w:top w:w="15" w:type="dxa"/>
              <w:left w:w="15" w:type="dxa"/>
              <w:right w:w="15" w:type="dxa"/>
            </w:tcMar>
            <w:vAlign w:val="center"/>
          </w:tcPr>
          <w:p w14:paraId="597C03AC">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企业聚集区南侧</w:t>
            </w:r>
          </w:p>
        </w:tc>
        <w:tc>
          <w:tcPr>
            <w:tcW w:w="1606" w:type="pct"/>
            <w:tcBorders>
              <w:tl2br w:val="nil"/>
              <w:tr2bl w:val="nil"/>
            </w:tcBorders>
            <w:shd w:val="clear" w:color="auto" w:fill="auto"/>
            <w:noWrap/>
            <w:tcMar>
              <w:top w:w="15" w:type="dxa"/>
              <w:left w:w="15" w:type="dxa"/>
              <w:right w:w="15" w:type="dxa"/>
            </w:tcMar>
            <w:vAlign w:val="center"/>
          </w:tcPr>
          <w:p w14:paraId="03AD33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二类用地筛选值</w:t>
            </w:r>
          </w:p>
        </w:tc>
        <w:tc>
          <w:tcPr>
            <w:tcW w:w="706" w:type="pct"/>
            <w:tcBorders>
              <w:tl2br w:val="nil"/>
              <w:tr2bl w:val="nil"/>
            </w:tcBorders>
            <w:shd w:val="clear" w:color="auto" w:fill="auto"/>
            <w:noWrap/>
            <w:tcMar>
              <w:top w:w="15" w:type="dxa"/>
              <w:left w:w="15" w:type="dxa"/>
              <w:right w:w="15" w:type="dxa"/>
            </w:tcMar>
            <w:vAlign w:val="center"/>
          </w:tcPr>
          <w:p w14:paraId="4CC7A3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462</w:t>
            </w:r>
          </w:p>
        </w:tc>
      </w:tr>
      <w:tr w14:paraId="28DA65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580" w:type="pct"/>
            <w:tcBorders>
              <w:tl2br w:val="nil"/>
              <w:tr2bl w:val="nil"/>
            </w:tcBorders>
            <w:shd w:val="clear" w:color="auto" w:fill="auto"/>
            <w:noWrap/>
            <w:tcMar>
              <w:top w:w="15" w:type="dxa"/>
              <w:left w:w="15" w:type="dxa"/>
              <w:right w:w="15" w:type="dxa"/>
            </w:tcMar>
            <w:vAlign w:val="center"/>
          </w:tcPr>
          <w:p w14:paraId="2D293A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17</w:t>
            </w:r>
          </w:p>
        </w:tc>
        <w:tc>
          <w:tcPr>
            <w:tcW w:w="758" w:type="pct"/>
            <w:tcBorders>
              <w:tl2br w:val="nil"/>
              <w:tr2bl w:val="nil"/>
            </w:tcBorders>
            <w:shd w:val="clear" w:color="auto" w:fill="auto"/>
            <w:noWrap/>
            <w:tcMar>
              <w:top w:w="15" w:type="dxa"/>
              <w:left w:w="15" w:type="dxa"/>
              <w:right w:w="15" w:type="dxa"/>
            </w:tcMar>
            <w:vAlign w:val="center"/>
          </w:tcPr>
          <w:p w14:paraId="5B2BAA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HR-JJ-3</w:t>
            </w:r>
          </w:p>
        </w:tc>
        <w:tc>
          <w:tcPr>
            <w:tcW w:w="1347" w:type="pct"/>
            <w:tcBorders>
              <w:tl2br w:val="nil"/>
              <w:tr2bl w:val="nil"/>
            </w:tcBorders>
            <w:shd w:val="clear" w:color="auto" w:fill="auto"/>
            <w:noWrap/>
            <w:tcMar>
              <w:top w:w="15" w:type="dxa"/>
              <w:left w:w="15" w:type="dxa"/>
              <w:right w:w="15" w:type="dxa"/>
            </w:tcMar>
            <w:vAlign w:val="center"/>
          </w:tcPr>
          <w:p w14:paraId="580C5F65">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w:t>
            </w:r>
            <w:r>
              <w:rPr>
                <w:rFonts w:hint="eastAsia" w:cs="Times New Roman"/>
                <w:sz w:val="21"/>
                <w:szCs w:val="21"/>
                <w:highlight w:val="none"/>
                <w:lang w:val="en-US" w:eastAsia="zh-CN"/>
              </w:rPr>
              <w:t>北</w:t>
            </w:r>
            <w:r>
              <w:rPr>
                <w:rFonts w:hint="default" w:ascii="Times New Roman" w:hAnsi="Times New Roman" w:cs="Times New Roman"/>
                <w:sz w:val="21"/>
                <w:szCs w:val="21"/>
                <w:highlight w:val="none"/>
                <w:lang w:val="en-US" w:eastAsia="zh-CN"/>
              </w:rPr>
              <w:t>侧</w:t>
            </w:r>
          </w:p>
        </w:tc>
        <w:tc>
          <w:tcPr>
            <w:tcW w:w="1606" w:type="pct"/>
            <w:tcBorders>
              <w:tl2br w:val="nil"/>
              <w:tr2bl w:val="nil"/>
            </w:tcBorders>
            <w:shd w:val="clear" w:color="auto" w:fill="auto"/>
            <w:noWrap/>
            <w:tcMar>
              <w:top w:w="15" w:type="dxa"/>
              <w:left w:w="15" w:type="dxa"/>
              <w:right w:w="15" w:type="dxa"/>
            </w:tcMar>
            <w:vAlign w:val="center"/>
          </w:tcPr>
          <w:p w14:paraId="53AFBE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二类用地筛选值</w:t>
            </w:r>
          </w:p>
        </w:tc>
        <w:tc>
          <w:tcPr>
            <w:tcW w:w="706" w:type="pct"/>
            <w:tcBorders>
              <w:tl2br w:val="nil"/>
              <w:tr2bl w:val="nil"/>
            </w:tcBorders>
            <w:shd w:val="clear" w:color="auto" w:fill="auto"/>
            <w:noWrap/>
            <w:tcMar>
              <w:top w:w="15" w:type="dxa"/>
              <w:left w:w="15" w:type="dxa"/>
              <w:right w:w="15" w:type="dxa"/>
            </w:tcMar>
            <w:vAlign w:val="center"/>
          </w:tcPr>
          <w:p w14:paraId="51C374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554</w:t>
            </w:r>
          </w:p>
        </w:tc>
      </w:tr>
      <w:tr w14:paraId="009060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580" w:type="pct"/>
            <w:tcBorders>
              <w:tl2br w:val="nil"/>
              <w:tr2bl w:val="nil"/>
            </w:tcBorders>
            <w:shd w:val="clear" w:color="auto" w:fill="auto"/>
            <w:noWrap/>
            <w:tcMar>
              <w:top w:w="15" w:type="dxa"/>
              <w:left w:w="15" w:type="dxa"/>
              <w:right w:w="15" w:type="dxa"/>
            </w:tcMar>
            <w:vAlign w:val="center"/>
          </w:tcPr>
          <w:p w14:paraId="455F10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18</w:t>
            </w:r>
          </w:p>
        </w:tc>
        <w:tc>
          <w:tcPr>
            <w:tcW w:w="758" w:type="pct"/>
            <w:tcBorders>
              <w:tl2br w:val="nil"/>
              <w:tr2bl w:val="nil"/>
            </w:tcBorders>
            <w:shd w:val="clear" w:color="auto" w:fill="auto"/>
            <w:noWrap/>
            <w:tcMar>
              <w:top w:w="15" w:type="dxa"/>
              <w:left w:w="15" w:type="dxa"/>
              <w:right w:w="15" w:type="dxa"/>
            </w:tcMar>
            <w:vAlign w:val="center"/>
          </w:tcPr>
          <w:p w14:paraId="266ABA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HR-JJ-4</w:t>
            </w:r>
          </w:p>
        </w:tc>
        <w:tc>
          <w:tcPr>
            <w:tcW w:w="1347" w:type="pct"/>
            <w:tcBorders>
              <w:tl2br w:val="nil"/>
              <w:tr2bl w:val="nil"/>
            </w:tcBorders>
            <w:shd w:val="clear" w:color="auto" w:fill="auto"/>
            <w:noWrap/>
            <w:tcMar>
              <w:top w:w="15" w:type="dxa"/>
              <w:left w:w="15" w:type="dxa"/>
              <w:right w:w="15" w:type="dxa"/>
            </w:tcMar>
            <w:vAlign w:val="center"/>
          </w:tcPr>
          <w:p w14:paraId="38F7D98C">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企业聚集区西侧</w:t>
            </w:r>
          </w:p>
        </w:tc>
        <w:tc>
          <w:tcPr>
            <w:tcW w:w="1606" w:type="pct"/>
            <w:tcBorders>
              <w:tl2br w:val="nil"/>
              <w:tr2bl w:val="nil"/>
            </w:tcBorders>
            <w:shd w:val="clear" w:color="auto" w:fill="auto"/>
            <w:noWrap/>
            <w:tcMar>
              <w:top w:w="15" w:type="dxa"/>
              <w:left w:w="15" w:type="dxa"/>
              <w:right w:w="15" w:type="dxa"/>
            </w:tcMar>
            <w:vAlign w:val="center"/>
          </w:tcPr>
          <w:p w14:paraId="2DB3C4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二类用地筛选值</w:t>
            </w:r>
          </w:p>
        </w:tc>
        <w:tc>
          <w:tcPr>
            <w:tcW w:w="706" w:type="pct"/>
            <w:tcBorders>
              <w:tl2br w:val="nil"/>
              <w:tr2bl w:val="nil"/>
            </w:tcBorders>
            <w:shd w:val="clear" w:color="auto" w:fill="auto"/>
            <w:noWrap/>
            <w:tcMar>
              <w:top w:w="15" w:type="dxa"/>
              <w:left w:w="15" w:type="dxa"/>
              <w:right w:w="15" w:type="dxa"/>
            </w:tcMar>
            <w:vAlign w:val="center"/>
          </w:tcPr>
          <w:p w14:paraId="18D314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670</w:t>
            </w:r>
          </w:p>
        </w:tc>
      </w:tr>
      <w:tr w14:paraId="7C8C60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580" w:type="pct"/>
            <w:tcBorders>
              <w:tl2br w:val="nil"/>
              <w:tr2bl w:val="nil"/>
            </w:tcBorders>
            <w:shd w:val="clear" w:color="auto" w:fill="auto"/>
            <w:noWrap/>
            <w:tcMar>
              <w:top w:w="15" w:type="dxa"/>
              <w:left w:w="15" w:type="dxa"/>
              <w:right w:w="15" w:type="dxa"/>
            </w:tcMar>
            <w:vAlign w:val="center"/>
          </w:tcPr>
          <w:p w14:paraId="14E578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19</w:t>
            </w:r>
          </w:p>
        </w:tc>
        <w:tc>
          <w:tcPr>
            <w:tcW w:w="758" w:type="pct"/>
            <w:tcBorders>
              <w:tl2br w:val="nil"/>
              <w:tr2bl w:val="nil"/>
            </w:tcBorders>
            <w:shd w:val="clear" w:color="auto" w:fill="auto"/>
            <w:noWrap/>
            <w:tcMar>
              <w:top w:w="15" w:type="dxa"/>
              <w:left w:w="15" w:type="dxa"/>
              <w:right w:w="15" w:type="dxa"/>
            </w:tcMar>
            <w:vAlign w:val="center"/>
          </w:tcPr>
          <w:p w14:paraId="327A49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HR-JJ-5</w:t>
            </w:r>
          </w:p>
        </w:tc>
        <w:tc>
          <w:tcPr>
            <w:tcW w:w="1347" w:type="pct"/>
            <w:tcBorders>
              <w:tl2br w:val="nil"/>
              <w:tr2bl w:val="nil"/>
            </w:tcBorders>
            <w:shd w:val="clear" w:color="auto" w:fill="auto"/>
            <w:noWrap/>
            <w:tcMar>
              <w:top w:w="15" w:type="dxa"/>
              <w:left w:w="15" w:type="dxa"/>
              <w:right w:w="15" w:type="dxa"/>
            </w:tcMar>
            <w:vAlign w:val="center"/>
          </w:tcPr>
          <w:p w14:paraId="1A01E58C">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企业聚集区西侧</w:t>
            </w:r>
          </w:p>
        </w:tc>
        <w:tc>
          <w:tcPr>
            <w:tcW w:w="1606" w:type="pct"/>
            <w:tcBorders>
              <w:tl2br w:val="nil"/>
              <w:tr2bl w:val="nil"/>
            </w:tcBorders>
            <w:shd w:val="clear" w:color="auto" w:fill="auto"/>
            <w:noWrap/>
            <w:tcMar>
              <w:top w:w="15" w:type="dxa"/>
              <w:left w:w="15" w:type="dxa"/>
              <w:right w:w="15" w:type="dxa"/>
            </w:tcMar>
            <w:vAlign w:val="center"/>
          </w:tcPr>
          <w:p w14:paraId="46BE01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一类用地筛选值</w:t>
            </w:r>
          </w:p>
        </w:tc>
        <w:tc>
          <w:tcPr>
            <w:tcW w:w="706" w:type="pct"/>
            <w:tcBorders>
              <w:tl2br w:val="nil"/>
              <w:tr2bl w:val="nil"/>
            </w:tcBorders>
            <w:shd w:val="clear" w:color="auto" w:fill="auto"/>
            <w:noWrap/>
            <w:tcMar>
              <w:top w:w="15" w:type="dxa"/>
              <w:left w:w="15" w:type="dxa"/>
              <w:right w:w="15" w:type="dxa"/>
            </w:tcMar>
            <w:vAlign w:val="center"/>
          </w:tcPr>
          <w:p w14:paraId="6F1028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693</w:t>
            </w:r>
          </w:p>
        </w:tc>
      </w:tr>
      <w:tr w14:paraId="0986BD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580" w:type="pct"/>
            <w:tcBorders>
              <w:tl2br w:val="nil"/>
              <w:tr2bl w:val="nil"/>
            </w:tcBorders>
            <w:shd w:val="clear" w:color="auto" w:fill="auto"/>
            <w:noWrap/>
            <w:tcMar>
              <w:top w:w="15" w:type="dxa"/>
              <w:left w:w="15" w:type="dxa"/>
              <w:right w:w="15" w:type="dxa"/>
            </w:tcMar>
            <w:vAlign w:val="center"/>
          </w:tcPr>
          <w:p w14:paraId="0659F6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20</w:t>
            </w:r>
          </w:p>
        </w:tc>
        <w:tc>
          <w:tcPr>
            <w:tcW w:w="758" w:type="pct"/>
            <w:tcBorders>
              <w:tl2br w:val="nil"/>
              <w:tr2bl w:val="nil"/>
            </w:tcBorders>
            <w:shd w:val="clear" w:color="auto" w:fill="auto"/>
            <w:noWrap/>
            <w:tcMar>
              <w:top w:w="15" w:type="dxa"/>
              <w:left w:w="15" w:type="dxa"/>
              <w:right w:w="15" w:type="dxa"/>
            </w:tcMar>
            <w:vAlign w:val="center"/>
          </w:tcPr>
          <w:p w14:paraId="77CFB0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HR-JJ-6</w:t>
            </w:r>
          </w:p>
        </w:tc>
        <w:tc>
          <w:tcPr>
            <w:tcW w:w="1347" w:type="pct"/>
            <w:tcBorders>
              <w:tl2br w:val="nil"/>
              <w:tr2bl w:val="nil"/>
            </w:tcBorders>
            <w:shd w:val="clear" w:color="auto" w:fill="auto"/>
            <w:noWrap/>
            <w:tcMar>
              <w:top w:w="15" w:type="dxa"/>
              <w:left w:w="15" w:type="dxa"/>
              <w:right w:w="15" w:type="dxa"/>
            </w:tcMar>
            <w:vAlign w:val="center"/>
          </w:tcPr>
          <w:p w14:paraId="779E863C">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企业聚集区南侧</w:t>
            </w:r>
          </w:p>
        </w:tc>
        <w:tc>
          <w:tcPr>
            <w:tcW w:w="1606" w:type="pct"/>
            <w:tcBorders>
              <w:tl2br w:val="nil"/>
              <w:tr2bl w:val="nil"/>
            </w:tcBorders>
            <w:shd w:val="clear" w:color="auto" w:fill="auto"/>
            <w:noWrap/>
            <w:tcMar>
              <w:top w:w="15" w:type="dxa"/>
              <w:left w:w="15" w:type="dxa"/>
              <w:right w:w="15" w:type="dxa"/>
            </w:tcMar>
            <w:vAlign w:val="center"/>
          </w:tcPr>
          <w:p w14:paraId="6093F8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一类用地筛选值</w:t>
            </w:r>
          </w:p>
        </w:tc>
        <w:tc>
          <w:tcPr>
            <w:tcW w:w="706" w:type="pct"/>
            <w:tcBorders>
              <w:tl2br w:val="nil"/>
              <w:tr2bl w:val="nil"/>
            </w:tcBorders>
            <w:shd w:val="clear" w:color="auto" w:fill="auto"/>
            <w:noWrap/>
            <w:tcMar>
              <w:top w:w="15" w:type="dxa"/>
              <w:left w:w="15" w:type="dxa"/>
              <w:right w:w="15" w:type="dxa"/>
            </w:tcMar>
            <w:vAlign w:val="center"/>
          </w:tcPr>
          <w:p w14:paraId="7EF424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663</w:t>
            </w:r>
          </w:p>
        </w:tc>
      </w:tr>
      <w:tr w14:paraId="5F5B52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cantSplit/>
          <w:trHeight w:val="23" w:hRule="atLeast"/>
          <w:jc w:val="center"/>
        </w:trPr>
        <w:tc>
          <w:tcPr>
            <w:tcW w:w="4293" w:type="pct"/>
            <w:gridSpan w:val="4"/>
            <w:tcBorders>
              <w:tl2br w:val="nil"/>
              <w:tr2bl w:val="nil"/>
            </w:tcBorders>
            <w:shd w:val="clear" w:color="auto" w:fill="auto"/>
            <w:noWrap/>
            <w:tcMar>
              <w:top w:w="15" w:type="dxa"/>
              <w:left w:w="15" w:type="dxa"/>
              <w:right w:w="15" w:type="dxa"/>
            </w:tcMar>
            <w:vAlign w:val="center"/>
          </w:tcPr>
          <w:p w14:paraId="3AD1E1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最大值</w:t>
            </w:r>
          </w:p>
        </w:tc>
        <w:tc>
          <w:tcPr>
            <w:tcW w:w="706" w:type="pct"/>
            <w:tcBorders>
              <w:tl2br w:val="nil"/>
              <w:tr2bl w:val="nil"/>
            </w:tcBorders>
            <w:shd w:val="clear" w:color="auto" w:fill="auto"/>
            <w:noWrap/>
            <w:tcMar>
              <w:top w:w="15" w:type="dxa"/>
              <w:left w:w="15" w:type="dxa"/>
              <w:right w:w="15" w:type="dxa"/>
            </w:tcMar>
            <w:vAlign w:val="center"/>
          </w:tcPr>
          <w:p w14:paraId="03B769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693</w:t>
            </w:r>
          </w:p>
        </w:tc>
      </w:tr>
      <w:tr w14:paraId="5B52C2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293" w:type="pct"/>
            <w:gridSpan w:val="4"/>
            <w:tcBorders>
              <w:tl2br w:val="nil"/>
              <w:tr2bl w:val="nil"/>
            </w:tcBorders>
            <w:shd w:val="clear" w:color="auto" w:fill="auto"/>
            <w:noWrap/>
            <w:tcMar>
              <w:top w:w="15" w:type="dxa"/>
              <w:left w:w="15" w:type="dxa"/>
              <w:right w:w="15" w:type="dxa"/>
            </w:tcMar>
            <w:vAlign w:val="center"/>
          </w:tcPr>
          <w:p w14:paraId="7893D5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最小值</w:t>
            </w:r>
          </w:p>
        </w:tc>
        <w:tc>
          <w:tcPr>
            <w:tcW w:w="706" w:type="pct"/>
            <w:tcBorders>
              <w:tl2br w:val="nil"/>
              <w:tr2bl w:val="nil"/>
            </w:tcBorders>
            <w:shd w:val="clear" w:color="auto" w:fill="auto"/>
            <w:noWrap/>
            <w:tcMar>
              <w:top w:w="15" w:type="dxa"/>
              <w:left w:w="15" w:type="dxa"/>
              <w:right w:w="15" w:type="dxa"/>
            </w:tcMar>
            <w:vAlign w:val="center"/>
          </w:tcPr>
          <w:p w14:paraId="4E9769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419</w:t>
            </w:r>
          </w:p>
        </w:tc>
      </w:tr>
      <w:tr w14:paraId="36EE7B5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293" w:type="pct"/>
            <w:gridSpan w:val="4"/>
            <w:tcBorders>
              <w:tl2br w:val="nil"/>
              <w:tr2bl w:val="nil"/>
            </w:tcBorders>
            <w:shd w:val="clear" w:color="auto" w:fill="auto"/>
            <w:noWrap/>
            <w:tcMar>
              <w:top w:w="15" w:type="dxa"/>
              <w:left w:w="15" w:type="dxa"/>
              <w:right w:w="15" w:type="dxa"/>
            </w:tcMar>
            <w:vAlign w:val="center"/>
          </w:tcPr>
          <w:p w14:paraId="2CE87E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平均值</w:t>
            </w:r>
          </w:p>
        </w:tc>
        <w:tc>
          <w:tcPr>
            <w:tcW w:w="706" w:type="pct"/>
            <w:tcBorders>
              <w:tl2br w:val="nil"/>
              <w:tr2bl w:val="nil"/>
            </w:tcBorders>
            <w:shd w:val="clear" w:color="auto" w:fill="auto"/>
            <w:noWrap/>
            <w:tcMar>
              <w:top w:w="15" w:type="dxa"/>
              <w:left w:w="15" w:type="dxa"/>
              <w:right w:w="15" w:type="dxa"/>
            </w:tcMar>
            <w:vAlign w:val="center"/>
          </w:tcPr>
          <w:p w14:paraId="5574C4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532</w:t>
            </w:r>
          </w:p>
        </w:tc>
      </w:tr>
      <w:tr w14:paraId="2C0C5AE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293" w:type="pct"/>
            <w:gridSpan w:val="4"/>
            <w:tcBorders>
              <w:tl2br w:val="nil"/>
              <w:tr2bl w:val="nil"/>
            </w:tcBorders>
            <w:shd w:val="clear" w:color="auto" w:fill="auto"/>
            <w:noWrap/>
            <w:tcMar>
              <w:top w:w="15" w:type="dxa"/>
              <w:left w:w="15" w:type="dxa"/>
              <w:right w:w="15" w:type="dxa"/>
            </w:tcMar>
            <w:vAlign w:val="center"/>
          </w:tcPr>
          <w:p w14:paraId="1CDC35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检出率</w:t>
            </w:r>
          </w:p>
        </w:tc>
        <w:tc>
          <w:tcPr>
            <w:tcW w:w="706" w:type="pct"/>
            <w:tcBorders>
              <w:tl2br w:val="nil"/>
              <w:tr2bl w:val="nil"/>
            </w:tcBorders>
            <w:shd w:val="clear" w:color="auto" w:fill="auto"/>
            <w:noWrap/>
            <w:tcMar>
              <w:top w:w="15" w:type="dxa"/>
              <w:left w:w="15" w:type="dxa"/>
              <w:right w:w="15" w:type="dxa"/>
            </w:tcMar>
            <w:vAlign w:val="center"/>
          </w:tcPr>
          <w:p w14:paraId="26D498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100%</w:t>
            </w:r>
          </w:p>
        </w:tc>
      </w:tr>
      <w:tr w14:paraId="1BE1A0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293" w:type="pct"/>
            <w:gridSpan w:val="4"/>
            <w:tcBorders>
              <w:bottom w:val="single" w:color="auto" w:sz="4" w:space="0"/>
              <w:tl2br w:val="nil"/>
              <w:tr2bl w:val="nil"/>
            </w:tcBorders>
            <w:shd w:val="clear" w:color="auto" w:fill="auto"/>
            <w:noWrap/>
            <w:tcMar>
              <w:top w:w="15" w:type="dxa"/>
              <w:left w:w="15" w:type="dxa"/>
              <w:right w:w="15" w:type="dxa"/>
            </w:tcMar>
            <w:vAlign w:val="center"/>
          </w:tcPr>
          <w:p w14:paraId="537D9C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建设用地第</w:t>
            </w:r>
            <w:r>
              <w:rPr>
                <w:rFonts w:hint="default" w:ascii="Times New Roman" w:hAnsi="Times New Roman" w:cs="Times New Roman"/>
                <w:i w:val="0"/>
                <w:color w:val="000000"/>
                <w:kern w:val="0"/>
                <w:sz w:val="21"/>
                <w:szCs w:val="21"/>
                <w:highlight w:val="none"/>
                <w:u w:val="none"/>
                <w:lang w:val="en-US" w:eastAsia="zh-CN" w:bidi="ar"/>
              </w:rPr>
              <w:t>一</w:t>
            </w:r>
            <w:r>
              <w:rPr>
                <w:rFonts w:hint="default" w:ascii="Times New Roman" w:hAnsi="Times New Roman" w:eastAsia="宋体" w:cs="Times New Roman"/>
                <w:i w:val="0"/>
                <w:color w:val="000000"/>
                <w:kern w:val="0"/>
                <w:sz w:val="21"/>
                <w:szCs w:val="21"/>
                <w:highlight w:val="none"/>
                <w:u w:val="none"/>
                <w:lang w:val="en-US" w:eastAsia="zh-CN" w:bidi="ar"/>
              </w:rPr>
              <w:t>类用地筛选值</w:t>
            </w:r>
          </w:p>
        </w:tc>
        <w:tc>
          <w:tcPr>
            <w:tcW w:w="706" w:type="pct"/>
            <w:tcBorders>
              <w:tl2br w:val="nil"/>
              <w:tr2bl w:val="nil"/>
            </w:tcBorders>
            <w:shd w:val="clear" w:color="auto" w:fill="auto"/>
            <w:noWrap/>
            <w:tcMar>
              <w:top w:w="15" w:type="dxa"/>
              <w:left w:w="15" w:type="dxa"/>
              <w:right w:w="15" w:type="dxa"/>
            </w:tcMar>
            <w:vAlign w:val="center"/>
          </w:tcPr>
          <w:p w14:paraId="744DEF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1960</w:t>
            </w:r>
          </w:p>
        </w:tc>
      </w:tr>
      <w:tr w14:paraId="6C4AE5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293" w:type="pct"/>
            <w:gridSpan w:val="4"/>
            <w:tcBorders>
              <w:top w:val="single" w:color="auto" w:sz="4" w:space="0"/>
              <w:tl2br w:val="nil"/>
              <w:tr2bl w:val="nil"/>
            </w:tcBorders>
            <w:shd w:val="clear" w:color="auto" w:fill="auto"/>
            <w:noWrap/>
            <w:tcMar>
              <w:top w:w="15" w:type="dxa"/>
              <w:left w:w="15" w:type="dxa"/>
              <w:right w:w="15" w:type="dxa"/>
            </w:tcMar>
            <w:vAlign w:val="center"/>
          </w:tcPr>
          <w:p w14:paraId="7B7AA4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建设用地第二类用地筛选值</w:t>
            </w:r>
          </w:p>
        </w:tc>
        <w:tc>
          <w:tcPr>
            <w:tcW w:w="706" w:type="pct"/>
            <w:tcBorders>
              <w:tl2br w:val="nil"/>
              <w:tr2bl w:val="nil"/>
            </w:tcBorders>
            <w:shd w:val="clear" w:color="auto" w:fill="auto"/>
            <w:noWrap/>
            <w:tcMar>
              <w:top w:w="15" w:type="dxa"/>
              <w:left w:w="15" w:type="dxa"/>
              <w:right w:w="15" w:type="dxa"/>
            </w:tcMar>
            <w:vAlign w:val="center"/>
          </w:tcPr>
          <w:p w14:paraId="11CEAF5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10000</w:t>
            </w:r>
          </w:p>
        </w:tc>
      </w:tr>
      <w:tr w14:paraId="7F0E93C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293" w:type="pct"/>
            <w:gridSpan w:val="4"/>
            <w:tcBorders>
              <w:tl2br w:val="nil"/>
              <w:tr2bl w:val="nil"/>
            </w:tcBorders>
            <w:shd w:val="clear" w:color="auto" w:fill="auto"/>
            <w:noWrap/>
            <w:tcMar>
              <w:top w:w="15" w:type="dxa"/>
              <w:left w:w="15" w:type="dxa"/>
              <w:right w:w="15" w:type="dxa"/>
            </w:tcMar>
            <w:vAlign w:val="center"/>
          </w:tcPr>
          <w:p w14:paraId="2843CE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达标情况</w:t>
            </w:r>
          </w:p>
        </w:tc>
        <w:tc>
          <w:tcPr>
            <w:tcW w:w="706" w:type="pct"/>
            <w:tcBorders>
              <w:tl2br w:val="nil"/>
              <w:tr2bl w:val="nil"/>
            </w:tcBorders>
            <w:shd w:val="clear" w:color="auto" w:fill="auto"/>
            <w:noWrap/>
            <w:tcMar>
              <w:top w:w="15" w:type="dxa"/>
              <w:left w:w="15" w:type="dxa"/>
              <w:right w:w="15" w:type="dxa"/>
            </w:tcMar>
            <w:vAlign w:val="center"/>
          </w:tcPr>
          <w:p w14:paraId="7CC944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达标</w:t>
            </w:r>
          </w:p>
        </w:tc>
      </w:tr>
    </w:tbl>
    <w:p w14:paraId="43B70CB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highlight w:val="none"/>
          <w:lang w:eastAsia="zh-CN"/>
        </w:rPr>
      </w:pPr>
      <w:r>
        <w:rPr>
          <w:rFonts w:hint="default"/>
          <w:b/>
          <w:bCs/>
          <w:color w:val="000000"/>
          <w:kern w:val="0"/>
          <w:sz w:val="18"/>
          <w:szCs w:val="18"/>
          <w:highlight w:val="none"/>
          <w:lang w:val="en-US" w:eastAsia="zh-CN"/>
        </w:rPr>
        <w:t>注：</w:t>
      </w:r>
      <w:r>
        <w:rPr>
          <w:rFonts w:hint="eastAsia"/>
          <w:b/>
          <w:bCs/>
          <w:color w:val="000000"/>
          <w:kern w:val="0"/>
          <w:sz w:val="18"/>
          <w:szCs w:val="18"/>
          <w:highlight w:val="none"/>
          <w:lang w:val="en-US" w:eastAsia="zh-CN"/>
        </w:rPr>
        <w:t>①表列参考标准选取依据详见5.1.1节表5-1-1相关内容。</w:t>
      </w:r>
    </w:p>
    <w:p w14:paraId="4F6DAFF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w:hAnsi="Times New Roman" w:cs="Times New Roman"/>
          <w:highlight w:val="none"/>
        </w:rPr>
      </w:pPr>
      <w:r>
        <w:rPr>
          <w:rFonts w:hint="default" w:ascii="Times New Roman" w:hAnsi="Times New Roman" w:cs="Times New Roman"/>
          <w:highlight w:val="none"/>
          <w:lang w:eastAsia="zh-CN"/>
        </w:rPr>
        <w:t>各点位</w:t>
      </w:r>
      <w:r>
        <w:rPr>
          <w:rFonts w:hint="eastAsia" w:cs="Times New Roman"/>
          <w:highlight w:val="none"/>
          <w:lang w:eastAsia="zh-CN"/>
        </w:rPr>
        <w:t>总氟化物</w:t>
      </w:r>
      <w:r>
        <w:rPr>
          <w:rFonts w:hint="default" w:ascii="Times New Roman" w:hAnsi="Times New Roman" w:cs="Times New Roman"/>
          <w:highlight w:val="none"/>
          <w:lang w:eastAsia="zh-CN"/>
        </w:rPr>
        <w:t>监测浓度散点分布图如下：</w:t>
      </w:r>
    </w:p>
    <w:tbl>
      <w:tblPr>
        <w:tblStyle w:val="22"/>
        <w:tblW w:w="88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26"/>
      </w:tblGrid>
      <w:tr w14:paraId="3A8D1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36DB1CA2">
            <w:pPr>
              <w:pStyle w:val="2"/>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highlight w:val="none"/>
              </w:rPr>
              <w:drawing>
                <wp:inline distT="0" distB="0" distL="114935" distR="114935">
                  <wp:extent cx="5400040" cy="3599815"/>
                  <wp:effectExtent l="9525" t="0" r="15875" b="48260"/>
                  <wp:docPr id="2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6353C4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s="Times New Roman"/>
                <w:b/>
                <w:bCs/>
                <w:sz w:val="18"/>
                <w:szCs w:val="18"/>
                <w:highlight w:val="none"/>
                <w:lang w:eastAsia="zh-CN"/>
              </w:rPr>
            </w:pPr>
            <w:r>
              <w:rPr>
                <w:rFonts w:hint="default" w:ascii="Times New Roman" w:hAnsi="Times New Roman" w:cs="Times New Roman"/>
                <w:b/>
                <w:bCs/>
                <w:sz w:val="18"/>
                <w:szCs w:val="18"/>
                <w:highlight w:val="none"/>
                <w:lang w:eastAsia="zh-CN"/>
              </w:rPr>
              <w:t>注：①各点位对应的参考标志均远大于监测浓度值，故不在分布图中展现，下同；</w:t>
            </w:r>
          </w:p>
          <w:p w14:paraId="55272BA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s="Times New Roman"/>
                <w:b/>
                <w:bCs/>
                <w:sz w:val="18"/>
                <w:szCs w:val="18"/>
                <w:highlight w:val="none"/>
                <w:lang w:eastAsia="zh-CN"/>
              </w:rPr>
            </w:pPr>
            <w:r>
              <w:rPr>
                <w:rFonts w:hint="default" w:ascii="Times New Roman" w:hAnsi="Times New Roman" w:cs="Times New Roman"/>
                <w:b/>
                <w:bCs/>
                <w:sz w:val="18"/>
                <w:szCs w:val="18"/>
                <w:highlight w:val="none"/>
                <w:lang w:eastAsia="zh-CN"/>
              </w:rPr>
              <w:t>②已检出指标的检出限均远小于监测浓度值，故不在分布图中展现，下同。</w:t>
            </w:r>
          </w:p>
          <w:p w14:paraId="42ED04A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b/>
                <w:bCs/>
                <w:highlight w:val="none"/>
                <w:lang w:eastAsia="zh-CN"/>
              </w:rPr>
              <w:t>图</w:t>
            </w:r>
            <w:r>
              <w:rPr>
                <w:rFonts w:hint="default" w:ascii="Times New Roman" w:hAnsi="Times New Roman" w:cs="Times New Roman"/>
                <w:b/>
                <w:bCs/>
                <w:highlight w:val="none"/>
                <w:lang w:val="en-US" w:eastAsia="zh-CN"/>
              </w:rPr>
              <w:t>5-3-2</w:t>
            </w:r>
            <w:r>
              <w:rPr>
                <w:rFonts w:hint="default" w:ascii="Times New Roman" w:hAnsi="Times New Roman" w:eastAsia="宋体" w:cs="Times New Roman"/>
                <w:b/>
                <w:bCs/>
                <w:highlight w:val="none"/>
                <w:lang w:val="en-US" w:eastAsia="zh-CN"/>
              </w:rPr>
              <w:t xml:space="preserve"> </w:t>
            </w:r>
            <w:r>
              <w:rPr>
                <w:rFonts w:hint="eastAsia" w:cs="Times New Roman"/>
                <w:b/>
                <w:bCs/>
                <w:highlight w:val="none"/>
                <w:lang w:val="en-US" w:eastAsia="zh-CN"/>
              </w:rPr>
              <w:t>总氟化物</w:t>
            </w:r>
            <w:r>
              <w:rPr>
                <w:rFonts w:hint="default" w:ascii="Times New Roman" w:hAnsi="Times New Roman" w:eastAsia="宋体" w:cs="Times New Roman"/>
                <w:b/>
                <w:bCs/>
                <w:highlight w:val="none"/>
                <w:lang w:val="en-US" w:eastAsia="zh-CN"/>
              </w:rPr>
              <w:t>指标</w:t>
            </w:r>
            <w:r>
              <w:rPr>
                <w:rFonts w:hint="eastAsia" w:cs="Times New Roman"/>
                <w:b/>
                <w:bCs/>
                <w:highlight w:val="none"/>
                <w:lang w:val="en-US" w:eastAsia="zh-CN"/>
              </w:rPr>
              <w:t>监测浓度</w:t>
            </w:r>
            <w:r>
              <w:rPr>
                <w:rFonts w:hint="default" w:ascii="Times New Roman" w:hAnsi="Times New Roman" w:eastAsia="宋体" w:cs="Times New Roman"/>
                <w:b/>
                <w:bCs/>
                <w:highlight w:val="none"/>
                <w:lang w:val="en-US" w:eastAsia="zh-CN"/>
              </w:rPr>
              <w:t>分布情况图</w:t>
            </w:r>
          </w:p>
        </w:tc>
      </w:tr>
    </w:tbl>
    <w:p w14:paraId="0D57375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cs="Times New Roman"/>
          <w:highlight w:val="none"/>
          <w:lang w:eastAsia="zh-CN"/>
        </w:rPr>
      </w:pPr>
      <w:r>
        <w:rPr>
          <w:rFonts w:hint="eastAsia" w:ascii="Times New Roman" w:hAnsi="Times New Roman" w:cs="Times New Roman"/>
          <w:highlight w:val="none"/>
          <w:lang w:val="en-US" w:eastAsia="zh-CN"/>
        </w:rPr>
        <w:t>由图可知，</w:t>
      </w:r>
      <w:r>
        <w:rPr>
          <w:rFonts w:hint="eastAsia" w:cs="Times New Roman"/>
          <w:highlight w:val="none"/>
          <w:lang w:val="en-US" w:eastAsia="zh-CN"/>
        </w:rPr>
        <w:t>各点位总氟化物监测值</w:t>
      </w:r>
      <w:r>
        <w:rPr>
          <w:rFonts w:hint="default" w:ascii="Times New Roman" w:hAnsi="Times New Roman" w:cs="Times New Roman"/>
          <w:highlight w:val="none"/>
          <w:lang w:eastAsia="zh-CN"/>
        </w:rPr>
        <w:t>差别较小，各</w:t>
      </w:r>
      <w:r>
        <w:rPr>
          <w:rFonts w:hint="default" w:ascii="Times New Roman" w:hAnsi="Times New Roman" w:cs="Times New Roman"/>
          <w:highlight w:val="none"/>
        </w:rPr>
        <w:t>检测值与均值</w:t>
      </w:r>
      <w:r>
        <w:rPr>
          <w:rFonts w:hint="default" w:ascii="Times New Roman" w:hAnsi="Times New Roman" w:cs="Times New Roman"/>
          <w:highlight w:val="none"/>
          <w:lang w:eastAsia="zh-CN"/>
        </w:rPr>
        <w:t>差别较小</w:t>
      </w:r>
      <w:r>
        <w:rPr>
          <w:rFonts w:hint="eastAsia" w:cs="Times New Roman"/>
          <w:highlight w:val="none"/>
          <w:lang w:eastAsia="zh-CN"/>
        </w:rPr>
        <w:t>。</w:t>
      </w:r>
    </w:p>
    <w:p w14:paraId="009CD5E7">
      <w:pPr>
        <w:spacing w:before="156" w:beforeLines="50"/>
        <w:ind w:firstLine="420" w:firstLineChars="0"/>
        <w:rPr>
          <w:rFonts w:hint="default" w:ascii="Times New Roman" w:hAnsi="Times New Roman" w:eastAsia="宋体" w:cs="Times New Roman"/>
          <w:b/>
          <w:bCs/>
          <w:sz w:val="24"/>
          <w:highlight w:val="none"/>
          <w:lang w:eastAsia="zh-CN"/>
        </w:rPr>
      </w:pPr>
      <w:r>
        <w:rPr>
          <w:rStyle w:val="64"/>
          <w:rFonts w:hint="default" w:ascii="Times New Roman" w:hAnsi="Times New Roman" w:eastAsia="黑体" w:cs="Times New Roman"/>
          <w:highlight w:val="none"/>
          <w:lang w:eastAsia="zh-CN"/>
        </w:rPr>
        <w:t>（</w:t>
      </w:r>
      <w:r>
        <w:rPr>
          <w:rStyle w:val="64"/>
          <w:rFonts w:hint="default" w:ascii="Times New Roman" w:hAnsi="Times New Roman" w:eastAsia="黑体" w:cs="Times New Roman"/>
          <w:highlight w:val="none"/>
          <w:lang w:val="en-US" w:eastAsia="zh-CN"/>
        </w:rPr>
        <w:t>3</w:t>
      </w:r>
      <w:r>
        <w:rPr>
          <w:rStyle w:val="64"/>
          <w:rFonts w:hint="default" w:ascii="Times New Roman" w:hAnsi="Times New Roman" w:eastAsia="黑体" w:cs="Times New Roman"/>
          <w:highlight w:val="none"/>
          <w:lang w:eastAsia="zh-CN"/>
        </w:rPr>
        <w:t>）</w:t>
      </w:r>
      <w:r>
        <w:rPr>
          <w:rFonts w:hint="default" w:ascii="Times New Roman" w:hAnsi="Times New Roman" w:cs="Times New Roman"/>
          <w:b/>
          <w:bCs/>
          <w:highlight w:val="none"/>
        </w:rPr>
        <w:t>重金属</w:t>
      </w:r>
    </w:p>
    <w:p w14:paraId="759B647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园区</w:t>
      </w:r>
      <w:r>
        <w:rPr>
          <w:rFonts w:hint="default" w:ascii="Times New Roman" w:hAnsi="Times New Roman" w:cs="Times New Roman"/>
          <w:sz w:val="24"/>
          <w:highlight w:val="none"/>
        </w:rPr>
        <w:t>内</w:t>
      </w:r>
      <w:r>
        <w:rPr>
          <w:rFonts w:hint="default" w:ascii="Times New Roman" w:hAnsi="Times New Roman" w:cs="Times New Roman"/>
          <w:sz w:val="24"/>
          <w:highlight w:val="none"/>
          <w:lang w:val="en-US" w:eastAsia="zh-CN"/>
        </w:rPr>
        <w:t>20</w:t>
      </w:r>
      <w:r>
        <w:rPr>
          <w:rFonts w:hint="default" w:ascii="Times New Roman" w:hAnsi="Times New Roman" w:cs="Times New Roman"/>
          <w:sz w:val="24"/>
          <w:highlight w:val="none"/>
        </w:rPr>
        <w:t>个</w:t>
      </w:r>
      <w:r>
        <w:rPr>
          <w:rFonts w:hint="default" w:ascii="Times New Roman" w:hAnsi="Times New Roman" w:cs="Times New Roman"/>
          <w:sz w:val="24"/>
          <w:highlight w:val="none"/>
          <w:lang w:eastAsia="zh-CN"/>
        </w:rPr>
        <w:t>土壤</w:t>
      </w:r>
      <w:r>
        <w:rPr>
          <w:rFonts w:hint="default" w:ascii="Times New Roman" w:hAnsi="Times New Roman" w:cs="Times New Roman"/>
          <w:sz w:val="24"/>
          <w:highlight w:val="none"/>
        </w:rPr>
        <w:t>样品</w:t>
      </w:r>
      <w:r>
        <w:rPr>
          <w:rFonts w:hint="eastAsia"/>
          <w:highlight w:val="none"/>
        </w:rPr>
        <w:t>（</w:t>
      </w:r>
      <w:r>
        <w:rPr>
          <w:rFonts w:hint="eastAsia"/>
          <w:highlight w:val="none"/>
          <w:lang w:eastAsia="zh-CN"/>
        </w:rPr>
        <w:t>不含质控样品</w:t>
      </w:r>
      <w:r>
        <w:rPr>
          <w:rFonts w:hint="eastAsia"/>
          <w:highlight w:val="none"/>
        </w:rPr>
        <w:t>）</w:t>
      </w:r>
      <w:r>
        <w:rPr>
          <w:rFonts w:hint="eastAsia"/>
          <w:highlight w:val="none"/>
          <w:lang w:val="en-US" w:eastAsia="zh-CN"/>
        </w:rPr>
        <w:t>的</w:t>
      </w:r>
      <w:r>
        <w:rPr>
          <w:rFonts w:hint="default" w:ascii="Times New Roman" w:hAnsi="Times New Roman" w:cs="Times New Roman"/>
          <w:sz w:val="24"/>
          <w:highlight w:val="none"/>
        </w:rPr>
        <w:t>重金属测试项目除</w:t>
      </w:r>
      <w:r>
        <w:rPr>
          <w:rFonts w:hint="default" w:ascii="Times New Roman" w:hAnsi="Times New Roman" w:cs="Times New Roman"/>
          <w:sz w:val="24"/>
          <w:highlight w:val="none"/>
          <w:lang w:eastAsia="zh-CN"/>
        </w:rPr>
        <w:t>铬（六价）</w:t>
      </w:r>
      <w:r>
        <w:rPr>
          <w:rFonts w:hint="default" w:ascii="Times New Roman" w:hAnsi="Times New Roman" w:cs="Times New Roman"/>
          <w:sz w:val="24"/>
          <w:highlight w:val="none"/>
        </w:rPr>
        <w:t>以外均有检出</w:t>
      </w:r>
      <w:r>
        <w:rPr>
          <w:rFonts w:hint="default" w:ascii="Times New Roman" w:hAnsi="Times New Roman" w:cs="Times New Roman"/>
          <w:sz w:val="24"/>
          <w:highlight w:val="none"/>
          <w:lang w:eastAsia="zh-CN"/>
        </w:rPr>
        <w:t>，检出率</w:t>
      </w:r>
      <w:r>
        <w:rPr>
          <w:rFonts w:hint="default" w:ascii="Times New Roman" w:hAnsi="Times New Roman" w:cs="Times New Roman"/>
          <w:sz w:val="24"/>
          <w:highlight w:val="none"/>
          <w:lang w:val="en-US" w:eastAsia="zh-CN"/>
        </w:rPr>
        <w:t>100%</w:t>
      </w:r>
      <w:r>
        <w:rPr>
          <w:rFonts w:hint="default" w:ascii="Times New Roman" w:hAnsi="Times New Roman" w:cs="Times New Roman"/>
          <w:sz w:val="24"/>
          <w:highlight w:val="none"/>
          <w:lang w:eastAsia="zh-CN"/>
        </w:rPr>
        <w:t>。</w:t>
      </w:r>
    </w:p>
    <w:p w14:paraId="0CF8B05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w:hAnsi="Times New Roman" w:cs="Times New Roman"/>
          <w:highlight w:val="none"/>
          <w:lang w:val="en-US" w:eastAsia="zh-CN"/>
        </w:rPr>
        <w:sectPr>
          <w:headerReference r:id="rId17" w:type="default"/>
          <w:pgSz w:w="11849" w:h="16781"/>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0" w:charSpace="0"/>
        </w:sectPr>
      </w:pPr>
      <w:r>
        <w:rPr>
          <w:rFonts w:hint="default" w:ascii="Times New Roman" w:hAnsi="Times New Roman" w:cs="Times New Roman"/>
          <w:highlight w:val="none"/>
          <w:lang w:eastAsia="zh-CN"/>
        </w:rPr>
        <w:t>各点位检出的</w:t>
      </w:r>
      <w:r>
        <w:rPr>
          <w:rFonts w:hint="default" w:ascii="Times New Roman" w:hAnsi="Times New Roman" w:cs="Times New Roman"/>
          <w:highlight w:val="none"/>
        </w:rPr>
        <w:t>重金属</w:t>
      </w:r>
      <w:r>
        <w:rPr>
          <w:rFonts w:hint="default" w:ascii="Times New Roman" w:hAnsi="Times New Roman" w:cs="Times New Roman"/>
          <w:highlight w:val="none"/>
          <w:lang w:eastAsia="zh-CN"/>
        </w:rPr>
        <w:t>浓度均未超过对应的</w:t>
      </w:r>
      <w:r>
        <w:rPr>
          <w:rFonts w:hint="default" w:ascii="Times New Roman" w:hAnsi="Times New Roman" w:cs="Times New Roman"/>
          <w:sz w:val="24"/>
          <w:szCs w:val="24"/>
          <w:highlight w:val="none"/>
          <w:lang w:val="en-US" w:eastAsia="zh-CN"/>
        </w:rPr>
        <w:t>参考标准值，各点位重金属监测结果均达标</w:t>
      </w:r>
      <w:r>
        <w:rPr>
          <w:rFonts w:hint="default" w:ascii="Times New Roman" w:hAnsi="Times New Roman" w:cs="Times New Roman"/>
          <w:highlight w:val="none"/>
          <w:lang w:val="en-US" w:eastAsia="zh-CN"/>
        </w:rPr>
        <w:t>。</w:t>
      </w:r>
    </w:p>
    <w:p w14:paraId="74E1F7E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highlight w:val="none"/>
        </w:rPr>
      </w:pPr>
      <w:r>
        <w:rPr>
          <w:rFonts w:hint="default" w:ascii="Times New Roman" w:hAnsi="Times New Roman" w:eastAsia="黑体" w:cs="Times New Roman"/>
          <w:b/>
          <w:bCs/>
          <w:color w:val="000000"/>
          <w:sz w:val="24"/>
          <w:highlight w:val="none"/>
        </w:rPr>
        <w:t>表5-</w:t>
      </w:r>
      <w:r>
        <w:rPr>
          <w:rFonts w:hint="default" w:ascii="Times New Roman" w:hAnsi="Times New Roman" w:eastAsia="黑体" w:cs="Times New Roman"/>
          <w:b/>
          <w:bCs/>
          <w:color w:val="000000"/>
          <w:sz w:val="24"/>
          <w:highlight w:val="none"/>
          <w:lang w:val="en-US" w:eastAsia="zh-CN"/>
        </w:rPr>
        <w:t>3-3</w:t>
      </w:r>
      <w:r>
        <w:rPr>
          <w:rFonts w:hint="default" w:ascii="Times New Roman" w:hAnsi="Times New Roman" w:eastAsia="黑体" w:cs="Times New Roman"/>
          <w:b/>
          <w:bCs/>
          <w:color w:val="000000"/>
          <w:sz w:val="24"/>
          <w:highlight w:val="none"/>
        </w:rPr>
        <w:t xml:space="preserve">  土壤样品</w:t>
      </w:r>
      <w:r>
        <w:rPr>
          <w:rFonts w:hint="default" w:ascii="Times New Roman" w:hAnsi="Times New Roman" w:eastAsia="黑体" w:cs="Times New Roman"/>
          <w:b/>
          <w:bCs/>
          <w:sz w:val="24"/>
          <w:highlight w:val="none"/>
          <w:lang w:eastAsia="zh-CN"/>
        </w:rPr>
        <w:t>检出</w:t>
      </w:r>
      <w:r>
        <w:rPr>
          <w:rFonts w:hint="default" w:ascii="Times New Roman" w:hAnsi="Times New Roman" w:eastAsia="黑体" w:cs="Times New Roman"/>
          <w:b/>
          <w:bCs/>
          <w:sz w:val="24"/>
          <w:highlight w:val="none"/>
        </w:rPr>
        <w:t>重金属</w:t>
      </w:r>
      <w:r>
        <w:rPr>
          <w:rFonts w:hint="default" w:ascii="Times New Roman" w:hAnsi="Times New Roman" w:eastAsia="黑体" w:cs="Times New Roman"/>
          <w:b/>
          <w:bCs/>
          <w:sz w:val="24"/>
          <w:highlight w:val="none"/>
          <w:lang w:eastAsia="zh-CN"/>
        </w:rPr>
        <w:t>指标</w:t>
      </w:r>
      <w:r>
        <w:rPr>
          <w:rFonts w:hint="default" w:ascii="Times New Roman" w:hAnsi="Times New Roman" w:eastAsia="黑体" w:cs="Times New Roman"/>
          <w:b/>
          <w:bCs/>
          <w:color w:val="000000"/>
          <w:sz w:val="24"/>
          <w:highlight w:val="none"/>
        </w:rPr>
        <w:t>监测值</w:t>
      </w:r>
      <w:r>
        <w:rPr>
          <w:rFonts w:hint="default" w:ascii="Times New Roman" w:hAnsi="Times New Roman" w:eastAsia="黑体" w:cs="Times New Roman"/>
          <w:b/>
          <w:bCs/>
          <w:color w:val="000000"/>
          <w:sz w:val="24"/>
          <w:highlight w:val="none"/>
          <w:lang w:eastAsia="zh-CN"/>
        </w:rPr>
        <w:t>（建设用地标准）</w:t>
      </w:r>
      <w:r>
        <w:rPr>
          <w:rFonts w:hint="default" w:ascii="Times New Roman" w:hAnsi="Times New Roman" w:eastAsia="黑体" w:cs="Times New Roman"/>
          <w:b/>
          <w:bCs/>
          <w:color w:val="000000"/>
          <w:sz w:val="24"/>
          <w:highlight w:val="none"/>
        </w:rPr>
        <w:t xml:space="preserve">  （单位：mg/kg）</w:t>
      </w:r>
    </w:p>
    <w:tbl>
      <w:tblPr>
        <w:tblStyle w:val="21"/>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567"/>
        <w:gridCol w:w="1074"/>
        <w:gridCol w:w="2610"/>
        <w:gridCol w:w="2581"/>
        <w:gridCol w:w="6"/>
        <w:gridCol w:w="963"/>
        <w:gridCol w:w="960"/>
        <w:gridCol w:w="960"/>
        <w:gridCol w:w="960"/>
        <w:gridCol w:w="961"/>
        <w:gridCol w:w="961"/>
        <w:gridCol w:w="964"/>
        <w:gridCol w:w="964"/>
      </w:tblGrid>
      <w:tr w14:paraId="39E447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blHeader/>
          <w:jc w:val="center"/>
        </w:trPr>
        <w:tc>
          <w:tcPr>
            <w:tcW w:w="195" w:type="pct"/>
            <w:tcBorders>
              <w:bottom w:val="single" w:color="auto" w:sz="12" w:space="0"/>
              <w:tl2br w:val="nil"/>
              <w:tr2bl w:val="nil"/>
            </w:tcBorders>
            <w:shd w:val="clear" w:color="auto" w:fill="auto"/>
            <w:noWrap/>
            <w:tcMar>
              <w:top w:w="15" w:type="dxa"/>
              <w:left w:w="15" w:type="dxa"/>
              <w:right w:w="15" w:type="dxa"/>
            </w:tcMar>
            <w:vAlign w:val="center"/>
          </w:tcPr>
          <w:p w14:paraId="5B9196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序号</w:t>
            </w:r>
          </w:p>
        </w:tc>
        <w:tc>
          <w:tcPr>
            <w:tcW w:w="369" w:type="pct"/>
            <w:tcBorders>
              <w:bottom w:val="single" w:color="auto" w:sz="12" w:space="0"/>
              <w:tl2br w:val="nil"/>
              <w:tr2bl w:val="nil"/>
            </w:tcBorders>
            <w:shd w:val="clear" w:color="auto" w:fill="auto"/>
            <w:noWrap/>
            <w:tcMar>
              <w:top w:w="15" w:type="dxa"/>
              <w:left w:w="15" w:type="dxa"/>
              <w:right w:w="15" w:type="dxa"/>
            </w:tcMar>
            <w:vAlign w:val="center"/>
          </w:tcPr>
          <w:p w14:paraId="77E6C9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kern w:val="0"/>
                <w:sz w:val="21"/>
                <w:szCs w:val="21"/>
                <w:highlight w:val="none"/>
                <w:u w:val="none"/>
                <w:lang w:val="en-US" w:eastAsia="zh-CN" w:bidi="ar"/>
              </w:rPr>
            </w:pPr>
            <w:r>
              <w:rPr>
                <w:rFonts w:hint="eastAsia" w:cs="Times New Roman"/>
                <w:b/>
                <w:i w:val="0"/>
                <w:color w:val="000000"/>
                <w:kern w:val="0"/>
                <w:sz w:val="21"/>
                <w:szCs w:val="21"/>
                <w:highlight w:val="none"/>
                <w:u w:val="none"/>
                <w:lang w:val="en-US" w:eastAsia="zh-CN" w:bidi="ar"/>
              </w:rPr>
              <w:t>样品</w:t>
            </w:r>
            <w:r>
              <w:rPr>
                <w:rFonts w:hint="default" w:ascii="Times New Roman" w:hAnsi="Times New Roman" w:eastAsia="宋体" w:cs="Times New Roman"/>
                <w:b/>
                <w:i w:val="0"/>
                <w:color w:val="000000"/>
                <w:kern w:val="0"/>
                <w:sz w:val="21"/>
                <w:szCs w:val="21"/>
                <w:highlight w:val="none"/>
                <w:u w:val="none"/>
                <w:lang w:val="en-US" w:eastAsia="zh-CN" w:bidi="ar"/>
              </w:rPr>
              <w:t>编号</w:t>
            </w:r>
          </w:p>
        </w:tc>
        <w:tc>
          <w:tcPr>
            <w:tcW w:w="897" w:type="pct"/>
            <w:tcBorders>
              <w:bottom w:val="single" w:color="auto" w:sz="12" w:space="0"/>
              <w:tl2br w:val="nil"/>
              <w:tr2bl w:val="nil"/>
            </w:tcBorders>
            <w:shd w:val="clear" w:color="auto" w:fill="auto"/>
            <w:noWrap/>
            <w:tcMar>
              <w:top w:w="15" w:type="dxa"/>
              <w:left w:w="15" w:type="dxa"/>
              <w:right w:w="15" w:type="dxa"/>
            </w:tcMar>
            <w:vAlign w:val="center"/>
          </w:tcPr>
          <w:p w14:paraId="79462EA3">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i w:val="0"/>
                <w:color w:val="000000"/>
                <w:kern w:val="0"/>
                <w:sz w:val="21"/>
                <w:szCs w:val="21"/>
                <w:highlight w:val="none"/>
                <w:u w:val="none"/>
                <w:lang w:val="en-US" w:eastAsia="zh-CN" w:bidi="ar"/>
              </w:rPr>
            </w:pPr>
            <w:r>
              <w:rPr>
                <w:rFonts w:hint="eastAsia" w:cs="Times New Roman"/>
                <w:b/>
                <w:i w:val="0"/>
                <w:color w:val="000000"/>
                <w:kern w:val="0"/>
                <w:sz w:val="21"/>
                <w:szCs w:val="21"/>
                <w:highlight w:val="none"/>
                <w:u w:val="none"/>
                <w:lang w:val="en-US" w:eastAsia="zh-CN" w:bidi="ar"/>
              </w:rPr>
              <w:t>点位位置</w:t>
            </w:r>
          </w:p>
        </w:tc>
        <w:tc>
          <w:tcPr>
            <w:tcW w:w="887" w:type="pct"/>
            <w:gridSpan w:val="2"/>
            <w:tcBorders>
              <w:bottom w:val="single" w:color="auto" w:sz="12" w:space="0"/>
              <w:tl2br w:val="nil"/>
              <w:tr2bl w:val="nil"/>
            </w:tcBorders>
            <w:shd w:val="clear" w:color="auto" w:fill="auto"/>
            <w:noWrap/>
            <w:tcMar>
              <w:top w:w="15" w:type="dxa"/>
              <w:left w:w="15" w:type="dxa"/>
              <w:right w:w="15" w:type="dxa"/>
            </w:tcMar>
            <w:vAlign w:val="center"/>
          </w:tcPr>
          <w:p w14:paraId="16EBBA35">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i w:val="0"/>
                <w:color w:val="000000"/>
                <w:kern w:val="0"/>
                <w:sz w:val="21"/>
                <w:szCs w:val="21"/>
                <w:highlight w:val="none"/>
                <w:u w:val="none"/>
                <w:lang w:val="en-US" w:eastAsia="zh-CN" w:bidi="ar"/>
              </w:rPr>
            </w:pPr>
            <w:r>
              <w:rPr>
                <w:rFonts w:hint="eastAsia" w:cs="Times New Roman"/>
                <w:b/>
                <w:i w:val="0"/>
                <w:color w:val="000000"/>
                <w:kern w:val="0"/>
                <w:sz w:val="21"/>
                <w:szCs w:val="21"/>
                <w:highlight w:val="none"/>
                <w:u w:val="none"/>
                <w:lang w:val="en-US" w:eastAsia="zh-CN" w:bidi="ar"/>
              </w:rPr>
              <w:t>参考标准</w:t>
            </w:r>
          </w:p>
        </w:tc>
        <w:tc>
          <w:tcPr>
            <w:tcW w:w="330" w:type="pct"/>
            <w:tcBorders>
              <w:bottom w:val="single" w:color="auto" w:sz="12" w:space="0"/>
              <w:tl2br w:val="nil"/>
              <w:tr2bl w:val="nil"/>
            </w:tcBorders>
            <w:shd w:val="clear" w:color="auto" w:fill="auto"/>
            <w:noWrap/>
            <w:tcMar>
              <w:top w:w="15" w:type="dxa"/>
              <w:left w:w="15" w:type="dxa"/>
              <w:right w:w="15" w:type="dxa"/>
            </w:tcMar>
            <w:vAlign w:val="center"/>
          </w:tcPr>
          <w:p w14:paraId="3B2029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铅</w:t>
            </w:r>
          </w:p>
        </w:tc>
        <w:tc>
          <w:tcPr>
            <w:tcW w:w="330" w:type="pct"/>
            <w:tcBorders>
              <w:bottom w:val="single" w:color="auto" w:sz="12" w:space="0"/>
              <w:tl2br w:val="nil"/>
              <w:tr2bl w:val="nil"/>
            </w:tcBorders>
            <w:shd w:val="clear" w:color="auto" w:fill="auto"/>
            <w:noWrap/>
            <w:tcMar>
              <w:top w:w="15" w:type="dxa"/>
              <w:left w:w="15" w:type="dxa"/>
              <w:right w:w="15" w:type="dxa"/>
            </w:tcMar>
            <w:vAlign w:val="center"/>
          </w:tcPr>
          <w:p w14:paraId="22DB4B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汞</w:t>
            </w:r>
          </w:p>
        </w:tc>
        <w:tc>
          <w:tcPr>
            <w:tcW w:w="330" w:type="pct"/>
            <w:tcBorders>
              <w:bottom w:val="single" w:color="auto" w:sz="12" w:space="0"/>
              <w:tl2br w:val="nil"/>
              <w:tr2bl w:val="nil"/>
            </w:tcBorders>
            <w:shd w:val="clear" w:color="auto" w:fill="auto"/>
            <w:noWrap/>
            <w:tcMar>
              <w:top w:w="15" w:type="dxa"/>
              <w:left w:w="15" w:type="dxa"/>
              <w:right w:w="15" w:type="dxa"/>
            </w:tcMar>
            <w:vAlign w:val="center"/>
          </w:tcPr>
          <w:p w14:paraId="6DAAEF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钴</w:t>
            </w:r>
          </w:p>
        </w:tc>
        <w:tc>
          <w:tcPr>
            <w:tcW w:w="330" w:type="pct"/>
            <w:tcBorders>
              <w:bottom w:val="single" w:color="auto" w:sz="12" w:space="0"/>
              <w:tl2br w:val="nil"/>
              <w:tr2bl w:val="nil"/>
            </w:tcBorders>
            <w:shd w:val="clear" w:color="auto" w:fill="auto"/>
            <w:noWrap/>
            <w:tcMar>
              <w:top w:w="15" w:type="dxa"/>
              <w:left w:w="15" w:type="dxa"/>
              <w:right w:w="15" w:type="dxa"/>
            </w:tcMar>
            <w:vAlign w:val="center"/>
          </w:tcPr>
          <w:p w14:paraId="66D198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镉</w:t>
            </w:r>
          </w:p>
        </w:tc>
        <w:tc>
          <w:tcPr>
            <w:tcW w:w="330" w:type="pct"/>
            <w:tcBorders>
              <w:bottom w:val="single" w:color="auto" w:sz="12" w:space="0"/>
              <w:tl2br w:val="nil"/>
              <w:tr2bl w:val="nil"/>
            </w:tcBorders>
            <w:shd w:val="clear" w:color="auto" w:fill="auto"/>
            <w:noWrap/>
            <w:tcMar>
              <w:top w:w="15" w:type="dxa"/>
              <w:left w:w="15" w:type="dxa"/>
              <w:right w:w="15" w:type="dxa"/>
            </w:tcMar>
            <w:vAlign w:val="center"/>
          </w:tcPr>
          <w:p w14:paraId="752017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铜</w:t>
            </w:r>
          </w:p>
        </w:tc>
        <w:tc>
          <w:tcPr>
            <w:tcW w:w="330" w:type="pct"/>
            <w:tcBorders>
              <w:bottom w:val="single" w:color="auto" w:sz="12" w:space="0"/>
              <w:tl2br w:val="nil"/>
              <w:tr2bl w:val="nil"/>
            </w:tcBorders>
            <w:shd w:val="clear" w:color="auto" w:fill="auto"/>
            <w:noWrap/>
            <w:tcMar>
              <w:top w:w="15" w:type="dxa"/>
              <w:left w:w="15" w:type="dxa"/>
              <w:right w:w="15" w:type="dxa"/>
            </w:tcMar>
            <w:vAlign w:val="center"/>
          </w:tcPr>
          <w:p w14:paraId="747DEC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镍</w:t>
            </w:r>
          </w:p>
        </w:tc>
        <w:tc>
          <w:tcPr>
            <w:tcW w:w="331" w:type="pct"/>
            <w:tcBorders>
              <w:bottom w:val="single" w:color="auto" w:sz="12" w:space="0"/>
              <w:tl2br w:val="nil"/>
              <w:tr2bl w:val="nil"/>
            </w:tcBorders>
            <w:shd w:val="clear" w:color="auto" w:fill="auto"/>
            <w:noWrap/>
            <w:tcMar>
              <w:top w:w="15" w:type="dxa"/>
              <w:left w:w="15" w:type="dxa"/>
              <w:right w:w="15" w:type="dxa"/>
            </w:tcMar>
            <w:vAlign w:val="center"/>
          </w:tcPr>
          <w:p w14:paraId="2856F3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铬</w:t>
            </w:r>
            <w:r>
              <w:rPr>
                <w:rFonts w:hint="default" w:ascii="Times New Roman" w:hAnsi="Times New Roman" w:cs="Times New Roman"/>
                <w:b/>
                <w:i w:val="0"/>
                <w:color w:val="000000"/>
                <w:kern w:val="0"/>
                <w:sz w:val="21"/>
                <w:szCs w:val="21"/>
                <w:highlight w:val="none"/>
                <w:u w:val="none"/>
                <w:vertAlign w:val="superscript"/>
                <w:lang w:val="en-US" w:eastAsia="zh-CN" w:bidi="ar"/>
              </w:rPr>
              <w:t>①</w:t>
            </w:r>
          </w:p>
        </w:tc>
        <w:tc>
          <w:tcPr>
            <w:tcW w:w="331" w:type="pct"/>
            <w:tcBorders>
              <w:bottom w:val="single" w:color="auto" w:sz="12" w:space="0"/>
              <w:tl2br w:val="nil"/>
              <w:tr2bl w:val="nil"/>
            </w:tcBorders>
            <w:shd w:val="clear" w:color="auto" w:fill="auto"/>
            <w:noWrap/>
            <w:tcMar>
              <w:top w:w="15" w:type="dxa"/>
              <w:left w:w="15" w:type="dxa"/>
              <w:right w:w="15" w:type="dxa"/>
            </w:tcMar>
            <w:vAlign w:val="center"/>
          </w:tcPr>
          <w:p w14:paraId="63BADD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砷</w:t>
            </w:r>
          </w:p>
        </w:tc>
      </w:tr>
      <w:tr w14:paraId="6D18E3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195" w:type="pct"/>
            <w:tcBorders>
              <w:top w:val="single" w:color="auto" w:sz="12" w:space="0"/>
              <w:tl2br w:val="nil"/>
              <w:tr2bl w:val="nil"/>
            </w:tcBorders>
            <w:shd w:val="clear" w:color="auto" w:fill="auto"/>
            <w:noWrap/>
            <w:tcMar>
              <w:top w:w="15" w:type="dxa"/>
              <w:left w:w="15" w:type="dxa"/>
              <w:right w:w="15" w:type="dxa"/>
            </w:tcMar>
            <w:vAlign w:val="center"/>
          </w:tcPr>
          <w:p w14:paraId="480A93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w:t>
            </w:r>
          </w:p>
        </w:tc>
        <w:tc>
          <w:tcPr>
            <w:tcW w:w="369" w:type="pct"/>
            <w:tcBorders>
              <w:top w:val="single" w:color="auto" w:sz="12" w:space="0"/>
              <w:tl2br w:val="nil"/>
              <w:tr2bl w:val="nil"/>
            </w:tcBorders>
            <w:shd w:val="clear" w:color="auto" w:fill="auto"/>
            <w:noWrap/>
            <w:tcMar>
              <w:top w:w="15" w:type="dxa"/>
              <w:left w:w="15" w:type="dxa"/>
              <w:right w:w="15" w:type="dxa"/>
            </w:tcMar>
            <w:vAlign w:val="center"/>
          </w:tcPr>
          <w:p w14:paraId="22681F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HR-1-75</w:t>
            </w:r>
          </w:p>
        </w:tc>
        <w:tc>
          <w:tcPr>
            <w:tcW w:w="897" w:type="pct"/>
            <w:tcBorders>
              <w:top w:val="single" w:color="auto" w:sz="12" w:space="0"/>
              <w:tl2br w:val="nil"/>
              <w:tr2bl w:val="nil"/>
            </w:tcBorders>
            <w:shd w:val="clear" w:color="auto" w:fill="auto"/>
            <w:noWrap/>
            <w:tcMar>
              <w:top w:w="15" w:type="dxa"/>
              <w:left w:w="15" w:type="dxa"/>
              <w:right w:w="15" w:type="dxa"/>
            </w:tcMar>
            <w:vAlign w:val="center"/>
          </w:tcPr>
          <w:p w14:paraId="6D1AA080">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园区边界西侧下风向75m</w:t>
            </w:r>
          </w:p>
        </w:tc>
        <w:tc>
          <w:tcPr>
            <w:tcW w:w="887" w:type="pct"/>
            <w:gridSpan w:val="2"/>
            <w:tcBorders>
              <w:top w:val="single" w:color="auto" w:sz="12" w:space="0"/>
              <w:tl2br w:val="nil"/>
              <w:tr2bl w:val="nil"/>
            </w:tcBorders>
            <w:shd w:val="clear" w:color="auto" w:fill="auto"/>
            <w:noWrap/>
            <w:tcMar>
              <w:top w:w="15" w:type="dxa"/>
              <w:left w:w="15" w:type="dxa"/>
              <w:right w:w="15" w:type="dxa"/>
            </w:tcMar>
            <w:vAlign w:val="center"/>
          </w:tcPr>
          <w:p w14:paraId="03CFBF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kern w:val="2"/>
                <w:sz w:val="21"/>
                <w:szCs w:val="21"/>
                <w:highlight w:val="none"/>
                <w:u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二类用地筛选值</w:t>
            </w:r>
          </w:p>
        </w:tc>
        <w:tc>
          <w:tcPr>
            <w:tcW w:w="330" w:type="pct"/>
            <w:tcBorders>
              <w:top w:val="single" w:color="auto" w:sz="12" w:space="0"/>
              <w:tl2br w:val="nil"/>
              <w:tr2bl w:val="nil"/>
            </w:tcBorders>
            <w:shd w:val="clear" w:color="auto" w:fill="auto"/>
            <w:noWrap/>
            <w:tcMar>
              <w:top w:w="15" w:type="dxa"/>
              <w:left w:w="15" w:type="dxa"/>
              <w:right w:w="15" w:type="dxa"/>
            </w:tcMar>
            <w:vAlign w:val="center"/>
          </w:tcPr>
          <w:p w14:paraId="5E8844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19.5</w:t>
            </w:r>
          </w:p>
        </w:tc>
        <w:tc>
          <w:tcPr>
            <w:tcW w:w="330" w:type="pct"/>
            <w:tcBorders>
              <w:top w:val="single" w:color="auto" w:sz="12" w:space="0"/>
              <w:tl2br w:val="nil"/>
              <w:tr2bl w:val="nil"/>
            </w:tcBorders>
            <w:shd w:val="clear" w:color="auto" w:fill="auto"/>
            <w:noWrap/>
            <w:tcMar>
              <w:top w:w="15" w:type="dxa"/>
              <w:left w:w="15" w:type="dxa"/>
              <w:right w:w="15" w:type="dxa"/>
            </w:tcMar>
            <w:vAlign w:val="center"/>
          </w:tcPr>
          <w:p w14:paraId="6CED49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0.07</w:t>
            </w:r>
          </w:p>
        </w:tc>
        <w:tc>
          <w:tcPr>
            <w:tcW w:w="330" w:type="pct"/>
            <w:tcBorders>
              <w:top w:val="single" w:color="auto" w:sz="12" w:space="0"/>
              <w:tl2br w:val="nil"/>
              <w:tr2bl w:val="nil"/>
            </w:tcBorders>
            <w:shd w:val="clear" w:color="auto" w:fill="auto"/>
            <w:noWrap/>
            <w:tcMar>
              <w:top w:w="15" w:type="dxa"/>
              <w:left w:w="15" w:type="dxa"/>
              <w:right w:w="15" w:type="dxa"/>
            </w:tcMar>
            <w:vAlign w:val="center"/>
          </w:tcPr>
          <w:p w14:paraId="2708ED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10.9</w:t>
            </w:r>
          </w:p>
        </w:tc>
        <w:tc>
          <w:tcPr>
            <w:tcW w:w="330" w:type="pct"/>
            <w:tcBorders>
              <w:top w:val="single" w:color="auto" w:sz="12" w:space="0"/>
              <w:tl2br w:val="nil"/>
              <w:tr2bl w:val="nil"/>
            </w:tcBorders>
            <w:shd w:val="clear" w:color="auto" w:fill="auto"/>
            <w:noWrap/>
            <w:tcMar>
              <w:top w:w="15" w:type="dxa"/>
              <w:left w:w="15" w:type="dxa"/>
              <w:right w:w="15" w:type="dxa"/>
            </w:tcMar>
            <w:vAlign w:val="center"/>
          </w:tcPr>
          <w:p w14:paraId="142C8F2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0.07</w:t>
            </w:r>
          </w:p>
        </w:tc>
        <w:tc>
          <w:tcPr>
            <w:tcW w:w="330" w:type="pct"/>
            <w:tcBorders>
              <w:top w:val="single" w:color="auto" w:sz="12" w:space="0"/>
              <w:tl2br w:val="nil"/>
              <w:tr2bl w:val="nil"/>
            </w:tcBorders>
            <w:shd w:val="clear" w:color="auto" w:fill="auto"/>
            <w:noWrap/>
            <w:tcMar>
              <w:top w:w="15" w:type="dxa"/>
              <w:left w:w="15" w:type="dxa"/>
              <w:right w:w="15" w:type="dxa"/>
            </w:tcMar>
            <w:vAlign w:val="center"/>
          </w:tcPr>
          <w:p w14:paraId="69C2A9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28</w:t>
            </w:r>
          </w:p>
        </w:tc>
        <w:tc>
          <w:tcPr>
            <w:tcW w:w="330" w:type="pct"/>
            <w:tcBorders>
              <w:top w:val="single" w:color="auto" w:sz="12" w:space="0"/>
              <w:tl2br w:val="nil"/>
              <w:tr2bl w:val="nil"/>
            </w:tcBorders>
            <w:shd w:val="clear" w:color="auto" w:fill="auto"/>
            <w:noWrap/>
            <w:tcMar>
              <w:top w:w="15" w:type="dxa"/>
              <w:left w:w="15" w:type="dxa"/>
              <w:right w:w="15" w:type="dxa"/>
            </w:tcMar>
            <w:vAlign w:val="center"/>
          </w:tcPr>
          <w:p w14:paraId="156A9D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49</w:t>
            </w:r>
          </w:p>
        </w:tc>
        <w:tc>
          <w:tcPr>
            <w:tcW w:w="331" w:type="pct"/>
            <w:tcBorders>
              <w:top w:val="single" w:color="auto" w:sz="12" w:space="0"/>
              <w:tl2br w:val="nil"/>
              <w:tr2bl w:val="nil"/>
            </w:tcBorders>
            <w:shd w:val="clear" w:color="auto" w:fill="auto"/>
            <w:noWrap/>
            <w:tcMar>
              <w:top w:w="15" w:type="dxa"/>
              <w:left w:w="15" w:type="dxa"/>
              <w:right w:w="15" w:type="dxa"/>
            </w:tcMar>
            <w:vAlign w:val="center"/>
          </w:tcPr>
          <w:p w14:paraId="19B60C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104</w:t>
            </w:r>
          </w:p>
        </w:tc>
        <w:tc>
          <w:tcPr>
            <w:tcW w:w="331" w:type="pct"/>
            <w:tcBorders>
              <w:top w:val="single" w:color="auto" w:sz="12" w:space="0"/>
              <w:tl2br w:val="nil"/>
              <w:tr2bl w:val="nil"/>
            </w:tcBorders>
            <w:shd w:val="clear" w:color="auto" w:fill="auto"/>
            <w:noWrap/>
            <w:tcMar>
              <w:top w:w="15" w:type="dxa"/>
              <w:left w:w="15" w:type="dxa"/>
              <w:right w:w="15" w:type="dxa"/>
            </w:tcMar>
            <w:vAlign w:val="center"/>
          </w:tcPr>
          <w:p w14:paraId="5EF64D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10.6</w:t>
            </w:r>
          </w:p>
        </w:tc>
      </w:tr>
      <w:tr w14:paraId="4D8771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95" w:type="pct"/>
            <w:tcBorders>
              <w:tl2br w:val="nil"/>
              <w:tr2bl w:val="nil"/>
            </w:tcBorders>
            <w:shd w:val="clear" w:color="auto" w:fill="auto"/>
            <w:noWrap/>
            <w:tcMar>
              <w:top w:w="15" w:type="dxa"/>
              <w:left w:w="15" w:type="dxa"/>
              <w:right w:w="15" w:type="dxa"/>
            </w:tcMar>
            <w:vAlign w:val="center"/>
          </w:tcPr>
          <w:p w14:paraId="0B3230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w:t>
            </w:r>
          </w:p>
        </w:tc>
        <w:tc>
          <w:tcPr>
            <w:tcW w:w="369" w:type="pct"/>
            <w:tcBorders>
              <w:tl2br w:val="nil"/>
              <w:tr2bl w:val="nil"/>
            </w:tcBorders>
            <w:shd w:val="clear" w:color="auto" w:fill="auto"/>
            <w:noWrap/>
            <w:tcMar>
              <w:top w:w="15" w:type="dxa"/>
              <w:left w:w="15" w:type="dxa"/>
              <w:right w:w="15" w:type="dxa"/>
            </w:tcMar>
            <w:vAlign w:val="center"/>
          </w:tcPr>
          <w:p w14:paraId="3B8044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HR-1-200</w:t>
            </w:r>
          </w:p>
        </w:tc>
        <w:tc>
          <w:tcPr>
            <w:tcW w:w="897" w:type="pct"/>
            <w:tcBorders>
              <w:tl2br w:val="nil"/>
              <w:tr2bl w:val="nil"/>
            </w:tcBorders>
            <w:shd w:val="clear" w:color="auto" w:fill="auto"/>
            <w:noWrap/>
            <w:tcMar>
              <w:top w:w="15" w:type="dxa"/>
              <w:left w:w="15" w:type="dxa"/>
              <w:right w:w="15" w:type="dxa"/>
            </w:tcMar>
            <w:vAlign w:val="center"/>
          </w:tcPr>
          <w:p w14:paraId="4CB06B65">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园区边界西侧下风向200m</w:t>
            </w:r>
          </w:p>
        </w:tc>
        <w:tc>
          <w:tcPr>
            <w:tcW w:w="887" w:type="pct"/>
            <w:gridSpan w:val="2"/>
            <w:tcBorders>
              <w:tl2br w:val="nil"/>
              <w:tr2bl w:val="nil"/>
            </w:tcBorders>
            <w:shd w:val="clear" w:color="auto" w:fill="auto"/>
            <w:noWrap/>
            <w:tcMar>
              <w:top w:w="15" w:type="dxa"/>
              <w:left w:w="15" w:type="dxa"/>
              <w:right w:w="15" w:type="dxa"/>
            </w:tcMar>
            <w:vAlign w:val="center"/>
          </w:tcPr>
          <w:p w14:paraId="2725EC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二类用地筛选值</w:t>
            </w:r>
          </w:p>
        </w:tc>
        <w:tc>
          <w:tcPr>
            <w:tcW w:w="330" w:type="pct"/>
            <w:tcBorders>
              <w:tl2br w:val="nil"/>
              <w:tr2bl w:val="nil"/>
            </w:tcBorders>
            <w:shd w:val="clear" w:color="auto" w:fill="auto"/>
            <w:noWrap/>
            <w:tcMar>
              <w:top w:w="15" w:type="dxa"/>
              <w:left w:w="15" w:type="dxa"/>
              <w:right w:w="15" w:type="dxa"/>
            </w:tcMar>
            <w:vAlign w:val="center"/>
          </w:tcPr>
          <w:p w14:paraId="2E3EFF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17.3</w:t>
            </w:r>
          </w:p>
        </w:tc>
        <w:tc>
          <w:tcPr>
            <w:tcW w:w="330" w:type="pct"/>
            <w:tcBorders>
              <w:tl2br w:val="nil"/>
              <w:tr2bl w:val="nil"/>
            </w:tcBorders>
            <w:shd w:val="clear" w:color="auto" w:fill="auto"/>
            <w:noWrap/>
            <w:tcMar>
              <w:top w:w="15" w:type="dxa"/>
              <w:left w:w="15" w:type="dxa"/>
              <w:right w:w="15" w:type="dxa"/>
            </w:tcMar>
            <w:vAlign w:val="center"/>
          </w:tcPr>
          <w:p w14:paraId="6CF5C7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0.08</w:t>
            </w:r>
          </w:p>
        </w:tc>
        <w:tc>
          <w:tcPr>
            <w:tcW w:w="330" w:type="pct"/>
            <w:tcBorders>
              <w:tl2br w:val="nil"/>
              <w:tr2bl w:val="nil"/>
            </w:tcBorders>
            <w:shd w:val="clear" w:color="auto" w:fill="auto"/>
            <w:noWrap/>
            <w:tcMar>
              <w:top w:w="15" w:type="dxa"/>
              <w:left w:w="15" w:type="dxa"/>
              <w:right w:w="15" w:type="dxa"/>
            </w:tcMar>
            <w:vAlign w:val="center"/>
          </w:tcPr>
          <w:p w14:paraId="788A31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10.3</w:t>
            </w:r>
          </w:p>
        </w:tc>
        <w:tc>
          <w:tcPr>
            <w:tcW w:w="330" w:type="pct"/>
            <w:tcBorders>
              <w:tl2br w:val="nil"/>
              <w:tr2bl w:val="nil"/>
            </w:tcBorders>
            <w:shd w:val="clear" w:color="auto" w:fill="auto"/>
            <w:noWrap/>
            <w:tcMar>
              <w:top w:w="15" w:type="dxa"/>
              <w:left w:w="15" w:type="dxa"/>
              <w:right w:w="15" w:type="dxa"/>
            </w:tcMar>
            <w:vAlign w:val="center"/>
          </w:tcPr>
          <w:p w14:paraId="2CCF33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0.08</w:t>
            </w:r>
          </w:p>
        </w:tc>
        <w:tc>
          <w:tcPr>
            <w:tcW w:w="330" w:type="pct"/>
            <w:tcBorders>
              <w:tl2br w:val="nil"/>
              <w:tr2bl w:val="nil"/>
            </w:tcBorders>
            <w:shd w:val="clear" w:color="auto" w:fill="auto"/>
            <w:noWrap/>
            <w:tcMar>
              <w:top w:w="15" w:type="dxa"/>
              <w:left w:w="15" w:type="dxa"/>
              <w:right w:w="15" w:type="dxa"/>
            </w:tcMar>
            <w:vAlign w:val="center"/>
          </w:tcPr>
          <w:p w14:paraId="2893B8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29</w:t>
            </w:r>
          </w:p>
        </w:tc>
        <w:tc>
          <w:tcPr>
            <w:tcW w:w="330" w:type="pct"/>
            <w:tcBorders>
              <w:tl2br w:val="nil"/>
              <w:tr2bl w:val="nil"/>
            </w:tcBorders>
            <w:shd w:val="clear" w:color="auto" w:fill="auto"/>
            <w:noWrap/>
            <w:tcMar>
              <w:top w:w="15" w:type="dxa"/>
              <w:left w:w="15" w:type="dxa"/>
              <w:right w:w="15" w:type="dxa"/>
            </w:tcMar>
            <w:vAlign w:val="center"/>
          </w:tcPr>
          <w:p w14:paraId="2556EF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40</w:t>
            </w:r>
          </w:p>
        </w:tc>
        <w:tc>
          <w:tcPr>
            <w:tcW w:w="331" w:type="pct"/>
            <w:tcBorders>
              <w:tl2br w:val="nil"/>
              <w:tr2bl w:val="nil"/>
            </w:tcBorders>
            <w:shd w:val="clear" w:color="auto" w:fill="auto"/>
            <w:noWrap/>
            <w:tcMar>
              <w:top w:w="15" w:type="dxa"/>
              <w:left w:w="15" w:type="dxa"/>
              <w:right w:w="15" w:type="dxa"/>
            </w:tcMar>
            <w:vAlign w:val="center"/>
          </w:tcPr>
          <w:p w14:paraId="151414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65</w:t>
            </w:r>
          </w:p>
        </w:tc>
        <w:tc>
          <w:tcPr>
            <w:tcW w:w="331" w:type="pct"/>
            <w:tcBorders>
              <w:tl2br w:val="nil"/>
              <w:tr2bl w:val="nil"/>
            </w:tcBorders>
            <w:shd w:val="clear" w:color="auto" w:fill="auto"/>
            <w:noWrap/>
            <w:tcMar>
              <w:top w:w="15" w:type="dxa"/>
              <w:left w:w="15" w:type="dxa"/>
              <w:right w:w="15" w:type="dxa"/>
            </w:tcMar>
            <w:vAlign w:val="center"/>
          </w:tcPr>
          <w:p w14:paraId="5BC9A6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10.9</w:t>
            </w:r>
          </w:p>
        </w:tc>
      </w:tr>
      <w:tr w14:paraId="124919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195" w:type="pct"/>
            <w:tcBorders>
              <w:tl2br w:val="nil"/>
              <w:tr2bl w:val="nil"/>
            </w:tcBorders>
            <w:shd w:val="clear" w:color="auto" w:fill="auto"/>
            <w:noWrap/>
            <w:tcMar>
              <w:top w:w="15" w:type="dxa"/>
              <w:left w:w="15" w:type="dxa"/>
              <w:right w:w="15" w:type="dxa"/>
            </w:tcMar>
            <w:vAlign w:val="center"/>
          </w:tcPr>
          <w:p w14:paraId="16711C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w:t>
            </w:r>
          </w:p>
        </w:tc>
        <w:tc>
          <w:tcPr>
            <w:tcW w:w="369" w:type="pct"/>
            <w:tcBorders>
              <w:tl2br w:val="nil"/>
              <w:tr2bl w:val="nil"/>
            </w:tcBorders>
            <w:shd w:val="clear" w:color="auto" w:fill="auto"/>
            <w:noWrap/>
            <w:tcMar>
              <w:top w:w="15" w:type="dxa"/>
              <w:left w:w="15" w:type="dxa"/>
              <w:right w:w="15" w:type="dxa"/>
            </w:tcMar>
            <w:vAlign w:val="center"/>
          </w:tcPr>
          <w:p w14:paraId="77E8BB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HR-1-400</w:t>
            </w:r>
          </w:p>
        </w:tc>
        <w:tc>
          <w:tcPr>
            <w:tcW w:w="897" w:type="pct"/>
            <w:tcBorders>
              <w:tl2br w:val="nil"/>
              <w:tr2bl w:val="nil"/>
            </w:tcBorders>
            <w:shd w:val="clear" w:color="auto" w:fill="auto"/>
            <w:noWrap/>
            <w:tcMar>
              <w:top w:w="15" w:type="dxa"/>
              <w:left w:w="15" w:type="dxa"/>
              <w:right w:w="15" w:type="dxa"/>
            </w:tcMar>
            <w:vAlign w:val="center"/>
          </w:tcPr>
          <w:p w14:paraId="6DF905A1">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园区边界西侧下风向400m</w:t>
            </w:r>
          </w:p>
        </w:tc>
        <w:tc>
          <w:tcPr>
            <w:tcW w:w="887" w:type="pct"/>
            <w:gridSpan w:val="2"/>
            <w:tcBorders>
              <w:tl2br w:val="nil"/>
              <w:tr2bl w:val="nil"/>
            </w:tcBorders>
            <w:shd w:val="clear" w:color="auto" w:fill="auto"/>
            <w:noWrap/>
            <w:tcMar>
              <w:top w:w="15" w:type="dxa"/>
              <w:left w:w="15" w:type="dxa"/>
              <w:right w:w="15" w:type="dxa"/>
            </w:tcMar>
            <w:vAlign w:val="center"/>
          </w:tcPr>
          <w:p w14:paraId="36A99C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二类用地筛选值</w:t>
            </w:r>
          </w:p>
        </w:tc>
        <w:tc>
          <w:tcPr>
            <w:tcW w:w="330" w:type="pct"/>
            <w:tcBorders>
              <w:tl2br w:val="nil"/>
              <w:tr2bl w:val="nil"/>
            </w:tcBorders>
            <w:shd w:val="clear" w:color="auto" w:fill="auto"/>
            <w:noWrap/>
            <w:tcMar>
              <w:top w:w="15" w:type="dxa"/>
              <w:left w:w="15" w:type="dxa"/>
              <w:right w:w="15" w:type="dxa"/>
            </w:tcMar>
            <w:vAlign w:val="center"/>
          </w:tcPr>
          <w:p w14:paraId="771115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17.9</w:t>
            </w:r>
          </w:p>
        </w:tc>
        <w:tc>
          <w:tcPr>
            <w:tcW w:w="330" w:type="pct"/>
            <w:tcBorders>
              <w:tl2br w:val="nil"/>
              <w:tr2bl w:val="nil"/>
            </w:tcBorders>
            <w:shd w:val="clear" w:color="auto" w:fill="auto"/>
            <w:noWrap/>
            <w:tcMar>
              <w:top w:w="15" w:type="dxa"/>
              <w:left w:w="15" w:type="dxa"/>
              <w:right w:w="15" w:type="dxa"/>
            </w:tcMar>
            <w:vAlign w:val="center"/>
          </w:tcPr>
          <w:p w14:paraId="04C713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0.07</w:t>
            </w:r>
          </w:p>
        </w:tc>
        <w:tc>
          <w:tcPr>
            <w:tcW w:w="330" w:type="pct"/>
            <w:tcBorders>
              <w:tl2br w:val="nil"/>
              <w:tr2bl w:val="nil"/>
            </w:tcBorders>
            <w:shd w:val="clear" w:color="auto" w:fill="auto"/>
            <w:noWrap/>
            <w:tcMar>
              <w:top w:w="15" w:type="dxa"/>
              <w:left w:w="15" w:type="dxa"/>
              <w:right w:w="15" w:type="dxa"/>
            </w:tcMar>
            <w:vAlign w:val="center"/>
          </w:tcPr>
          <w:p w14:paraId="755064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11.4</w:t>
            </w:r>
          </w:p>
        </w:tc>
        <w:tc>
          <w:tcPr>
            <w:tcW w:w="330" w:type="pct"/>
            <w:tcBorders>
              <w:tl2br w:val="nil"/>
              <w:tr2bl w:val="nil"/>
            </w:tcBorders>
            <w:shd w:val="clear" w:color="auto" w:fill="auto"/>
            <w:noWrap/>
            <w:tcMar>
              <w:top w:w="15" w:type="dxa"/>
              <w:left w:w="15" w:type="dxa"/>
              <w:right w:w="15" w:type="dxa"/>
            </w:tcMar>
            <w:vAlign w:val="center"/>
          </w:tcPr>
          <w:p w14:paraId="36D227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0.01</w:t>
            </w:r>
          </w:p>
        </w:tc>
        <w:tc>
          <w:tcPr>
            <w:tcW w:w="330" w:type="pct"/>
            <w:tcBorders>
              <w:tl2br w:val="nil"/>
              <w:tr2bl w:val="nil"/>
            </w:tcBorders>
            <w:shd w:val="clear" w:color="auto" w:fill="auto"/>
            <w:noWrap/>
            <w:tcMar>
              <w:top w:w="15" w:type="dxa"/>
              <w:left w:w="15" w:type="dxa"/>
              <w:right w:w="15" w:type="dxa"/>
            </w:tcMar>
            <w:vAlign w:val="center"/>
          </w:tcPr>
          <w:p w14:paraId="0F07A8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29</w:t>
            </w:r>
          </w:p>
        </w:tc>
        <w:tc>
          <w:tcPr>
            <w:tcW w:w="330" w:type="pct"/>
            <w:tcBorders>
              <w:tl2br w:val="nil"/>
              <w:tr2bl w:val="nil"/>
            </w:tcBorders>
            <w:shd w:val="clear" w:color="auto" w:fill="auto"/>
            <w:noWrap/>
            <w:tcMar>
              <w:top w:w="15" w:type="dxa"/>
              <w:left w:w="15" w:type="dxa"/>
              <w:right w:w="15" w:type="dxa"/>
            </w:tcMar>
            <w:vAlign w:val="center"/>
          </w:tcPr>
          <w:p w14:paraId="736C89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35</w:t>
            </w:r>
          </w:p>
        </w:tc>
        <w:tc>
          <w:tcPr>
            <w:tcW w:w="331" w:type="pct"/>
            <w:tcBorders>
              <w:tl2br w:val="nil"/>
              <w:tr2bl w:val="nil"/>
            </w:tcBorders>
            <w:shd w:val="clear" w:color="auto" w:fill="auto"/>
            <w:noWrap/>
            <w:tcMar>
              <w:top w:w="15" w:type="dxa"/>
              <w:left w:w="15" w:type="dxa"/>
              <w:right w:w="15" w:type="dxa"/>
            </w:tcMar>
            <w:vAlign w:val="center"/>
          </w:tcPr>
          <w:p w14:paraId="017EDE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63</w:t>
            </w:r>
          </w:p>
        </w:tc>
        <w:tc>
          <w:tcPr>
            <w:tcW w:w="331" w:type="pct"/>
            <w:tcBorders>
              <w:tl2br w:val="nil"/>
              <w:tr2bl w:val="nil"/>
            </w:tcBorders>
            <w:shd w:val="clear" w:color="auto" w:fill="auto"/>
            <w:noWrap/>
            <w:tcMar>
              <w:top w:w="15" w:type="dxa"/>
              <w:left w:w="15" w:type="dxa"/>
              <w:right w:w="15" w:type="dxa"/>
            </w:tcMar>
            <w:vAlign w:val="center"/>
          </w:tcPr>
          <w:p w14:paraId="7517FF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11</w:t>
            </w:r>
            <w:r>
              <w:rPr>
                <w:rFonts w:hint="default" w:ascii="Times New Roman" w:hAnsi="Times New Roman" w:cs="Times New Roman"/>
                <w:i w:val="0"/>
                <w:color w:val="000000"/>
                <w:kern w:val="0"/>
                <w:sz w:val="21"/>
                <w:szCs w:val="21"/>
                <w:highlight w:val="none"/>
                <w:u w:val="none"/>
                <w:lang w:val="en-US" w:eastAsia="zh-CN" w:bidi="ar"/>
              </w:rPr>
              <w:t>.0</w:t>
            </w:r>
          </w:p>
        </w:tc>
      </w:tr>
      <w:tr w14:paraId="12E595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195" w:type="pct"/>
            <w:tcBorders>
              <w:tl2br w:val="nil"/>
              <w:tr2bl w:val="nil"/>
            </w:tcBorders>
            <w:shd w:val="clear" w:color="auto" w:fill="auto"/>
            <w:noWrap/>
            <w:tcMar>
              <w:top w:w="15" w:type="dxa"/>
              <w:left w:w="15" w:type="dxa"/>
              <w:right w:w="15" w:type="dxa"/>
            </w:tcMar>
            <w:vAlign w:val="center"/>
          </w:tcPr>
          <w:p w14:paraId="4314EC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w:t>
            </w:r>
          </w:p>
        </w:tc>
        <w:tc>
          <w:tcPr>
            <w:tcW w:w="369" w:type="pct"/>
            <w:tcBorders>
              <w:tl2br w:val="nil"/>
              <w:tr2bl w:val="nil"/>
            </w:tcBorders>
            <w:shd w:val="clear" w:color="auto" w:fill="auto"/>
            <w:noWrap/>
            <w:tcMar>
              <w:top w:w="15" w:type="dxa"/>
              <w:left w:w="15" w:type="dxa"/>
              <w:right w:w="15" w:type="dxa"/>
            </w:tcMar>
            <w:vAlign w:val="center"/>
          </w:tcPr>
          <w:p w14:paraId="22239A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HR-2-75</w:t>
            </w:r>
          </w:p>
        </w:tc>
        <w:tc>
          <w:tcPr>
            <w:tcW w:w="897" w:type="pct"/>
            <w:tcBorders>
              <w:tl2br w:val="nil"/>
              <w:tr2bl w:val="nil"/>
            </w:tcBorders>
            <w:shd w:val="clear" w:color="auto" w:fill="auto"/>
            <w:noWrap/>
            <w:tcMar>
              <w:top w:w="15" w:type="dxa"/>
              <w:left w:w="15" w:type="dxa"/>
              <w:right w:w="15" w:type="dxa"/>
            </w:tcMar>
            <w:vAlign w:val="center"/>
          </w:tcPr>
          <w:p w14:paraId="0D0E0F5D">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园区边界西侧下风向75m</w:t>
            </w:r>
          </w:p>
        </w:tc>
        <w:tc>
          <w:tcPr>
            <w:tcW w:w="887" w:type="pct"/>
            <w:gridSpan w:val="2"/>
            <w:tcBorders>
              <w:tl2br w:val="nil"/>
              <w:tr2bl w:val="nil"/>
            </w:tcBorders>
            <w:shd w:val="clear" w:color="auto" w:fill="auto"/>
            <w:noWrap/>
            <w:tcMar>
              <w:top w:w="15" w:type="dxa"/>
              <w:left w:w="15" w:type="dxa"/>
              <w:right w:w="15" w:type="dxa"/>
            </w:tcMar>
            <w:vAlign w:val="center"/>
          </w:tcPr>
          <w:p w14:paraId="44B7B9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二类用地筛选值</w:t>
            </w:r>
          </w:p>
        </w:tc>
        <w:tc>
          <w:tcPr>
            <w:tcW w:w="330" w:type="pct"/>
            <w:tcBorders>
              <w:tl2br w:val="nil"/>
              <w:tr2bl w:val="nil"/>
            </w:tcBorders>
            <w:shd w:val="clear" w:color="auto" w:fill="auto"/>
            <w:noWrap/>
            <w:tcMar>
              <w:top w:w="15" w:type="dxa"/>
              <w:left w:w="15" w:type="dxa"/>
              <w:right w:w="15" w:type="dxa"/>
            </w:tcMar>
            <w:vAlign w:val="center"/>
          </w:tcPr>
          <w:p w14:paraId="5DC2FB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30.1</w:t>
            </w:r>
          </w:p>
        </w:tc>
        <w:tc>
          <w:tcPr>
            <w:tcW w:w="330" w:type="pct"/>
            <w:tcBorders>
              <w:tl2br w:val="nil"/>
              <w:tr2bl w:val="nil"/>
            </w:tcBorders>
            <w:shd w:val="clear" w:color="auto" w:fill="auto"/>
            <w:noWrap/>
            <w:tcMar>
              <w:top w:w="15" w:type="dxa"/>
              <w:left w:w="15" w:type="dxa"/>
              <w:right w:w="15" w:type="dxa"/>
            </w:tcMar>
            <w:vAlign w:val="center"/>
          </w:tcPr>
          <w:p w14:paraId="037C90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0.11</w:t>
            </w:r>
          </w:p>
        </w:tc>
        <w:tc>
          <w:tcPr>
            <w:tcW w:w="330" w:type="pct"/>
            <w:tcBorders>
              <w:tl2br w:val="nil"/>
              <w:tr2bl w:val="nil"/>
            </w:tcBorders>
            <w:shd w:val="clear" w:color="auto" w:fill="auto"/>
            <w:noWrap/>
            <w:tcMar>
              <w:top w:w="15" w:type="dxa"/>
              <w:left w:w="15" w:type="dxa"/>
              <w:right w:w="15" w:type="dxa"/>
            </w:tcMar>
            <w:vAlign w:val="center"/>
          </w:tcPr>
          <w:p w14:paraId="467FED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8.61</w:t>
            </w:r>
          </w:p>
        </w:tc>
        <w:tc>
          <w:tcPr>
            <w:tcW w:w="330" w:type="pct"/>
            <w:tcBorders>
              <w:tl2br w:val="nil"/>
              <w:tr2bl w:val="nil"/>
            </w:tcBorders>
            <w:shd w:val="clear" w:color="auto" w:fill="auto"/>
            <w:noWrap/>
            <w:tcMar>
              <w:top w:w="15" w:type="dxa"/>
              <w:left w:w="15" w:type="dxa"/>
              <w:right w:w="15" w:type="dxa"/>
            </w:tcMar>
            <w:vAlign w:val="center"/>
          </w:tcPr>
          <w:p w14:paraId="5552A0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0.11</w:t>
            </w:r>
          </w:p>
        </w:tc>
        <w:tc>
          <w:tcPr>
            <w:tcW w:w="330" w:type="pct"/>
            <w:tcBorders>
              <w:tl2br w:val="nil"/>
              <w:tr2bl w:val="nil"/>
            </w:tcBorders>
            <w:shd w:val="clear" w:color="auto" w:fill="auto"/>
            <w:noWrap/>
            <w:tcMar>
              <w:top w:w="15" w:type="dxa"/>
              <w:left w:w="15" w:type="dxa"/>
              <w:right w:w="15" w:type="dxa"/>
            </w:tcMar>
            <w:vAlign w:val="center"/>
          </w:tcPr>
          <w:p w14:paraId="6F5533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41</w:t>
            </w:r>
          </w:p>
        </w:tc>
        <w:tc>
          <w:tcPr>
            <w:tcW w:w="330" w:type="pct"/>
            <w:tcBorders>
              <w:tl2br w:val="nil"/>
              <w:tr2bl w:val="nil"/>
            </w:tcBorders>
            <w:shd w:val="clear" w:color="auto" w:fill="auto"/>
            <w:noWrap/>
            <w:tcMar>
              <w:top w:w="15" w:type="dxa"/>
              <w:left w:w="15" w:type="dxa"/>
              <w:right w:w="15" w:type="dxa"/>
            </w:tcMar>
            <w:vAlign w:val="center"/>
          </w:tcPr>
          <w:p w14:paraId="36000B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26</w:t>
            </w:r>
          </w:p>
        </w:tc>
        <w:tc>
          <w:tcPr>
            <w:tcW w:w="331" w:type="pct"/>
            <w:tcBorders>
              <w:tl2br w:val="nil"/>
              <w:tr2bl w:val="nil"/>
            </w:tcBorders>
            <w:shd w:val="clear" w:color="auto" w:fill="auto"/>
            <w:noWrap/>
            <w:tcMar>
              <w:top w:w="15" w:type="dxa"/>
              <w:left w:w="15" w:type="dxa"/>
              <w:right w:w="15" w:type="dxa"/>
            </w:tcMar>
            <w:vAlign w:val="center"/>
          </w:tcPr>
          <w:p w14:paraId="6AF369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70</w:t>
            </w:r>
          </w:p>
        </w:tc>
        <w:tc>
          <w:tcPr>
            <w:tcW w:w="331" w:type="pct"/>
            <w:tcBorders>
              <w:tl2br w:val="nil"/>
              <w:tr2bl w:val="nil"/>
            </w:tcBorders>
            <w:shd w:val="clear" w:color="auto" w:fill="auto"/>
            <w:noWrap/>
            <w:tcMar>
              <w:top w:w="15" w:type="dxa"/>
              <w:left w:w="15" w:type="dxa"/>
              <w:right w:w="15" w:type="dxa"/>
            </w:tcMar>
            <w:vAlign w:val="center"/>
          </w:tcPr>
          <w:p w14:paraId="330939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7.6</w:t>
            </w:r>
            <w:r>
              <w:rPr>
                <w:rFonts w:hint="default" w:ascii="Times New Roman" w:hAnsi="Times New Roman" w:cs="Times New Roman"/>
                <w:i w:val="0"/>
                <w:color w:val="000000"/>
                <w:kern w:val="0"/>
                <w:sz w:val="21"/>
                <w:szCs w:val="21"/>
                <w:highlight w:val="none"/>
                <w:u w:val="none"/>
                <w:lang w:val="en-US" w:eastAsia="zh-CN" w:bidi="ar"/>
              </w:rPr>
              <w:t>0</w:t>
            </w:r>
          </w:p>
        </w:tc>
      </w:tr>
      <w:tr w14:paraId="0C91C8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95" w:type="pct"/>
            <w:tcBorders>
              <w:tl2br w:val="nil"/>
              <w:tr2bl w:val="nil"/>
            </w:tcBorders>
            <w:shd w:val="clear" w:color="auto" w:fill="auto"/>
            <w:noWrap/>
            <w:tcMar>
              <w:top w:w="15" w:type="dxa"/>
              <w:left w:w="15" w:type="dxa"/>
              <w:right w:w="15" w:type="dxa"/>
            </w:tcMar>
            <w:vAlign w:val="center"/>
          </w:tcPr>
          <w:p w14:paraId="018FC4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w:t>
            </w:r>
          </w:p>
        </w:tc>
        <w:tc>
          <w:tcPr>
            <w:tcW w:w="369" w:type="pct"/>
            <w:tcBorders>
              <w:tl2br w:val="nil"/>
              <w:tr2bl w:val="nil"/>
            </w:tcBorders>
            <w:shd w:val="clear" w:color="auto" w:fill="auto"/>
            <w:noWrap/>
            <w:tcMar>
              <w:top w:w="15" w:type="dxa"/>
              <w:left w:w="15" w:type="dxa"/>
              <w:right w:w="15" w:type="dxa"/>
            </w:tcMar>
            <w:vAlign w:val="center"/>
          </w:tcPr>
          <w:p w14:paraId="64EF40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HR-2-200</w:t>
            </w:r>
          </w:p>
        </w:tc>
        <w:tc>
          <w:tcPr>
            <w:tcW w:w="897" w:type="pct"/>
            <w:tcBorders>
              <w:tl2br w:val="nil"/>
              <w:tr2bl w:val="nil"/>
            </w:tcBorders>
            <w:shd w:val="clear" w:color="auto" w:fill="auto"/>
            <w:noWrap/>
            <w:tcMar>
              <w:top w:w="15" w:type="dxa"/>
              <w:left w:w="15" w:type="dxa"/>
              <w:right w:w="15" w:type="dxa"/>
            </w:tcMar>
            <w:vAlign w:val="center"/>
          </w:tcPr>
          <w:p w14:paraId="2E4028F0">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园区边界西侧下风向200m</w:t>
            </w:r>
          </w:p>
        </w:tc>
        <w:tc>
          <w:tcPr>
            <w:tcW w:w="887" w:type="pct"/>
            <w:gridSpan w:val="2"/>
            <w:tcBorders>
              <w:tl2br w:val="nil"/>
              <w:tr2bl w:val="nil"/>
            </w:tcBorders>
            <w:shd w:val="clear" w:color="auto" w:fill="auto"/>
            <w:noWrap/>
            <w:tcMar>
              <w:top w:w="15" w:type="dxa"/>
              <w:left w:w="15" w:type="dxa"/>
              <w:right w:w="15" w:type="dxa"/>
            </w:tcMar>
            <w:vAlign w:val="center"/>
          </w:tcPr>
          <w:p w14:paraId="54F87D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二类用地筛选值</w:t>
            </w:r>
          </w:p>
        </w:tc>
        <w:tc>
          <w:tcPr>
            <w:tcW w:w="330" w:type="pct"/>
            <w:tcBorders>
              <w:tl2br w:val="nil"/>
              <w:tr2bl w:val="nil"/>
            </w:tcBorders>
            <w:shd w:val="clear" w:color="auto" w:fill="auto"/>
            <w:noWrap/>
            <w:tcMar>
              <w:top w:w="15" w:type="dxa"/>
              <w:left w:w="15" w:type="dxa"/>
              <w:right w:w="15" w:type="dxa"/>
            </w:tcMar>
            <w:vAlign w:val="center"/>
          </w:tcPr>
          <w:p w14:paraId="021A7C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21.5</w:t>
            </w:r>
          </w:p>
        </w:tc>
        <w:tc>
          <w:tcPr>
            <w:tcW w:w="330" w:type="pct"/>
            <w:tcBorders>
              <w:tl2br w:val="nil"/>
              <w:tr2bl w:val="nil"/>
            </w:tcBorders>
            <w:shd w:val="clear" w:color="auto" w:fill="auto"/>
            <w:noWrap/>
            <w:tcMar>
              <w:top w:w="15" w:type="dxa"/>
              <w:left w:w="15" w:type="dxa"/>
              <w:right w:w="15" w:type="dxa"/>
            </w:tcMar>
            <w:vAlign w:val="center"/>
          </w:tcPr>
          <w:p w14:paraId="20C87E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0.08</w:t>
            </w:r>
          </w:p>
        </w:tc>
        <w:tc>
          <w:tcPr>
            <w:tcW w:w="330" w:type="pct"/>
            <w:tcBorders>
              <w:tl2br w:val="nil"/>
              <w:tr2bl w:val="nil"/>
            </w:tcBorders>
            <w:shd w:val="clear" w:color="auto" w:fill="auto"/>
            <w:noWrap/>
            <w:tcMar>
              <w:top w:w="15" w:type="dxa"/>
              <w:left w:w="15" w:type="dxa"/>
              <w:right w:w="15" w:type="dxa"/>
            </w:tcMar>
            <w:vAlign w:val="center"/>
          </w:tcPr>
          <w:p w14:paraId="20C942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9.69</w:t>
            </w:r>
          </w:p>
        </w:tc>
        <w:tc>
          <w:tcPr>
            <w:tcW w:w="330" w:type="pct"/>
            <w:tcBorders>
              <w:tl2br w:val="nil"/>
              <w:tr2bl w:val="nil"/>
            </w:tcBorders>
            <w:shd w:val="clear" w:color="auto" w:fill="auto"/>
            <w:noWrap/>
            <w:tcMar>
              <w:top w:w="15" w:type="dxa"/>
              <w:left w:w="15" w:type="dxa"/>
              <w:right w:w="15" w:type="dxa"/>
            </w:tcMar>
            <w:vAlign w:val="center"/>
          </w:tcPr>
          <w:p w14:paraId="4D0561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0.09</w:t>
            </w:r>
          </w:p>
        </w:tc>
        <w:tc>
          <w:tcPr>
            <w:tcW w:w="330" w:type="pct"/>
            <w:tcBorders>
              <w:tl2br w:val="nil"/>
              <w:tr2bl w:val="nil"/>
            </w:tcBorders>
            <w:shd w:val="clear" w:color="auto" w:fill="auto"/>
            <w:noWrap/>
            <w:tcMar>
              <w:top w:w="15" w:type="dxa"/>
              <w:left w:w="15" w:type="dxa"/>
              <w:right w:w="15" w:type="dxa"/>
            </w:tcMar>
            <w:vAlign w:val="center"/>
          </w:tcPr>
          <w:p w14:paraId="03E922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29</w:t>
            </w:r>
          </w:p>
        </w:tc>
        <w:tc>
          <w:tcPr>
            <w:tcW w:w="330" w:type="pct"/>
            <w:tcBorders>
              <w:tl2br w:val="nil"/>
              <w:tr2bl w:val="nil"/>
            </w:tcBorders>
            <w:shd w:val="clear" w:color="auto" w:fill="auto"/>
            <w:noWrap/>
            <w:tcMar>
              <w:top w:w="15" w:type="dxa"/>
              <w:left w:w="15" w:type="dxa"/>
              <w:right w:w="15" w:type="dxa"/>
            </w:tcMar>
            <w:vAlign w:val="center"/>
          </w:tcPr>
          <w:p w14:paraId="0247F9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42</w:t>
            </w:r>
          </w:p>
        </w:tc>
        <w:tc>
          <w:tcPr>
            <w:tcW w:w="331" w:type="pct"/>
            <w:tcBorders>
              <w:tl2br w:val="nil"/>
              <w:tr2bl w:val="nil"/>
            </w:tcBorders>
            <w:shd w:val="clear" w:color="auto" w:fill="auto"/>
            <w:noWrap/>
            <w:tcMar>
              <w:top w:w="15" w:type="dxa"/>
              <w:left w:w="15" w:type="dxa"/>
              <w:right w:w="15" w:type="dxa"/>
            </w:tcMar>
            <w:vAlign w:val="center"/>
          </w:tcPr>
          <w:p w14:paraId="191BAB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91</w:t>
            </w:r>
          </w:p>
        </w:tc>
        <w:tc>
          <w:tcPr>
            <w:tcW w:w="331" w:type="pct"/>
            <w:tcBorders>
              <w:tl2br w:val="nil"/>
              <w:tr2bl w:val="nil"/>
            </w:tcBorders>
            <w:shd w:val="clear" w:color="auto" w:fill="auto"/>
            <w:noWrap/>
            <w:tcMar>
              <w:top w:w="15" w:type="dxa"/>
              <w:left w:w="15" w:type="dxa"/>
              <w:right w:w="15" w:type="dxa"/>
            </w:tcMar>
            <w:vAlign w:val="center"/>
          </w:tcPr>
          <w:p w14:paraId="5562CA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12.4</w:t>
            </w:r>
          </w:p>
        </w:tc>
      </w:tr>
      <w:tr w14:paraId="23414B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195" w:type="pct"/>
            <w:tcBorders>
              <w:tl2br w:val="nil"/>
              <w:tr2bl w:val="nil"/>
            </w:tcBorders>
            <w:shd w:val="clear" w:color="auto" w:fill="auto"/>
            <w:noWrap/>
            <w:tcMar>
              <w:top w:w="15" w:type="dxa"/>
              <w:left w:w="15" w:type="dxa"/>
              <w:right w:w="15" w:type="dxa"/>
            </w:tcMar>
            <w:vAlign w:val="center"/>
          </w:tcPr>
          <w:p w14:paraId="537F7F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w:t>
            </w:r>
          </w:p>
        </w:tc>
        <w:tc>
          <w:tcPr>
            <w:tcW w:w="369" w:type="pct"/>
            <w:tcBorders>
              <w:tl2br w:val="nil"/>
              <w:tr2bl w:val="nil"/>
            </w:tcBorders>
            <w:shd w:val="clear" w:color="auto" w:fill="auto"/>
            <w:noWrap/>
            <w:tcMar>
              <w:top w:w="15" w:type="dxa"/>
              <w:left w:w="15" w:type="dxa"/>
              <w:right w:w="15" w:type="dxa"/>
            </w:tcMar>
            <w:vAlign w:val="center"/>
          </w:tcPr>
          <w:p w14:paraId="30ED90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HR-2-400</w:t>
            </w:r>
          </w:p>
        </w:tc>
        <w:tc>
          <w:tcPr>
            <w:tcW w:w="897" w:type="pct"/>
            <w:tcBorders>
              <w:tl2br w:val="nil"/>
              <w:tr2bl w:val="nil"/>
            </w:tcBorders>
            <w:shd w:val="clear" w:color="auto" w:fill="auto"/>
            <w:noWrap/>
            <w:tcMar>
              <w:top w:w="15" w:type="dxa"/>
              <w:left w:w="15" w:type="dxa"/>
              <w:right w:w="15" w:type="dxa"/>
            </w:tcMar>
            <w:vAlign w:val="center"/>
          </w:tcPr>
          <w:p w14:paraId="166D367B">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园区边界西侧下风向400m</w:t>
            </w:r>
          </w:p>
        </w:tc>
        <w:tc>
          <w:tcPr>
            <w:tcW w:w="887" w:type="pct"/>
            <w:gridSpan w:val="2"/>
            <w:tcBorders>
              <w:tl2br w:val="nil"/>
              <w:tr2bl w:val="nil"/>
            </w:tcBorders>
            <w:shd w:val="clear" w:color="auto" w:fill="auto"/>
            <w:noWrap/>
            <w:tcMar>
              <w:top w:w="15" w:type="dxa"/>
              <w:left w:w="15" w:type="dxa"/>
              <w:right w:w="15" w:type="dxa"/>
            </w:tcMar>
            <w:vAlign w:val="center"/>
          </w:tcPr>
          <w:p w14:paraId="051E30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二类用地筛选值</w:t>
            </w:r>
          </w:p>
        </w:tc>
        <w:tc>
          <w:tcPr>
            <w:tcW w:w="330" w:type="pct"/>
            <w:tcBorders>
              <w:tl2br w:val="nil"/>
              <w:tr2bl w:val="nil"/>
            </w:tcBorders>
            <w:shd w:val="clear" w:color="auto" w:fill="auto"/>
            <w:noWrap/>
            <w:tcMar>
              <w:top w:w="15" w:type="dxa"/>
              <w:left w:w="15" w:type="dxa"/>
              <w:right w:w="15" w:type="dxa"/>
            </w:tcMar>
            <w:vAlign w:val="center"/>
          </w:tcPr>
          <w:p w14:paraId="614862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29.7</w:t>
            </w:r>
          </w:p>
        </w:tc>
        <w:tc>
          <w:tcPr>
            <w:tcW w:w="330" w:type="pct"/>
            <w:tcBorders>
              <w:tl2br w:val="nil"/>
              <w:tr2bl w:val="nil"/>
            </w:tcBorders>
            <w:shd w:val="clear" w:color="auto" w:fill="auto"/>
            <w:noWrap/>
            <w:tcMar>
              <w:top w:w="15" w:type="dxa"/>
              <w:left w:w="15" w:type="dxa"/>
              <w:right w:w="15" w:type="dxa"/>
            </w:tcMar>
            <w:vAlign w:val="center"/>
          </w:tcPr>
          <w:p w14:paraId="5B7636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0.09</w:t>
            </w:r>
          </w:p>
        </w:tc>
        <w:tc>
          <w:tcPr>
            <w:tcW w:w="330" w:type="pct"/>
            <w:tcBorders>
              <w:tl2br w:val="nil"/>
              <w:tr2bl w:val="nil"/>
            </w:tcBorders>
            <w:shd w:val="clear" w:color="auto" w:fill="auto"/>
            <w:noWrap/>
            <w:tcMar>
              <w:top w:w="15" w:type="dxa"/>
              <w:left w:w="15" w:type="dxa"/>
              <w:right w:w="15" w:type="dxa"/>
            </w:tcMar>
            <w:vAlign w:val="center"/>
          </w:tcPr>
          <w:p w14:paraId="553D74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11.1</w:t>
            </w:r>
          </w:p>
        </w:tc>
        <w:tc>
          <w:tcPr>
            <w:tcW w:w="330" w:type="pct"/>
            <w:tcBorders>
              <w:tl2br w:val="nil"/>
              <w:tr2bl w:val="nil"/>
            </w:tcBorders>
            <w:shd w:val="clear" w:color="auto" w:fill="auto"/>
            <w:noWrap/>
            <w:tcMar>
              <w:top w:w="15" w:type="dxa"/>
              <w:left w:w="15" w:type="dxa"/>
              <w:right w:w="15" w:type="dxa"/>
            </w:tcMar>
            <w:vAlign w:val="center"/>
          </w:tcPr>
          <w:p w14:paraId="12CE8A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0.23</w:t>
            </w:r>
          </w:p>
        </w:tc>
        <w:tc>
          <w:tcPr>
            <w:tcW w:w="330" w:type="pct"/>
            <w:tcBorders>
              <w:tl2br w:val="nil"/>
              <w:tr2bl w:val="nil"/>
            </w:tcBorders>
            <w:shd w:val="clear" w:color="auto" w:fill="auto"/>
            <w:noWrap/>
            <w:tcMar>
              <w:top w:w="15" w:type="dxa"/>
              <w:left w:w="15" w:type="dxa"/>
              <w:right w:w="15" w:type="dxa"/>
            </w:tcMar>
            <w:vAlign w:val="center"/>
          </w:tcPr>
          <w:p w14:paraId="1D63C65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32</w:t>
            </w:r>
          </w:p>
        </w:tc>
        <w:tc>
          <w:tcPr>
            <w:tcW w:w="330" w:type="pct"/>
            <w:tcBorders>
              <w:tl2br w:val="nil"/>
              <w:tr2bl w:val="nil"/>
            </w:tcBorders>
            <w:shd w:val="clear" w:color="auto" w:fill="auto"/>
            <w:noWrap/>
            <w:tcMar>
              <w:top w:w="15" w:type="dxa"/>
              <w:left w:w="15" w:type="dxa"/>
              <w:right w:w="15" w:type="dxa"/>
            </w:tcMar>
            <w:vAlign w:val="center"/>
          </w:tcPr>
          <w:p w14:paraId="57EF91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38</w:t>
            </w:r>
          </w:p>
        </w:tc>
        <w:tc>
          <w:tcPr>
            <w:tcW w:w="331" w:type="pct"/>
            <w:tcBorders>
              <w:tl2br w:val="nil"/>
              <w:tr2bl w:val="nil"/>
            </w:tcBorders>
            <w:shd w:val="clear" w:color="auto" w:fill="auto"/>
            <w:noWrap/>
            <w:tcMar>
              <w:top w:w="15" w:type="dxa"/>
              <w:left w:w="15" w:type="dxa"/>
              <w:right w:w="15" w:type="dxa"/>
            </w:tcMar>
            <w:vAlign w:val="center"/>
          </w:tcPr>
          <w:p w14:paraId="77918F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62</w:t>
            </w:r>
          </w:p>
        </w:tc>
        <w:tc>
          <w:tcPr>
            <w:tcW w:w="331" w:type="pct"/>
            <w:tcBorders>
              <w:tl2br w:val="nil"/>
              <w:tr2bl w:val="nil"/>
            </w:tcBorders>
            <w:shd w:val="clear" w:color="auto" w:fill="auto"/>
            <w:noWrap/>
            <w:tcMar>
              <w:top w:w="15" w:type="dxa"/>
              <w:left w:w="15" w:type="dxa"/>
              <w:right w:w="15" w:type="dxa"/>
            </w:tcMar>
            <w:vAlign w:val="center"/>
          </w:tcPr>
          <w:p w14:paraId="47EE7D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11.8</w:t>
            </w:r>
          </w:p>
        </w:tc>
      </w:tr>
      <w:tr w14:paraId="206C92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95" w:type="pct"/>
            <w:tcBorders>
              <w:tl2br w:val="nil"/>
              <w:tr2bl w:val="nil"/>
            </w:tcBorders>
            <w:shd w:val="clear" w:color="auto" w:fill="auto"/>
            <w:noWrap/>
            <w:tcMar>
              <w:top w:w="15" w:type="dxa"/>
              <w:left w:w="15" w:type="dxa"/>
              <w:right w:w="15" w:type="dxa"/>
            </w:tcMar>
            <w:vAlign w:val="center"/>
          </w:tcPr>
          <w:p w14:paraId="5DAF7F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w:t>
            </w:r>
          </w:p>
        </w:tc>
        <w:tc>
          <w:tcPr>
            <w:tcW w:w="369" w:type="pct"/>
            <w:tcBorders>
              <w:tl2br w:val="nil"/>
              <w:tr2bl w:val="nil"/>
            </w:tcBorders>
            <w:shd w:val="clear" w:color="auto" w:fill="auto"/>
            <w:noWrap/>
            <w:tcMar>
              <w:top w:w="15" w:type="dxa"/>
              <w:left w:w="15" w:type="dxa"/>
              <w:right w:w="15" w:type="dxa"/>
            </w:tcMar>
            <w:vAlign w:val="center"/>
          </w:tcPr>
          <w:p w14:paraId="717086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HR-3-75</w:t>
            </w:r>
          </w:p>
        </w:tc>
        <w:tc>
          <w:tcPr>
            <w:tcW w:w="897" w:type="pct"/>
            <w:tcBorders>
              <w:tl2br w:val="nil"/>
              <w:tr2bl w:val="nil"/>
            </w:tcBorders>
            <w:shd w:val="clear" w:color="auto" w:fill="auto"/>
            <w:noWrap/>
            <w:tcMar>
              <w:top w:w="15" w:type="dxa"/>
              <w:left w:w="15" w:type="dxa"/>
              <w:right w:w="15" w:type="dxa"/>
            </w:tcMar>
            <w:vAlign w:val="center"/>
          </w:tcPr>
          <w:p w14:paraId="44B2BB12">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园区边界南侧下风向75m</w:t>
            </w:r>
          </w:p>
        </w:tc>
        <w:tc>
          <w:tcPr>
            <w:tcW w:w="887" w:type="pct"/>
            <w:gridSpan w:val="2"/>
            <w:tcBorders>
              <w:tl2br w:val="nil"/>
              <w:tr2bl w:val="nil"/>
            </w:tcBorders>
            <w:shd w:val="clear" w:color="auto" w:fill="auto"/>
            <w:noWrap/>
            <w:tcMar>
              <w:top w:w="15" w:type="dxa"/>
              <w:left w:w="15" w:type="dxa"/>
              <w:right w:w="15" w:type="dxa"/>
            </w:tcMar>
            <w:vAlign w:val="center"/>
          </w:tcPr>
          <w:p w14:paraId="2E9503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一类用地筛选值</w:t>
            </w:r>
          </w:p>
        </w:tc>
        <w:tc>
          <w:tcPr>
            <w:tcW w:w="330" w:type="pct"/>
            <w:tcBorders>
              <w:tl2br w:val="nil"/>
              <w:tr2bl w:val="nil"/>
            </w:tcBorders>
            <w:shd w:val="clear" w:color="auto" w:fill="auto"/>
            <w:noWrap/>
            <w:tcMar>
              <w:top w:w="15" w:type="dxa"/>
              <w:left w:w="15" w:type="dxa"/>
              <w:right w:w="15" w:type="dxa"/>
            </w:tcMar>
            <w:vAlign w:val="center"/>
          </w:tcPr>
          <w:p w14:paraId="381C17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23.5</w:t>
            </w:r>
          </w:p>
        </w:tc>
        <w:tc>
          <w:tcPr>
            <w:tcW w:w="330" w:type="pct"/>
            <w:tcBorders>
              <w:tl2br w:val="nil"/>
              <w:tr2bl w:val="nil"/>
            </w:tcBorders>
            <w:shd w:val="clear" w:color="auto" w:fill="auto"/>
            <w:noWrap/>
            <w:tcMar>
              <w:top w:w="15" w:type="dxa"/>
              <w:left w:w="15" w:type="dxa"/>
              <w:right w:w="15" w:type="dxa"/>
            </w:tcMar>
            <w:vAlign w:val="center"/>
          </w:tcPr>
          <w:p w14:paraId="358340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0.23</w:t>
            </w:r>
          </w:p>
        </w:tc>
        <w:tc>
          <w:tcPr>
            <w:tcW w:w="330" w:type="pct"/>
            <w:tcBorders>
              <w:tl2br w:val="nil"/>
              <w:tr2bl w:val="nil"/>
            </w:tcBorders>
            <w:shd w:val="clear" w:color="auto" w:fill="auto"/>
            <w:noWrap/>
            <w:tcMar>
              <w:top w:w="15" w:type="dxa"/>
              <w:left w:w="15" w:type="dxa"/>
              <w:right w:w="15" w:type="dxa"/>
            </w:tcMar>
            <w:vAlign w:val="center"/>
          </w:tcPr>
          <w:p w14:paraId="211BC1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11.1</w:t>
            </w:r>
          </w:p>
        </w:tc>
        <w:tc>
          <w:tcPr>
            <w:tcW w:w="330" w:type="pct"/>
            <w:tcBorders>
              <w:tl2br w:val="nil"/>
              <w:tr2bl w:val="nil"/>
            </w:tcBorders>
            <w:shd w:val="clear" w:color="auto" w:fill="auto"/>
            <w:noWrap/>
            <w:tcMar>
              <w:top w:w="15" w:type="dxa"/>
              <w:left w:w="15" w:type="dxa"/>
              <w:right w:w="15" w:type="dxa"/>
            </w:tcMar>
            <w:vAlign w:val="center"/>
          </w:tcPr>
          <w:p w14:paraId="6B9176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0.07</w:t>
            </w:r>
          </w:p>
        </w:tc>
        <w:tc>
          <w:tcPr>
            <w:tcW w:w="330" w:type="pct"/>
            <w:tcBorders>
              <w:tl2br w:val="nil"/>
              <w:tr2bl w:val="nil"/>
            </w:tcBorders>
            <w:shd w:val="clear" w:color="auto" w:fill="auto"/>
            <w:noWrap/>
            <w:tcMar>
              <w:top w:w="15" w:type="dxa"/>
              <w:left w:w="15" w:type="dxa"/>
              <w:right w:w="15" w:type="dxa"/>
            </w:tcMar>
            <w:vAlign w:val="center"/>
          </w:tcPr>
          <w:p w14:paraId="520B14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26</w:t>
            </w:r>
          </w:p>
        </w:tc>
        <w:tc>
          <w:tcPr>
            <w:tcW w:w="330" w:type="pct"/>
            <w:tcBorders>
              <w:tl2br w:val="nil"/>
              <w:tr2bl w:val="nil"/>
            </w:tcBorders>
            <w:shd w:val="clear" w:color="auto" w:fill="auto"/>
            <w:noWrap/>
            <w:tcMar>
              <w:top w:w="15" w:type="dxa"/>
              <w:left w:w="15" w:type="dxa"/>
              <w:right w:w="15" w:type="dxa"/>
            </w:tcMar>
            <w:vAlign w:val="center"/>
          </w:tcPr>
          <w:p w14:paraId="6A7451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26</w:t>
            </w:r>
          </w:p>
        </w:tc>
        <w:tc>
          <w:tcPr>
            <w:tcW w:w="331" w:type="pct"/>
            <w:tcBorders>
              <w:tl2br w:val="nil"/>
              <w:tr2bl w:val="nil"/>
            </w:tcBorders>
            <w:shd w:val="clear" w:color="auto" w:fill="auto"/>
            <w:noWrap/>
            <w:tcMar>
              <w:top w:w="15" w:type="dxa"/>
              <w:left w:w="15" w:type="dxa"/>
              <w:right w:w="15" w:type="dxa"/>
            </w:tcMar>
            <w:vAlign w:val="center"/>
          </w:tcPr>
          <w:p w14:paraId="35F3B1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55</w:t>
            </w:r>
          </w:p>
        </w:tc>
        <w:tc>
          <w:tcPr>
            <w:tcW w:w="331" w:type="pct"/>
            <w:tcBorders>
              <w:tl2br w:val="nil"/>
              <w:tr2bl w:val="nil"/>
            </w:tcBorders>
            <w:shd w:val="clear" w:color="auto" w:fill="auto"/>
            <w:noWrap/>
            <w:tcMar>
              <w:top w:w="15" w:type="dxa"/>
              <w:left w:w="15" w:type="dxa"/>
              <w:right w:w="15" w:type="dxa"/>
            </w:tcMar>
            <w:vAlign w:val="center"/>
          </w:tcPr>
          <w:p w14:paraId="69577C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9.3</w:t>
            </w:r>
            <w:r>
              <w:rPr>
                <w:rFonts w:hint="default" w:ascii="Times New Roman" w:hAnsi="Times New Roman" w:cs="Times New Roman"/>
                <w:i w:val="0"/>
                <w:color w:val="000000"/>
                <w:kern w:val="0"/>
                <w:sz w:val="21"/>
                <w:szCs w:val="21"/>
                <w:highlight w:val="none"/>
                <w:u w:val="none"/>
                <w:lang w:val="en-US" w:eastAsia="zh-CN" w:bidi="ar"/>
              </w:rPr>
              <w:t>0</w:t>
            </w:r>
          </w:p>
        </w:tc>
      </w:tr>
      <w:tr w14:paraId="6CC4B4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95" w:type="pct"/>
            <w:tcBorders>
              <w:tl2br w:val="nil"/>
              <w:tr2bl w:val="nil"/>
            </w:tcBorders>
            <w:shd w:val="clear" w:color="auto" w:fill="auto"/>
            <w:noWrap/>
            <w:tcMar>
              <w:top w:w="15" w:type="dxa"/>
              <w:left w:w="15" w:type="dxa"/>
              <w:right w:w="15" w:type="dxa"/>
            </w:tcMar>
            <w:vAlign w:val="center"/>
          </w:tcPr>
          <w:p w14:paraId="2E2700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w:t>
            </w:r>
          </w:p>
        </w:tc>
        <w:tc>
          <w:tcPr>
            <w:tcW w:w="369" w:type="pct"/>
            <w:tcBorders>
              <w:tl2br w:val="nil"/>
              <w:tr2bl w:val="nil"/>
            </w:tcBorders>
            <w:shd w:val="clear" w:color="auto" w:fill="auto"/>
            <w:noWrap/>
            <w:tcMar>
              <w:top w:w="15" w:type="dxa"/>
              <w:left w:w="15" w:type="dxa"/>
              <w:right w:w="15" w:type="dxa"/>
            </w:tcMar>
            <w:vAlign w:val="center"/>
          </w:tcPr>
          <w:p w14:paraId="0CCE6B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HR-3-200</w:t>
            </w:r>
          </w:p>
        </w:tc>
        <w:tc>
          <w:tcPr>
            <w:tcW w:w="897" w:type="pct"/>
            <w:tcBorders>
              <w:tl2br w:val="nil"/>
              <w:tr2bl w:val="nil"/>
            </w:tcBorders>
            <w:shd w:val="clear" w:color="auto" w:fill="auto"/>
            <w:noWrap/>
            <w:tcMar>
              <w:top w:w="15" w:type="dxa"/>
              <w:left w:w="15" w:type="dxa"/>
              <w:right w:w="15" w:type="dxa"/>
            </w:tcMar>
            <w:vAlign w:val="center"/>
          </w:tcPr>
          <w:p w14:paraId="550A9510">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园区边界南侧下风向200m</w:t>
            </w:r>
          </w:p>
        </w:tc>
        <w:tc>
          <w:tcPr>
            <w:tcW w:w="887" w:type="pct"/>
            <w:gridSpan w:val="2"/>
            <w:tcBorders>
              <w:tl2br w:val="nil"/>
              <w:tr2bl w:val="nil"/>
            </w:tcBorders>
            <w:shd w:val="clear" w:color="auto" w:fill="auto"/>
            <w:noWrap/>
            <w:tcMar>
              <w:top w:w="15" w:type="dxa"/>
              <w:left w:w="15" w:type="dxa"/>
              <w:right w:w="15" w:type="dxa"/>
            </w:tcMar>
            <w:vAlign w:val="center"/>
          </w:tcPr>
          <w:p w14:paraId="2F25D4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一类用地筛选值</w:t>
            </w:r>
          </w:p>
        </w:tc>
        <w:tc>
          <w:tcPr>
            <w:tcW w:w="330" w:type="pct"/>
            <w:tcBorders>
              <w:tl2br w:val="nil"/>
              <w:tr2bl w:val="nil"/>
            </w:tcBorders>
            <w:shd w:val="clear" w:color="auto" w:fill="auto"/>
            <w:noWrap/>
            <w:tcMar>
              <w:top w:w="15" w:type="dxa"/>
              <w:left w:w="15" w:type="dxa"/>
              <w:right w:w="15" w:type="dxa"/>
            </w:tcMar>
            <w:vAlign w:val="center"/>
          </w:tcPr>
          <w:p w14:paraId="2ECB0C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36</w:t>
            </w:r>
            <w:r>
              <w:rPr>
                <w:rFonts w:hint="default" w:ascii="Times New Roman" w:hAnsi="Times New Roman" w:cs="Times New Roman"/>
                <w:i w:val="0"/>
                <w:color w:val="000000"/>
                <w:kern w:val="0"/>
                <w:sz w:val="21"/>
                <w:szCs w:val="21"/>
                <w:highlight w:val="none"/>
                <w:u w:val="none"/>
                <w:lang w:val="en-US" w:eastAsia="zh-CN" w:bidi="ar"/>
              </w:rPr>
              <w:t>.0</w:t>
            </w:r>
          </w:p>
        </w:tc>
        <w:tc>
          <w:tcPr>
            <w:tcW w:w="330" w:type="pct"/>
            <w:tcBorders>
              <w:tl2br w:val="nil"/>
              <w:tr2bl w:val="nil"/>
            </w:tcBorders>
            <w:shd w:val="clear" w:color="auto" w:fill="auto"/>
            <w:noWrap/>
            <w:tcMar>
              <w:top w:w="15" w:type="dxa"/>
              <w:left w:w="15" w:type="dxa"/>
              <w:right w:w="15" w:type="dxa"/>
            </w:tcMar>
            <w:vAlign w:val="center"/>
          </w:tcPr>
          <w:p w14:paraId="7B9107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0.16</w:t>
            </w:r>
          </w:p>
        </w:tc>
        <w:tc>
          <w:tcPr>
            <w:tcW w:w="330" w:type="pct"/>
            <w:tcBorders>
              <w:tl2br w:val="nil"/>
              <w:tr2bl w:val="nil"/>
            </w:tcBorders>
            <w:shd w:val="clear" w:color="auto" w:fill="auto"/>
            <w:noWrap/>
            <w:tcMar>
              <w:top w:w="15" w:type="dxa"/>
              <w:left w:w="15" w:type="dxa"/>
              <w:right w:w="15" w:type="dxa"/>
            </w:tcMar>
            <w:vAlign w:val="center"/>
          </w:tcPr>
          <w:p w14:paraId="0BACB2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10.8</w:t>
            </w:r>
          </w:p>
        </w:tc>
        <w:tc>
          <w:tcPr>
            <w:tcW w:w="330" w:type="pct"/>
            <w:tcBorders>
              <w:tl2br w:val="nil"/>
              <w:tr2bl w:val="nil"/>
            </w:tcBorders>
            <w:shd w:val="clear" w:color="auto" w:fill="auto"/>
            <w:noWrap/>
            <w:tcMar>
              <w:top w:w="15" w:type="dxa"/>
              <w:left w:w="15" w:type="dxa"/>
              <w:right w:w="15" w:type="dxa"/>
            </w:tcMar>
            <w:vAlign w:val="center"/>
          </w:tcPr>
          <w:p w14:paraId="227242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w:t>
            </w:r>
          </w:p>
        </w:tc>
        <w:tc>
          <w:tcPr>
            <w:tcW w:w="330" w:type="pct"/>
            <w:tcBorders>
              <w:tl2br w:val="nil"/>
              <w:tr2bl w:val="nil"/>
            </w:tcBorders>
            <w:shd w:val="clear" w:color="auto" w:fill="auto"/>
            <w:noWrap/>
            <w:tcMar>
              <w:top w:w="15" w:type="dxa"/>
              <w:left w:w="15" w:type="dxa"/>
              <w:right w:w="15" w:type="dxa"/>
            </w:tcMar>
            <w:vAlign w:val="center"/>
          </w:tcPr>
          <w:p w14:paraId="4FE188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28</w:t>
            </w:r>
          </w:p>
        </w:tc>
        <w:tc>
          <w:tcPr>
            <w:tcW w:w="330" w:type="pct"/>
            <w:tcBorders>
              <w:tl2br w:val="nil"/>
              <w:tr2bl w:val="nil"/>
            </w:tcBorders>
            <w:shd w:val="clear" w:color="auto" w:fill="auto"/>
            <w:noWrap/>
            <w:tcMar>
              <w:top w:w="15" w:type="dxa"/>
              <w:left w:w="15" w:type="dxa"/>
              <w:right w:w="15" w:type="dxa"/>
            </w:tcMar>
            <w:vAlign w:val="center"/>
          </w:tcPr>
          <w:p w14:paraId="15E0A6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68</w:t>
            </w:r>
          </w:p>
        </w:tc>
        <w:tc>
          <w:tcPr>
            <w:tcW w:w="331" w:type="pct"/>
            <w:tcBorders>
              <w:tl2br w:val="nil"/>
              <w:tr2bl w:val="nil"/>
            </w:tcBorders>
            <w:shd w:val="clear" w:color="auto" w:fill="auto"/>
            <w:noWrap/>
            <w:tcMar>
              <w:top w:w="15" w:type="dxa"/>
              <w:left w:w="15" w:type="dxa"/>
              <w:right w:w="15" w:type="dxa"/>
            </w:tcMar>
            <w:vAlign w:val="center"/>
          </w:tcPr>
          <w:p w14:paraId="1C3DF8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132</w:t>
            </w:r>
          </w:p>
        </w:tc>
        <w:tc>
          <w:tcPr>
            <w:tcW w:w="331" w:type="pct"/>
            <w:tcBorders>
              <w:tl2br w:val="nil"/>
              <w:tr2bl w:val="nil"/>
            </w:tcBorders>
            <w:shd w:val="clear" w:color="auto" w:fill="auto"/>
            <w:noWrap/>
            <w:tcMar>
              <w:top w:w="15" w:type="dxa"/>
              <w:left w:w="15" w:type="dxa"/>
              <w:right w:w="15" w:type="dxa"/>
            </w:tcMar>
            <w:vAlign w:val="center"/>
          </w:tcPr>
          <w:p w14:paraId="14ED19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9.8</w:t>
            </w:r>
            <w:r>
              <w:rPr>
                <w:rFonts w:hint="default" w:ascii="Times New Roman" w:hAnsi="Times New Roman" w:cs="Times New Roman"/>
                <w:i w:val="0"/>
                <w:color w:val="000000"/>
                <w:kern w:val="0"/>
                <w:sz w:val="21"/>
                <w:szCs w:val="21"/>
                <w:highlight w:val="none"/>
                <w:u w:val="none"/>
                <w:lang w:val="en-US" w:eastAsia="zh-CN" w:bidi="ar"/>
              </w:rPr>
              <w:t>0</w:t>
            </w:r>
          </w:p>
        </w:tc>
      </w:tr>
      <w:tr w14:paraId="52B694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195" w:type="pct"/>
            <w:tcBorders>
              <w:tl2br w:val="nil"/>
              <w:tr2bl w:val="nil"/>
            </w:tcBorders>
            <w:shd w:val="clear" w:color="auto" w:fill="auto"/>
            <w:noWrap/>
            <w:tcMar>
              <w:top w:w="15" w:type="dxa"/>
              <w:left w:w="15" w:type="dxa"/>
              <w:right w:w="15" w:type="dxa"/>
            </w:tcMar>
            <w:vAlign w:val="center"/>
          </w:tcPr>
          <w:p w14:paraId="56838B8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9</w:t>
            </w:r>
          </w:p>
        </w:tc>
        <w:tc>
          <w:tcPr>
            <w:tcW w:w="369" w:type="pct"/>
            <w:tcBorders>
              <w:tl2br w:val="nil"/>
              <w:tr2bl w:val="nil"/>
            </w:tcBorders>
            <w:shd w:val="clear" w:color="auto" w:fill="auto"/>
            <w:noWrap/>
            <w:tcMar>
              <w:top w:w="15" w:type="dxa"/>
              <w:left w:w="15" w:type="dxa"/>
              <w:right w:w="15" w:type="dxa"/>
            </w:tcMar>
            <w:vAlign w:val="center"/>
          </w:tcPr>
          <w:p w14:paraId="34A512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HR-3-400</w:t>
            </w:r>
          </w:p>
        </w:tc>
        <w:tc>
          <w:tcPr>
            <w:tcW w:w="897" w:type="pct"/>
            <w:tcBorders>
              <w:tl2br w:val="nil"/>
              <w:tr2bl w:val="nil"/>
            </w:tcBorders>
            <w:shd w:val="clear" w:color="auto" w:fill="auto"/>
            <w:noWrap/>
            <w:tcMar>
              <w:top w:w="15" w:type="dxa"/>
              <w:left w:w="15" w:type="dxa"/>
              <w:right w:w="15" w:type="dxa"/>
            </w:tcMar>
            <w:vAlign w:val="center"/>
          </w:tcPr>
          <w:p w14:paraId="07A5B69D">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园区边界南侧下风向400m</w:t>
            </w:r>
          </w:p>
        </w:tc>
        <w:tc>
          <w:tcPr>
            <w:tcW w:w="887" w:type="pct"/>
            <w:gridSpan w:val="2"/>
            <w:tcBorders>
              <w:tl2br w:val="nil"/>
              <w:tr2bl w:val="nil"/>
            </w:tcBorders>
            <w:shd w:val="clear" w:color="auto" w:fill="auto"/>
            <w:noWrap/>
            <w:tcMar>
              <w:top w:w="15" w:type="dxa"/>
              <w:left w:w="15" w:type="dxa"/>
              <w:right w:w="15" w:type="dxa"/>
            </w:tcMar>
            <w:vAlign w:val="center"/>
          </w:tcPr>
          <w:p w14:paraId="09B2B6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kern w:val="2"/>
                <w:sz w:val="21"/>
                <w:szCs w:val="21"/>
                <w:highlight w:val="none"/>
                <w:u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一类用地筛选值</w:t>
            </w:r>
          </w:p>
        </w:tc>
        <w:tc>
          <w:tcPr>
            <w:tcW w:w="330" w:type="pct"/>
            <w:tcBorders>
              <w:tl2br w:val="nil"/>
              <w:tr2bl w:val="nil"/>
            </w:tcBorders>
            <w:shd w:val="clear" w:color="auto" w:fill="auto"/>
            <w:noWrap/>
            <w:tcMar>
              <w:top w:w="15" w:type="dxa"/>
              <w:left w:w="15" w:type="dxa"/>
              <w:right w:w="15" w:type="dxa"/>
            </w:tcMar>
            <w:vAlign w:val="center"/>
          </w:tcPr>
          <w:p w14:paraId="0706C9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17.9</w:t>
            </w:r>
          </w:p>
        </w:tc>
        <w:tc>
          <w:tcPr>
            <w:tcW w:w="330" w:type="pct"/>
            <w:tcBorders>
              <w:tl2br w:val="nil"/>
              <w:tr2bl w:val="nil"/>
            </w:tcBorders>
            <w:shd w:val="clear" w:color="auto" w:fill="auto"/>
            <w:noWrap/>
            <w:tcMar>
              <w:top w:w="15" w:type="dxa"/>
              <w:left w:w="15" w:type="dxa"/>
              <w:right w:w="15" w:type="dxa"/>
            </w:tcMar>
            <w:vAlign w:val="center"/>
          </w:tcPr>
          <w:p w14:paraId="0081A4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0.16</w:t>
            </w:r>
          </w:p>
        </w:tc>
        <w:tc>
          <w:tcPr>
            <w:tcW w:w="330" w:type="pct"/>
            <w:tcBorders>
              <w:tl2br w:val="nil"/>
              <w:tr2bl w:val="nil"/>
            </w:tcBorders>
            <w:shd w:val="clear" w:color="auto" w:fill="auto"/>
            <w:noWrap/>
            <w:tcMar>
              <w:top w:w="15" w:type="dxa"/>
              <w:left w:w="15" w:type="dxa"/>
              <w:right w:w="15" w:type="dxa"/>
            </w:tcMar>
            <w:vAlign w:val="center"/>
          </w:tcPr>
          <w:p w14:paraId="6E887A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8.49</w:t>
            </w:r>
          </w:p>
        </w:tc>
        <w:tc>
          <w:tcPr>
            <w:tcW w:w="330" w:type="pct"/>
            <w:tcBorders>
              <w:tl2br w:val="nil"/>
              <w:tr2bl w:val="nil"/>
            </w:tcBorders>
            <w:shd w:val="clear" w:color="auto" w:fill="auto"/>
            <w:noWrap/>
            <w:tcMar>
              <w:top w:w="15" w:type="dxa"/>
              <w:left w:w="15" w:type="dxa"/>
              <w:right w:w="15" w:type="dxa"/>
            </w:tcMar>
            <w:vAlign w:val="center"/>
          </w:tcPr>
          <w:p w14:paraId="5A261E9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0.09</w:t>
            </w:r>
          </w:p>
        </w:tc>
        <w:tc>
          <w:tcPr>
            <w:tcW w:w="330" w:type="pct"/>
            <w:tcBorders>
              <w:tl2br w:val="nil"/>
              <w:tr2bl w:val="nil"/>
            </w:tcBorders>
            <w:shd w:val="clear" w:color="auto" w:fill="auto"/>
            <w:noWrap/>
            <w:tcMar>
              <w:top w:w="15" w:type="dxa"/>
              <w:left w:w="15" w:type="dxa"/>
              <w:right w:w="15" w:type="dxa"/>
            </w:tcMar>
            <w:vAlign w:val="center"/>
          </w:tcPr>
          <w:p w14:paraId="1301B7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19</w:t>
            </w:r>
          </w:p>
        </w:tc>
        <w:tc>
          <w:tcPr>
            <w:tcW w:w="330" w:type="pct"/>
            <w:tcBorders>
              <w:tl2br w:val="nil"/>
              <w:tr2bl w:val="nil"/>
            </w:tcBorders>
            <w:shd w:val="clear" w:color="auto" w:fill="auto"/>
            <w:noWrap/>
            <w:tcMar>
              <w:top w:w="15" w:type="dxa"/>
              <w:left w:w="15" w:type="dxa"/>
              <w:right w:w="15" w:type="dxa"/>
            </w:tcMar>
            <w:vAlign w:val="center"/>
          </w:tcPr>
          <w:p w14:paraId="17E4BE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18</w:t>
            </w:r>
          </w:p>
        </w:tc>
        <w:tc>
          <w:tcPr>
            <w:tcW w:w="331" w:type="pct"/>
            <w:tcBorders>
              <w:tl2br w:val="nil"/>
              <w:tr2bl w:val="nil"/>
            </w:tcBorders>
            <w:shd w:val="clear" w:color="auto" w:fill="auto"/>
            <w:noWrap/>
            <w:tcMar>
              <w:top w:w="15" w:type="dxa"/>
              <w:left w:w="15" w:type="dxa"/>
              <w:right w:w="15" w:type="dxa"/>
            </w:tcMar>
            <w:vAlign w:val="center"/>
          </w:tcPr>
          <w:p w14:paraId="2ACE69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51</w:t>
            </w:r>
          </w:p>
        </w:tc>
        <w:tc>
          <w:tcPr>
            <w:tcW w:w="331" w:type="pct"/>
            <w:tcBorders>
              <w:tl2br w:val="nil"/>
              <w:tr2bl w:val="nil"/>
            </w:tcBorders>
            <w:shd w:val="clear" w:color="auto" w:fill="auto"/>
            <w:noWrap/>
            <w:tcMar>
              <w:top w:w="15" w:type="dxa"/>
              <w:left w:w="15" w:type="dxa"/>
              <w:right w:w="15" w:type="dxa"/>
            </w:tcMar>
            <w:vAlign w:val="center"/>
          </w:tcPr>
          <w:p w14:paraId="33B18E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8</w:t>
            </w:r>
            <w:r>
              <w:rPr>
                <w:rFonts w:hint="default" w:ascii="Times New Roman" w:hAnsi="Times New Roman" w:cs="Times New Roman"/>
                <w:i w:val="0"/>
                <w:color w:val="000000"/>
                <w:kern w:val="0"/>
                <w:sz w:val="21"/>
                <w:szCs w:val="21"/>
                <w:highlight w:val="none"/>
                <w:u w:val="none"/>
                <w:lang w:val="en-US" w:eastAsia="zh-CN" w:bidi="ar"/>
              </w:rPr>
              <w:t>.00</w:t>
            </w:r>
          </w:p>
        </w:tc>
      </w:tr>
      <w:tr w14:paraId="46B610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95" w:type="pct"/>
            <w:tcBorders>
              <w:tl2br w:val="nil"/>
              <w:tr2bl w:val="nil"/>
            </w:tcBorders>
            <w:shd w:val="clear" w:color="auto" w:fill="auto"/>
            <w:noWrap/>
            <w:tcMar>
              <w:top w:w="15" w:type="dxa"/>
              <w:left w:w="15" w:type="dxa"/>
              <w:right w:w="15" w:type="dxa"/>
            </w:tcMar>
            <w:vAlign w:val="center"/>
          </w:tcPr>
          <w:p w14:paraId="085BEF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w:t>
            </w:r>
          </w:p>
        </w:tc>
        <w:tc>
          <w:tcPr>
            <w:tcW w:w="369" w:type="pct"/>
            <w:tcBorders>
              <w:tl2br w:val="nil"/>
              <w:tr2bl w:val="nil"/>
            </w:tcBorders>
            <w:shd w:val="clear" w:color="auto" w:fill="auto"/>
            <w:noWrap/>
            <w:tcMar>
              <w:top w:w="15" w:type="dxa"/>
              <w:left w:w="15" w:type="dxa"/>
              <w:right w:w="15" w:type="dxa"/>
            </w:tcMar>
            <w:vAlign w:val="center"/>
          </w:tcPr>
          <w:p w14:paraId="2150CA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HR-4-75</w:t>
            </w:r>
          </w:p>
        </w:tc>
        <w:tc>
          <w:tcPr>
            <w:tcW w:w="897" w:type="pct"/>
            <w:tcBorders>
              <w:tl2br w:val="nil"/>
              <w:tr2bl w:val="nil"/>
            </w:tcBorders>
            <w:shd w:val="clear" w:color="auto" w:fill="auto"/>
            <w:noWrap/>
            <w:tcMar>
              <w:top w:w="15" w:type="dxa"/>
              <w:left w:w="15" w:type="dxa"/>
              <w:right w:w="15" w:type="dxa"/>
            </w:tcMar>
            <w:vAlign w:val="center"/>
          </w:tcPr>
          <w:p w14:paraId="0ADBCAC7">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园区边界南侧下风向75m</w:t>
            </w:r>
          </w:p>
        </w:tc>
        <w:tc>
          <w:tcPr>
            <w:tcW w:w="887" w:type="pct"/>
            <w:gridSpan w:val="2"/>
            <w:tcBorders>
              <w:tl2br w:val="nil"/>
              <w:tr2bl w:val="nil"/>
            </w:tcBorders>
            <w:shd w:val="clear" w:color="auto" w:fill="auto"/>
            <w:noWrap/>
            <w:tcMar>
              <w:top w:w="15" w:type="dxa"/>
              <w:left w:w="15" w:type="dxa"/>
              <w:right w:w="15" w:type="dxa"/>
            </w:tcMar>
            <w:vAlign w:val="center"/>
          </w:tcPr>
          <w:p w14:paraId="075D45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kern w:val="2"/>
                <w:sz w:val="21"/>
                <w:szCs w:val="21"/>
                <w:highlight w:val="none"/>
                <w:u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一类用地筛选值</w:t>
            </w:r>
          </w:p>
        </w:tc>
        <w:tc>
          <w:tcPr>
            <w:tcW w:w="330" w:type="pct"/>
            <w:tcBorders>
              <w:tl2br w:val="nil"/>
              <w:tr2bl w:val="nil"/>
            </w:tcBorders>
            <w:shd w:val="clear" w:color="auto" w:fill="auto"/>
            <w:noWrap/>
            <w:tcMar>
              <w:top w:w="15" w:type="dxa"/>
              <w:left w:w="15" w:type="dxa"/>
              <w:right w:w="15" w:type="dxa"/>
            </w:tcMar>
            <w:vAlign w:val="center"/>
          </w:tcPr>
          <w:p w14:paraId="474CB8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19.1</w:t>
            </w:r>
          </w:p>
        </w:tc>
        <w:tc>
          <w:tcPr>
            <w:tcW w:w="330" w:type="pct"/>
            <w:tcBorders>
              <w:tl2br w:val="nil"/>
              <w:tr2bl w:val="nil"/>
            </w:tcBorders>
            <w:shd w:val="clear" w:color="auto" w:fill="auto"/>
            <w:noWrap/>
            <w:tcMar>
              <w:top w:w="15" w:type="dxa"/>
              <w:left w:w="15" w:type="dxa"/>
              <w:right w:w="15" w:type="dxa"/>
            </w:tcMar>
            <w:vAlign w:val="center"/>
          </w:tcPr>
          <w:p w14:paraId="64B819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0.12</w:t>
            </w:r>
          </w:p>
        </w:tc>
        <w:tc>
          <w:tcPr>
            <w:tcW w:w="330" w:type="pct"/>
            <w:tcBorders>
              <w:tl2br w:val="nil"/>
              <w:tr2bl w:val="nil"/>
            </w:tcBorders>
            <w:shd w:val="clear" w:color="auto" w:fill="auto"/>
            <w:noWrap/>
            <w:tcMar>
              <w:top w:w="15" w:type="dxa"/>
              <w:left w:w="15" w:type="dxa"/>
              <w:right w:w="15" w:type="dxa"/>
            </w:tcMar>
            <w:vAlign w:val="center"/>
          </w:tcPr>
          <w:p w14:paraId="6AFAAC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8.19</w:t>
            </w:r>
          </w:p>
        </w:tc>
        <w:tc>
          <w:tcPr>
            <w:tcW w:w="330" w:type="pct"/>
            <w:tcBorders>
              <w:tl2br w:val="nil"/>
              <w:tr2bl w:val="nil"/>
            </w:tcBorders>
            <w:shd w:val="clear" w:color="auto" w:fill="auto"/>
            <w:noWrap/>
            <w:tcMar>
              <w:top w:w="15" w:type="dxa"/>
              <w:left w:w="15" w:type="dxa"/>
              <w:right w:w="15" w:type="dxa"/>
            </w:tcMar>
            <w:vAlign w:val="center"/>
          </w:tcPr>
          <w:p w14:paraId="35A1B5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0.08</w:t>
            </w:r>
          </w:p>
        </w:tc>
        <w:tc>
          <w:tcPr>
            <w:tcW w:w="330" w:type="pct"/>
            <w:tcBorders>
              <w:tl2br w:val="nil"/>
              <w:tr2bl w:val="nil"/>
            </w:tcBorders>
            <w:shd w:val="clear" w:color="auto" w:fill="auto"/>
            <w:noWrap/>
            <w:tcMar>
              <w:top w:w="15" w:type="dxa"/>
              <w:left w:w="15" w:type="dxa"/>
              <w:right w:w="15" w:type="dxa"/>
            </w:tcMar>
            <w:vAlign w:val="center"/>
          </w:tcPr>
          <w:p w14:paraId="1F1E54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21</w:t>
            </w:r>
          </w:p>
        </w:tc>
        <w:tc>
          <w:tcPr>
            <w:tcW w:w="330" w:type="pct"/>
            <w:tcBorders>
              <w:tl2br w:val="nil"/>
              <w:tr2bl w:val="nil"/>
            </w:tcBorders>
            <w:shd w:val="clear" w:color="auto" w:fill="auto"/>
            <w:noWrap/>
            <w:tcMar>
              <w:top w:w="15" w:type="dxa"/>
              <w:left w:w="15" w:type="dxa"/>
              <w:right w:w="15" w:type="dxa"/>
            </w:tcMar>
            <w:vAlign w:val="center"/>
          </w:tcPr>
          <w:p w14:paraId="4A576F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21</w:t>
            </w:r>
          </w:p>
        </w:tc>
        <w:tc>
          <w:tcPr>
            <w:tcW w:w="331" w:type="pct"/>
            <w:tcBorders>
              <w:tl2br w:val="nil"/>
              <w:tr2bl w:val="nil"/>
            </w:tcBorders>
            <w:shd w:val="clear" w:color="auto" w:fill="auto"/>
            <w:noWrap/>
            <w:tcMar>
              <w:top w:w="15" w:type="dxa"/>
              <w:left w:w="15" w:type="dxa"/>
              <w:right w:w="15" w:type="dxa"/>
            </w:tcMar>
            <w:vAlign w:val="center"/>
          </w:tcPr>
          <w:p w14:paraId="5FD0F6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53</w:t>
            </w:r>
          </w:p>
        </w:tc>
        <w:tc>
          <w:tcPr>
            <w:tcW w:w="331" w:type="pct"/>
            <w:tcBorders>
              <w:tl2br w:val="nil"/>
              <w:tr2bl w:val="nil"/>
            </w:tcBorders>
            <w:shd w:val="clear" w:color="auto" w:fill="auto"/>
            <w:noWrap/>
            <w:tcMar>
              <w:top w:w="15" w:type="dxa"/>
              <w:left w:w="15" w:type="dxa"/>
              <w:right w:w="15" w:type="dxa"/>
            </w:tcMar>
            <w:vAlign w:val="center"/>
          </w:tcPr>
          <w:p w14:paraId="6417AD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6.8</w:t>
            </w:r>
            <w:r>
              <w:rPr>
                <w:rFonts w:hint="default" w:ascii="Times New Roman" w:hAnsi="Times New Roman" w:cs="Times New Roman"/>
                <w:i w:val="0"/>
                <w:color w:val="000000"/>
                <w:kern w:val="0"/>
                <w:sz w:val="21"/>
                <w:szCs w:val="21"/>
                <w:highlight w:val="none"/>
                <w:u w:val="none"/>
                <w:lang w:val="en-US" w:eastAsia="zh-CN" w:bidi="ar"/>
              </w:rPr>
              <w:t>0</w:t>
            </w:r>
          </w:p>
        </w:tc>
      </w:tr>
      <w:tr w14:paraId="6B9A01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195" w:type="pct"/>
            <w:tcBorders>
              <w:tl2br w:val="nil"/>
              <w:tr2bl w:val="nil"/>
            </w:tcBorders>
            <w:shd w:val="clear" w:color="auto" w:fill="auto"/>
            <w:noWrap/>
            <w:tcMar>
              <w:top w:w="15" w:type="dxa"/>
              <w:left w:w="15" w:type="dxa"/>
              <w:right w:w="15" w:type="dxa"/>
            </w:tcMar>
            <w:vAlign w:val="center"/>
          </w:tcPr>
          <w:p w14:paraId="63A17F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w:t>
            </w:r>
          </w:p>
        </w:tc>
        <w:tc>
          <w:tcPr>
            <w:tcW w:w="369" w:type="pct"/>
            <w:tcBorders>
              <w:tl2br w:val="nil"/>
              <w:tr2bl w:val="nil"/>
            </w:tcBorders>
            <w:shd w:val="clear" w:color="auto" w:fill="auto"/>
            <w:noWrap/>
            <w:tcMar>
              <w:top w:w="15" w:type="dxa"/>
              <w:left w:w="15" w:type="dxa"/>
              <w:right w:w="15" w:type="dxa"/>
            </w:tcMar>
            <w:vAlign w:val="center"/>
          </w:tcPr>
          <w:p w14:paraId="7BB176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HR-4-200</w:t>
            </w:r>
          </w:p>
        </w:tc>
        <w:tc>
          <w:tcPr>
            <w:tcW w:w="897" w:type="pct"/>
            <w:tcBorders>
              <w:tl2br w:val="nil"/>
              <w:tr2bl w:val="nil"/>
            </w:tcBorders>
            <w:shd w:val="clear" w:color="auto" w:fill="auto"/>
            <w:noWrap/>
            <w:tcMar>
              <w:top w:w="15" w:type="dxa"/>
              <w:left w:w="15" w:type="dxa"/>
              <w:right w:w="15" w:type="dxa"/>
            </w:tcMar>
            <w:vAlign w:val="center"/>
          </w:tcPr>
          <w:p w14:paraId="3F2535AD">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园区边界南侧下风向200m</w:t>
            </w:r>
          </w:p>
        </w:tc>
        <w:tc>
          <w:tcPr>
            <w:tcW w:w="887" w:type="pct"/>
            <w:gridSpan w:val="2"/>
            <w:tcBorders>
              <w:tl2br w:val="nil"/>
              <w:tr2bl w:val="nil"/>
            </w:tcBorders>
            <w:shd w:val="clear" w:color="auto" w:fill="auto"/>
            <w:noWrap/>
            <w:tcMar>
              <w:top w:w="15" w:type="dxa"/>
              <w:left w:w="15" w:type="dxa"/>
              <w:right w:w="15" w:type="dxa"/>
            </w:tcMar>
            <w:vAlign w:val="center"/>
          </w:tcPr>
          <w:p w14:paraId="616C5E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一类用地筛选值</w:t>
            </w:r>
          </w:p>
        </w:tc>
        <w:tc>
          <w:tcPr>
            <w:tcW w:w="330" w:type="pct"/>
            <w:tcBorders>
              <w:tl2br w:val="nil"/>
              <w:tr2bl w:val="nil"/>
            </w:tcBorders>
            <w:shd w:val="clear" w:color="auto" w:fill="auto"/>
            <w:noWrap/>
            <w:tcMar>
              <w:top w:w="15" w:type="dxa"/>
              <w:left w:w="15" w:type="dxa"/>
              <w:right w:w="15" w:type="dxa"/>
            </w:tcMar>
            <w:vAlign w:val="center"/>
          </w:tcPr>
          <w:p w14:paraId="12586D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16.4</w:t>
            </w:r>
          </w:p>
        </w:tc>
        <w:tc>
          <w:tcPr>
            <w:tcW w:w="330" w:type="pct"/>
            <w:tcBorders>
              <w:tl2br w:val="nil"/>
              <w:tr2bl w:val="nil"/>
            </w:tcBorders>
            <w:shd w:val="clear" w:color="auto" w:fill="auto"/>
            <w:noWrap/>
            <w:tcMar>
              <w:top w:w="15" w:type="dxa"/>
              <w:left w:w="15" w:type="dxa"/>
              <w:right w:w="15" w:type="dxa"/>
            </w:tcMar>
            <w:vAlign w:val="center"/>
          </w:tcPr>
          <w:p w14:paraId="478890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0.09</w:t>
            </w:r>
          </w:p>
        </w:tc>
        <w:tc>
          <w:tcPr>
            <w:tcW w:w="330" w:type="pct"/>
            <w:tcBorders>
              <w:tl2br w:val="nil"/>
              <w:tr2bl w:val="nil"/>
            </w:tcBorders>
            <w:shd w:val="clear" w:color="auto" w:fill="auto"/>
            <w:noWrap/>
            <w:tcMar>
              <w:top w:w="15" w:type="dxa"/>
              <w:left w:w="15" w:type="dxa"/>
              <w:right w:w="15" w:type="dxa"/>
            </w:tcMar>
            <w:vAlign w:val="center"/>
          </w:tcPr>
          <w:p w14:paraId="51CBD7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9.45</w:t>
            </w:r>
          </w:p>
        </w:tc>
        <w:tc>
          <w:tcPr>
            <w:tcW w:w="330" w:type="pct"/>
            <w:tcBorders>
              <w:tl2br w:val="nil"/>
              <w:tr2bl w:val="nil"/>
            </w:tcBorders>
            <w:shd w:val="clear" w:color="auto" w:fill="auto"/>
            <w:noWrap/>
            <w:tcMar>
              <w:top w:w="15" w:type="dxa"/>
              <w:left w:w="15" w:type="dxa"/>
              <w:right w:w="15" w:type="dxa"/>
            </w:tcMar>
            <w:vAlign w:val="center"/>
          </w:tcPr>
          <w:p w14:paraId="0AE64F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w:t>
            </w:r>
          </w:p>
        </w:tc>
        <w:tc>
          <w:tcPr>
            <w:tcW w:w="330" w:type="pct"/>
            <w:tcBorders>
              <w:tl2br w:val="nil"/>
              <w:tr2bl w:val="nil"/>
            </w:tcBorders>
            <w:shd w:val="clear" w:color="auto" w:fill="auto"/>
            <w:noWrap/>
            <w:tcMar>
              <w:top w:w="15" w:type="dxa"/>
              <w:left w:w="15" w:type="dxa"/>
              <w:right w:w="15" w:type="dxa"/>
            </w:tcMar>
            <w:vAlign w:val="center"/>
          </w:tcPr>
          <w:p w14:paraId="5D2F43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21</w:t>
            </w:r>
          </w:p>
        </w:tc>
        <w:tc>
          <w:tcPr>
            <w:tcW w:w="330" w:type="pct"/>
            <w:tcBorders>
              <w:tl2br w:val="nil"/>
              <w:tr2bl w:val="nil"/>
            </w:tcBorders>
            <w:shd w:val="clear" w:color="auto" w:fill="auto"/>
            <w:noWrap/>
            <w:tcMar>
              <w:top w:w="15" w:type="dxa"/>
              <w:left w:w="15" w:type="dxa"/>
              <w:right w:w="15" w:type="dxa"/>
            </w:tcMar>
            <w:vAlign w:val="center"/>
          </w:tcPr>
          <w:p w14:paraId="067BC6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27</w:t>
            </w:r>
          </w:p>
        </w:tc>
        <w:tc>
          <w:tcPr>
            <w:tcW w:w="331" w:type="pct"/>
            <w:tcBorders>
              <w:tl2br w:val="nil"/>
              <w:tr2bl w:val="nil"/>
            </w:tcBorders>
            <w:shd w:val="clear" w:color="auto" w:fill="auto"/>
            <w:noWrap/>
            <w:tcMar>
              <w:top w:w="15" w:type="dxa"/>
              <w:left w:w="15" w:type="dxa"/>
              <w:right w:w="15" w:type="dxa"/>
            </w:tcMar>
            <w:vAlign w:val="center"/>
          </w:tcPr>
          <w:p w14:paraId="46CE5F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51</w:t>
            </w:r>
          </w:p>
        </w:tc>
        <w:tc>
          <w:tcPr>
            <w:tcW w:w="331" w:type="pct"/>
            <w:tcBorders>
              <w:tl2br w:val="nil"/>
              <w:tr2bl w:val="nil"/>
            </w:tcBorders>
            <w:shd w:val="clear" w:color="auto" w:fill="auto"/>
            <w:noWrap/>
            <w:tcMar>
              <w:top w:w="15" w:type="dxa"/>
              <w:left w:w="15" w:type="dxa"/>
              <w:right w:w="15" w:type="dxa"/>
            </w:tcMar>
            <w:vAlign w:val="center"/>
          </w:tcPr>
          <w:p w14:paraId="2F0664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5.8</w:t>
            </w:r>
            <w:r>
              <w:rPr>
                <w:rFonts w:hint="default" w:ascii="Times New Roman" w:hAnsi="Times New Roman" w:cs="Times New Roman"/>
                <w:i w:val="0"/>
                <w:color w:val="000000"/>
                <w:kern w:val="0"/>
                <w:sz w:val="21"/>
                <w:szCs w:val="21"/>
                <w:highlight w:val="none"/>
                <w:u w:val="none"/>
                <w:lang w:val="en-US" w:eastAsia="zh-CN" w:bidi="ar"/>
              </w:rPr>
              <w:t>0</w:t>
            </w:r>
          </w:p>
        </w:tc>
      </w:tr>
      <w:tr w14:paraId="1A3EC5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95" w:type="pct"/>
            <w:tcBorders>
              <w:tl2br w:val="nil"/>
              <w:tr2bl w:val="nil"/>
            </w:tcBorders>
            <w:shd w:val="clear" w:color="auto" w:fill="auto"/>
            <w:noWrap/>
            <w:tcMar>
              <w:top w:w="15" w:type="dxa"/>
              <w:left w:w="15" w:type="dxa"/>
              <w:right w:w="15" w:type="dxa"/>
            </w:tcMar>
            <w:vAlign w:val="center"/>
          </w:tcPr>
          <w:p w14:paraId="702DA7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12</w:t>
            </w:r>
          </w:p>
        </w:tc>
        <w:tc>
          <w:tcPr>
            <w:tcW w:w="369" w:type="pct"/>
            <w:tcBorders>
              <w:tl2br w:val="nil"/>
              <w:tr2bl w:val="nil"/>
            </w:tcBorders>
            <w:shd w:val="clear" w:color="auto" w:fill="auto"/>
            <w:noWrap/>
            <w:tcMar>
              <w:top w:w="15" w:type="dxa"/>
              <w:left w:w="15" w:type="dxa"/>
              <w:right w:w="15" w:type="dxa"/>
            </w:tcMar>
            <w:vAlign w:val="center"/>
          </w:tcPr>
          <w:p w14:paraId="57F1C9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HR-4-400</w:t>
            </w:r>
          </w:p>
        </w:tc>
        <w:tc>
          <w:tcPr>
            <w:tcW w:w="897" w:type="pct"/>
            <w:tcBorders>
              <w:tl2br w:val="nil"/>
              <w:tr2bl w:val="nil"/>
            </w:tcBorders>
            <w:shd w:val="clear" w:color="auto" w:fill="auto"/>
            <w:noWrap/>
            <w:tcMar>
              <w:top w:w="15" w:type="dxa"/>
              <w:left w:w="15" w:type="dxa"/>
              <w:right w:w="15" w:type="dxa"/>
            </w:tcMar>
            <w:vAlign w:val="center"/>
          </w:tcPr>
          <w:p w14:paraId="0D86F198">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园区边界南侧下风向400m</w:t>
            </w:r>
          </w:p>
        </w:tc>
        <w:tc>
          <w:tcPr>
            <w:tcW w:w="887" w:type="pct"/>
            <w:gridSpan w:val="2"/>
            <w:tcBorders>
              <w:tl2br w:val="nil"/>
              <w:tr2bl w:val="nil"/>
            </w:tcBorders>
            <w:shd w:val="clear" w:color="auto" w:fill="auto"/>
            <w:noWrap/>
            <w:tcMar>
              <w:top w:w="15" w:type="dxa"/>
              <w:left w:w="15" w:type="dxa"/>
              <w:right w:w="15" w:type="dxa"/>
            </w:tcMar>
            <w:vAlign w:val="center"/>
          </w:tcPr>
          <w:p w14:paraId="68F0D5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一类用地筛选值</w:t>
            </w:r>
          </w:p>
        </w:tc>
        <w:tc>
          <w:tcPr>
            <w:tcW w:w="330" w:type="pct"/>
            <w:tcBorders>
              <w:tl2br w:val="nil"/>
              <w:tr2bl w:val="nil"/>
            </w:tcBorders>
            <w:shd w:val="clear" w:color="auto" w:fill="auto"/>
            <w:noWrap/>
            <w:tcMar>
              <w:top w:w="15" w:type="dxa"/>
              <w:left w:w="15" w:type="dxa"/>
              <w:right w:w="15" w:type="dxa"/>
            </w:tcMar>
            <w:vAlign w:val="center"/>
          </w:tcPr>
          <w:p w14:paraId="64D91A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29.3</w:t>
            </w:r>
          </w:p>
        </w:tc>
        <w:tc>
          <w:tcPr>
            <w:tcW w:w="330" w:type="pct"/>
            <w:tcBorders>
              <w:tl2br w:val="nil"/>
              <w:tr2bl w:val="nil"/>
            </w:tcBorders>
            <w:shd w:val="clear" w:color="auto" w:fill="auto"/>
            <w:noWrap/>
            <w:tcMar>
              <w:top w:w="15" w:type="dxa"/>
              <w:left w:w="15" w:type="dxa"/>
              <w:right w:w="15" w:type="dxa"/>
            </w:tcMar>
            <w:vAlign w:val="center"/>
          </w:tcPr>
          <w:p w14:paraId="1FDCDE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0.23</w:t>
            </w:r>
          </w:p>
        </w:tc>
        <w:tc>
          <w:tcPr>
            <w:tcW w:w="330" w:type="pct"/>
            <w:tcBorders>
              <w:tl2br w:val="nil"/>
              <w:tr2bl w:val="nil"/>
            </w:tcBorders>
            <w:shd w:val="clear" w:color="auto" w:fill="auto"/>
            <w:noWrap/>
            <w:tcMar>
              <w:top w:w="15" w:type="dxa"/>
              <w:left w:w="15" w:type="dxa"/>
              <w:right w:w="15" w:type="dxa"/>
            </w:tcMar>
            <w:vAlign w:val="center"/>
          </w:tcPr>
          <w:p w14:paraId="5129F5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8.35</w:t>
            </w:r>
          </w:p>
        </w:tc>
        <w:tc>
          <w:tcPr>
            <w:tcW w:w="330" w:type="pct"/>
            <w:tcBorders>
              <w:tl2br w:val="nil"/>
              <w:tr2bl w:val="nil"/>
            </w:tcBorders>
            <w:shd w:val="clear" w:color="auto" w:fill="auto"/>
            <w:noWrap/>
            <w:tcMar>
              <w:top w:w="15" w:type="dxa"/>
              <w:left w:w="15" w:type="dxa"/>
              <w:right w:w="15" w:type="dxa"/>
            </w:tcMar>
            <w:vAlign w:val="center"/>
          </w:tcPr>
          <w:p w14:paraId="731CD9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0.09</w:t>
            </w:r>
          </w:p>
        </w:tc>
        <w:tc>
          <w:tcPr>
            <w:tcW w:w="330" w:type="pct"/>
            <w:tcBorders>
              <w:tl2br w:val="nil"/>
              <w:tr2bl w:val="nil"/>
            </w:tcBorders>
            <w:shd w:val="clear" w:color="auto" w:fill="auto"/>
            <w:noWrap/>
            <w:tcMar>
              <w:top w:w="15" w:type="dxa"/>
              <w:left w:w="15" w:type="dxa"/>
              <w:right w:w="15" w:type="dxa"/>
            </w:tcMar>
            <w:vAlign w:val="center"/>
          </w:tcPr>
          <w:p w14:paraId="23D97F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31</w:t>
            </w:r>
          </w:p>
        </w:tc>
        <w:tc>
          <w:tcPr>
            <w:tcW w:w="330" w:type="pct"/>
            <w:tcBorders>
              <w:tl2br w:val="nil"/>
              <w:tr2bl w:val="nil"/>
            </w:tcBorders>
            <w:shd w:val="clear" w:color="auto" w:fill="auto"/>
            <w:noWrap/>
            <w:tcMar>
              <w:top w:w="15" w:type="dxa"/>
              <w:left w:w="15" w:type="dxa"/>
              <w:right w:w="15" w:type="dxa"/>
            </w:tcMar>
            <w:vAlign w:val="center"/>
          </w:tcPr>
          <w:p w14:paraId="0F44ED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71</w:t>
            </w:r>
          </w:p>
        </w:tc>
        <w:tc>
          <w:tcPr>
            <w:tcW w:w="331" w:type="pct"/>
            <w:tcBorders>
              <w:tl2br w:val="nil"/>
              <w:tr2bl w:val="nil"/>
            </w:tcBorders>
            <w:shd w:val="clear" w:color="auto" w:fill="auto"/>
            <w:noWrap/>
            <w:tcMar>
              <w:top w:w="15" w:type="dxa"/>
              <w:left w:w="15" w:type="dxa"/>
              <w:right w:w="15" w:type="dxa"/>
            </w:tcMar>
            <w:vAlign w:val="center"/>
          </w:tcPr>
          <w:p w14:paraId="600B32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172</w:t>
            </w:r>
          </w:p>
        </w:tc>
        <w:tc>
          <w:tcPr>
            <w:tcW w:w="331" w:type="pct"/>
            <w:tcBorders>
              <w:tl2br w:val="nil"/>
              <w:tr2bl w:val="nil"/>
            </w:tcBorders>
            <w:shd w:val="clear" w:color="auto" w:fill="auto"/>
            <w:noWrap/>
            <w:tcMar>
              <w:top w:w="15" w:type="dxa"/>
              <w:left w:w="15" w:type="dxa"/>
              <w:right w:w="15" w:type="dxa"/>
            </w:tcMar>
            <w:vAlign w:val="center"/>
          </w:tcPr>
          <w:p w14:paraId="58BB8A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8.4</w:t>
            </w:r>
            <w:r>
              <w:rPr>
                <w:rFonts w:hint="default" w:ascii="Times New Roman" w:hAnsi="Times New Roman" w:cs="Times New Roman"/>
                <w:i w:val="0"/>
                <w:color w:val="000000"/>
                <w:kern w:val="0"/>
                <w:sz w:val="21"/>
                <w:szCs w:val="21"/>
                <w:highlight w:val="none"/>
                <w:u w:val="none"/>
                <w:lang w:val="en-US" w:eastAsia="zh-CN" w:bidi="ar"/>
              </w:rPr>
              <w:t>0</w:t>
            </w:r>
          </w:p>
        </w:tc>
      </w:tr>
      <w:tr w14:paraId="643946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195" w:type="pct"/>
            <w:tcBorders>
              <w:tl2br w:val="nil"/>
              <w:tr2bl w:val="nil"/>
            </w:tcBorders>
            <w:shd w:val="clear" w:color="auto" w:fill="auto"/>
            <w:noWrap/>
            <w:tcMar>
              <w:top w:w="15" w:type="dxa"/>
              <w:left w:w="15" w:type="dxa"/>
              <w:right w:w="15" w:type="dxa"/>
            </w:tcMar>
            <w:vAlign w:val="center"/>
          </w:tcPr>
          <w:p w14:paraId="0A76C1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13</w:t>
            </w:r>
          </w:p>
        </w:tc>
        <w:tc>
          <w:tcPr>
            <w:tcW w:w="369" w:type="pct"/>
            <w:tcBorders>
              <w:tl2br w:val="nil"/>
              <w:tr2bl w:val="nil"/>
            </w:tcBorders>
            <w:shd w:val="clear" w:color="auto" w:fill="auto"/>
            <w:noWrap/>
            <w:tcMar>
              <w:top w:w="15" w:type="dxa"/>
              <w:left w:w="15" w:type="dxa"/>
              <w:right w:w="15" w:type="dxa"/>
            </w:tcMar>
            <w:vAlign w:val="center"/>
          </w:tcPr>
          <w:p w14:paraId="7B7DFE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HR-5</w:t>
            </w:r>
          </w:p>
        </w:tc>
        <w:tc>
          <w:tcPr>
            <w:tcW w:w="897" w:type="pct"/>
            <w:tcBorders>
              <w:tl2br w:val="nil"/>
              <w:tr2bl w:val="nil"/>
            </w:tcBorders>
            <w:shd w:val="clear" w:color="auto" w:fill="auto"/>
            <w:noWrap/>
            <w:tcMar>
              <w:top w:w="15" w:type="dxa"/>
              <w:left w:w="15" w:type="dxa"/>
              <w:right w:w="15" w:type="dxa"/>
            </w:tcMar>
            <w:vAlign w:val="center"/>
          </w:tcPr>
          <w:p w14:paraId="24CD7737">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园区边界北侧上风向20m</w:t>
            </w:r>
            <w:r>
              <w:rPr>
                <w:rFonts w:hint="eastAsia" w:cs="Times New Roman"/>
                <w:sz w:val="21"/>
                <w:szCs w:val="21"/>
                <w:highlight w:val="none"/>
                <w:lang w:val="en-US" w:eastAsia="zh-CN"/>
              </w:rPr>
              <w:t>外</w:t>
            </w:r>
          </w:p>
        </w:tc>
        <w:tc>
          <w:tcPr>
            <w:tcW w:w="887" w:type="pct"/>
            <w:gridSpan w:val="2"/>
            <w:tcBorders>
              <w:tl2br w:val="nil"/>
              <w:tr2bl w:val="nil"/>
            </w:tcBorders>
            <w:shd w:val="clear" w:color="auto" w:fill="auto"/>
            <w:noWrap/>
            <w:tcMar>
              <w:top w:w="15" w:type="dxa"/>
              <w:left w:w="15" w:type="dxa"/>
              <w:right w:w="15" w:type="dxa"/>
            </w:tcMar>
            <w:vAlign w:val="center"/>
          </w:tcPr>
          <w:p w14:paraId="55EC2A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一类用地筛选值</w:t>
            </w:r>
          </w:p>
        </w:tc>
        <w:tc>
          <w:tcPr>
            <w:tcW w:w="330" w:type="pct"/>
            <w:tcBorders>
              <w:tl2br w:val="nil"/>
              <w:tr2bl w:val="nil"/>
            </w:tcBorders>
            <w:shd w:val="clear" w:color="auto" w:fill="auto"/>
            <w:noWrap/>
            <w:tcMar>
              <w:top w:w="15" w:type="dxa"/>
              <w:left w:w="15" w:type="dxa"/>
              <w:right w:w="15" w:type="dxa"/>
            </w:tcMar>
            <w:vAlign w:val="center"/>
          </w:tcPr>
          <w:p w14:paraId="00B979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20.2</w:t>
            </w:r>
          </w:p>
        </w:tc>
        <w:tc>
          <w:tcPr>
            <w:tcW w:w="330" w:type="pct"/>
            <w:tcBorders>
              <w:tl2br w:val="nil"/>
              <w:tr2bl w:val="nil"/>
            </w:tcBorders>
            <w:shd w:val="clear" w:color="auto" w:fill="auto"/>
            <w:noWrap/>
            <w:tcMar>
              <w:top w:w="15" w:type="dxa"/>
              <w:left w:w="15" w:type="dxa"/>
              <w:right w:w="15" w:type="dxa"/>
            </w:tcMar>
            <w:vAlign w:val="center"/>
          </w:tcPr>
          <w:p w14:paraId="559C60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0.14</w:t>
            </w:r>
          </w:p>
        </w:tc>
        <w:tc>
          <w:tcPr>
            <w:tcW w:w="330" w:type="pct"/>
            <w:tcBorders>
              <w:tl2br w:val="nil"/>
              <w:tr2bl w:val="nil"/>
            </w:tcBorders>
            <w:shd w:val="clear" w:color="auto" w:fill="auto"/>
            <w:noWrap/>
            <w:tcMar>
              <w:top w:w="15" w:type="dxa"/>
              <w:left w:w="15" w:type="dxa"/>
              <w:right w:w="15" w:type="dxa"/>
            </w:tcMar>
            <w:vAlign w:val="center"/>
          </w:tcPr>
          <w:p w14:paraId="2E681F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8.35</w:t>
            </w:r>
          </w:p>
        </w:tc>
        <w:tc>
          <w:tcPr>
            <w:tcW w:w="330" w:type="pct"/>
            <w:tcBorders>
              <w:tl2br w:val="nil"/>
              <w:tr2bl w:val="nil"/>
            </w:tcBorders>
            <w:shd w:val="clear" w:color="auto" w:fill="auto"/>
            <w:noWrap/>
            <w:tcMar>
              <w:top w:w="15" w:type="dxa"/>
              <w:left w:w="15" w:type="dxa"/>
              <w:right w:w="15" w:type="dxa"/>
            </w:tcMar>
            <w:vAlign w:val="center"/>
          </w:tcPr>
          <w:p w14:paraId="42CD13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0.08</w:t>
            </w:r>
          </w:p>
        </w:tc>
        <w:tc>
          <w:tcPr>
            <w:tcW w:w="330" w:type="pct"/>
            <w:tcBorders>
              <w:tl2br w:val="nil"/>
              <w:tr2bl w:val="nil"/>
            </w:tcBorders>
            <w:shd w:val="clear" w:color="auto" w:fill="auto"/>
            <w:noWrap/>
            <w:tcMar>
              <w:top w:w="15" w:type="dxa"/>
              <w:left w:w="15" w:type="dxa"/>
              <w:right w:w="15" w:type="dxa"/>
            </w:tcMar>
            <w:vAlign w:val="center"/>
          </w:tcPr>
          <w:p w14:paraId="690726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22</w:t>
            </w:r>
          </w:p>
        </w:tc>
        <w:tc>
          <w:tcPr>
            <w:tcW w:w="330" w:type="pct"/>
            <w:tcBorders>
              <w:tl2br w:val="nil"/>
              <w:tr2bl w:val="nil"/>
            </w:tcBorders>
            <w:shd w:val="clear" w:color="auto" w:fill="auto"/>
            <w:noWrap/>
            <w:tcMar>
              <w:top w:w="15" w:type="dxa"/>
              <w:left w:w="15" w:type="dxa"/>
              <w:right w:w="15" w:type="dxa"/>
            </w:tcMar>
            <w:vAlign w:val="center"/>
          </w:tcPr>
          <w:p w14:paraId="6123CD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25</w:t>
            </w:r>
          </w:p>
        </w:tc>
        <w:tc>
          <w:tcPr>
            <w:tcW w:w="331" w:type="pct"/>
            <w:tcBorders>
              <w:tl2br w:val="nil"/>
              <w:tr2bl w:val="nil"/>
            </w:tcBorders>
            <w:shd w:val="clear" w:color="auto" w:fill="auto"/>
            <w:noWrap/>
            <w:tcMar>
              <w:top w:w="15" w:type="dxa"/>
              <w:left w:w="15" w:type="dxa"/>
              <w:right w:w="15" w:type="dxa"/>
            </w:tcMar>
            <w:vAlign w:val="center"/>
          </w:tcPr>
          <w:p w14:paraId="447077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41</w:t>
            </w:r>
          </w:p>
        </w:tc>
        <w:tc>
          <w:tcPr>
            <w:tcW w:w="331" w:type="pct"/>
            <w:tcBorders>
              <w:tl2br w:val="nil"/>
              <w:tr2bl w:val="nil"/>
            </w:tcBorders>
            <w:shd w:val="clear" w:color="auto" w:fill="auto"/>
            <w:noWrap/>
            <w:tcMar>
              <w:top w:w="15" w:type="dxa"/>
              <w:left w:w="15" w:type="dxa"/>
              <w:right w:w="15" w:type="dxa"/>
            </w:tcMar>
            <w:vAlign w:val="center"/>
          </w:tcPr>
          <w:p w14:paraId="730204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7.2</w:t>
            </w:r>
            <w:r>
              <w:rPr>
                <w:rFonts w:hint="default" w:ascii="Times New Roman" w:hAnsi="Times New Roman" w:cs="Times New Roman"/>
                <w:i w:val="0"/>
                <w:color w:val="000000"/>
                <w:kern w:val="0"/>
                <w:sz w:val="21"/>
                <w:szCs w:val="21"/>
                <w:highlight w:val="none"/>
                <w:u w:val="none"/>
                <w:lang w:val="en-US" w:eastAsia="zh-CN" w:bidi="ar"/>
              </w:rPr>
              <w:t>0</w:t>
            </w:r>
          </w:p>
        </w:tc>
      </w:tr>
      <w:tr w14:paraId="3E3BAE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95" w:type="pct"/>
            <w:tcBorders>
              <w:tl2br w:val="nil"/>
              <w:tr2bl w:val="nil"/>
            </w:tcBorders>
            <w:shd w:val="clear" w:color="auto" w:fill="auto"/>
            <w:noWrap/>
            <w:tcMar>
              <w:top w:w="15" w:type="dxa"/>
              <w:left w:w="15" w:type="dxa"/>
              <w:right w:w="15" w:type="dxa"/>
            </w:tcMar>
            <w:vAlign w:val="center"/>
          </w:tcPr>
          <w:p w14:paraId="5C3707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14</w:t>
            </w:r>
          </w:p>
        </w:tc>
        <w:tc>
          <w:tcPr>
            <w:tcW w:w="369" w:type="pct"/>
            <w:tcBorders>
              <w:tl2br w:val="nil"/>
              <w:tr2bl w:val="nil"/>
            </w:tcBorders>
            <w:shd w:val="clear" w:color="auto" w:fill="auto"/>
            <w:noWrap/>
            <w:tcMar>
              <w:top w:w="15" w:type="dxa"/>
              <w:left w:w="15" w:type="dxa"/>
              <w:right w:w="15" w:type="dxa"/>
            </w:tcMar>
            <w:vAlign w:val="center"/>
          </w:tcPr>
          <w:p w14:paraId="614438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HR-6</w:t>
            </w:r>
          </w:p>
        </w:tc>
        <w:tc>
          <w:tcPr>
            <w:tcW w:w="897" w:type="pct"/>
            <w:tcBorders>
              <w:tl2br w:val="nil"/>
              <w:tr2bl w:val="nil"/>
            </w:tcBorders>
            <w:shd w:val="clear" w:color="auto" w:fill="auto"/>
            <w:noWrap/>
            <w:tcMar>
              <w:top w:w="15" w:type="dxa"/>
              <w:left w:w="15" w:type="dxa"/>
              <w:right w:w="15" w:type="dxa"/>
            </w:tcMar>
            <w:vAlign w:val="center"/>
          </w:tcPr>
          <w:p w14:paraId="5C6B28CF">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园区边界东侧上风向20m</w:t>
            </w:r>
            <w:r>
              <w:rPr>
                <w:rFonts w:hint="eastAsia" w:cs="Times New Roman"/>
                <w:sz w:val="21"/>
                <w:szCs w:val="21"/>
                <w:highlight w:val="none"/>
                <w:lang w:val="en-US" w:eastAsia="zh-CN"/>
              </w:rPr>
              <w:t>外</w:t>
            </w:r>
          </w:p>
        </w:tc>
        <w:tc>
          <w:tcPr>
            <w:tcW w:w="887" w:type="pct"/>
            <w:gridSpan w:val="2"/>
            <w:tcBorders>
              <w:tl2br w:val="nil"/>
              <w:tr2bl w:val="nil"/>
            </w:tcBorders>
            <w:shd w:val="clear" w:color="auto" w:fill="auto"/>
            <w:noWrap/>
            <w:tcMar>
              <w:top w:w="15" w:type="dxa"/>
              <w:left w:w="15" w:type="dxa"/>
              <w:right w:w="15" w:type="dxa"/>
            </w:tcMar>
            <w:vAlign w:val="center"/>
          </w:tcPr>
          <w:p w14:paraId="3752B7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一类用地筛选值</w:t>
            </w:r>
          </w:p>
        </w:tc>
        <w:tc>
          <w:tcPr>
            <w:tcW w:w="330" w:type="pct"/>
            <w:tcBorders>
              <w:tl2br w:val="nil"/>
              <w:tr2bl w:val="nil"/>
            </w:tcBorders>
            <w:shd w:val="clear" w:color="auto" w:fill="auto"/>
            <w:noWrap/>
            <w:tcMar>
              <w:top w:w="15" w:type="dxa"/>
              <w:left w:w="15" w:type="dxa"/>
              <w:right w:w="15" w:type="dxa"/>
            </w:tcMar>
            <w:vAlign w:val="center"/>
          </w:tcPr>
          <w:p w14:paraId="485B11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24.1</w:t>
            </w:r>
          </w:p>
        </w:tc>
        <w:tc>
          <w:tcPr>
            <w:tcW w:w="330" w:type="pct"/>
            <w:tcBorders>
              <w:tl2br w:val="nil"/>
              <w:tr2bl w:val="nil"/>
            </w:tcBorders>
            <w:shd w:val="clear" w:color="auto" w:fill="auto"/>
            <w:noWrap/>
            <w:tcMar>
              <w:top w:w="15" w:type="dxa"/>
              <w:left w:w="15" w:type="dxa"/>
              <w:right w:w="15" w:type="dxa"/>
            </w:tcMar>
            <w:vAlign w:val="center"/>
          </w:tcPr>
          <w:p w14:paraId="69AE7D7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0.14</w:t>
            </w:r>
          </w:p>
        </w:tc>
        <w:tc>
          <w:tcPr>
            <w:tcW w:w="330" w:type="pct"/>
            <w:tcBorders>
              <w:tl2br w:val="nil"/>
              <w:tr2bl w:val="nil"/>
            </w:tcBorders>
            <w:shd w:val="clear" w:color="auto" w:fill="auto"/>
            <w:noWrap/>
            <w:tcMar>
              <w:top w:w="15" w:type="dxa"/>
              <w:left w:w="15" w:type="dxa"/>
              <w:right w:w="15" w:type="dxa"/>
            </w:tcMar>
            <w:vAlign w:val="center"/>
          </w:tcPr>
          <w:p w14:paraId="1C79F8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11</w:t>
            </w:r>
            <w:r>
              <w:rPr>
                <w:rFonts w:hint="default" w:ascii="Times New Roman" w:hAnsi="Times New Roman" w:cs="Times New Roman"/>
                <w:i w:val="0"/>
                <w:color w:val="000000"/>
                <w:kern w:val="0"/>
                <w:sz w:val="21"/>
                <w:szCs w:val="21"/>
                <w:highlight w:val="none"/>
                <w:u w:val="none"/>
                <w:lang w:val="en-US" w:eastAsia="zh-CN" w:bidi="ar"/>
              </w:rPr>
              <w:t>.0</w:t>
            </w:r>
          </w:p>
        </w:tc>
        <w:tc>
          <w:tcPr>
            <w:tcW w:w="330" w:type="pct"/>
            <w:tcBorders>
              <w:tl2br w:val="nil"/>
              <w:tr2bl w:val="nil"/>
            </w:tcBorders>
            <w:shd w:val="clear" w:color="auto" w:fill="auto"/>
            <w:noWrap/>
            <w:tcMar>
              <w:top w:w="15" w:type="dxa"/>
              <w:left w:w="15" w:type="dxa"/>
              <w:right w:w="15" w:type="dxa"/>
            </w:tcMar>
            <w:vAlign w:val="center"/>
          </w:tcPr>
          <w:p w14:paraId="2B9783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w:t>
            </w:r>
          </w:p>
        </w:tc>
        <w:tc>
          <w:tcPr>
            <w:tcW w:w="330" w:type="pct"/>
            <w:tcBorders>
              <w:tl2br w:val="nil"/>
              <w:tr2bl w:val="nil"/>
            </w:tcBorders>
            <w:shd w:val="clear" w:color="auto" w:fill="auto"/>
            <w:noWrap/>
            <w:tcMar>
              <w:top w:w="15" w:type="dxa"/>
              <w:left w:w="15" w:type="dxa"/>
              <w:right w:w="15" w:type="dxa"/>
            </w:tcMar>
            <w:vAlign w:val="center"/>
          </w:tcPr>
          <w:p w14:paraId="269F0E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22</w:t>
            </w:r>
          </w:p>
        </w:tc>
        <w:tc>
          <w:tcPr>
            <w:tcW w:w="330" w:type="pct"/>
            <w:tcBorders>
              <w:tl2br w:val="nil"/>
              <w:tr2bl w:val="nil"/>
            </w:tcBorders>
            <w:shd w:val="clear" w:color="auto" w:fill="auto"/>
            <w:noWrap/>
            <w:tcMar>
              <w:top w:w="15" w:type="dxa"/>
              <w:left w:w="15" w:type="dxa"/>
              <w:right w:w="15" w:type="dxa"/>
            </w:tcMar>
            <w:vAlign w:val="center"/>
          </w:tcPr>
          <w:p w14:paraId="61BC05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24</w:t>
            </w:r>
          </w:p>
        </w:tc>
        <w:tc>
          <w:tcPr>
            <w:tcW w:w="331" w:type="pct"/>
            <w:tcBorders>
              <w:tl2br w:val="nil"/>
              <w:tr2bl w:val="nil"/>
            </w:tcBorders>
            <w:shd w:val="clear" w:color="auto" w:fill="auto"/>
            <w:noWrap/>
            <w:tcMar>
              <w:top w:w="15" w:type="dxa"/>
              <w:left w:w="15" w:type="dxa"/>
              <w:right w:w="15" w:type="dxa"/>
            </w:tcMar>
            <w:vAlign w:val="center"/>
          </w:tcPr>
          <w:p w14:paraId="328267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57</w:t>
            </w:r>
          </w:p>
        </w:tc>
        <w:tc>
          <w:tcPr>
            <w:tcW w:w="331" w:type="pct"/>
            <w:tcBorders>
              <w:tl2br w:val="nil"/>
              <w:tr2bl w:val="nil"/>
            </w:tcBorders>
            <w:shd w:val="clear" w:color="auto" w:fill="auto"/>
            <w:noWrap/>
            <w:tcMar>
              <w:top w:w="15" w:type="dxa"/>
              <w:left w:w="15" w:type="dxa"/>
              <w:right w:w="15" w:type="dxa"/>
            </w:tcMar>
            <w:vAlign w:val="center"/>
          </w:tcPr>
          <w:p w14:paraId="68C326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10.1</w:t>
            </w:r>
          </w:p>
        </w:tc>
      </w:tr>
      <w:tr w14:paraId="5A79FB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195" w:type="pct"/>
            <w:tcBorders>
              <w:tl2br w:val="nil"/>
              <w:tr2bl w:val="nil"/>
            </w:tcBorders>
            <w:shd w:val="clear" w:color="auto" w:fill="auto"/>
            <w:noWrap/>
            <w:tcMar>
              <w:top w:w="15" w:type="dxa"/>
              <w:left w:w="15" w:type="dxa"/>
              <w:right w:w="15" w:type="dxa"/>
            </w:tcMar>
            <w:vAlign w:val="center"/>
          </w:tcPr>
          <w:p w14:paraId="1235FA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15</w:t>
            </w:r>
          </w:p>
        </w:tc>
        <w:tc>
          <w:tcPr>
            <w:tcW w:w="369" w:type="pct"/>
            <w:tcBorders>
              <w:tl2br w:val="nil"/>
              <w:tr2bl w:val="nil"/>
            </w:tcBorders>
            <w:shd w:val="clear" w:color="auto" w:fill="auto"/>
            <w:noWrap/>
            <w:tcMar>
              <w:top w:w="15" w:type="dxa"/>
              <w:left w:w="15" w:type="dxa"/>
              <w:right w:w="15" w:type="dxa"/>
            </w:tcMar>
            <w:vAlign w:val="center"/>
          </w:tcPr>
          <w:p w14:paraId="0F61D4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HR-JJ-1</w:t>
            </w:r>
          </w:p>
        </w:tc>
        <w:tc>
          <w:tcPr>
            <w:tcW w:w="897" w:type="pct"/>
            <w:tcBorders>
              <w:tl2br w:val="nil"/>
              <w:tr2bl w:val="nil"/>
            </w:tcBorders>
            <w:shd w:val="clear" w:color="auto" w:fill="auto"/>
            <w:noWrap/>
            <w:tcMar>
              <w:top w:w="15" w:type="dxa"/>
              <w:left w:w="15" w:type="dxa"/>
              <w:right w:w="15" w:type="dxa"/>
            </w:tcMar>
            <w:vAlign w:val="center"/>
          </w:tcPr>
          <w:p w14:paraId="4777BD09">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企业聚集区西侧</w:t>
            </w:r>
          </w:p>
        </w:tc>
        <w:tc>
          <w:tcPr>
            <w:tcW w:w="887" w:type="pct"/>
            <w:gridSpan w:val="2"/>
            <w:tcBorders>
              <w:tl2br w:val="nil"/>
              <w:tr2bl w:val="nil"/>
            </w:tcBorders>
            <w:shd w:val="clear" w:color="auto" w:fill="auto"/>
            <w:noWrap/>
            <w:tcMar>
              <w:top w:w="15" w:type="dxa"/>
              <w:left w:w="15" w:type="dxa"/>
              <w:right w:w="15" w:type="dxa"/>
            </w:tcMar>
            <w:vAlign w:val="center"/>
          </w:tcPr>
          <w:p w14:paraId="46917D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一类用地筛选值</w:t>
            </w:r>
          </w:p>
        </w:tc>
        <w:tc>
          <w:tcPr>
            <w:tcW w:w="330" w:type="pct"/>
            <w:tcBorders>
              <w:tl2br w:val="nil"/>
              <w:tr2bl w:val="nil"/>
            </w:tcBorders>
            <w:shd w:val="clear" w:color="auto" w:fill="auto"/>
            <w:noWrap/>
            <w:tcMar>
              <w:top w:w="15" w:type="dxa"/>
              <w:left w:w="15" w:type="dxa"/>
              <w:right w:w="15" w:type="dxa"/>
            </w:tcMar>
            <w:vAlign w:val="center"/>
          </w:tcPr>
          <w:p w14:paraId="622B91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25.5</w:t>
            </w:r>
          </w:p>
        </w:tc>
        <w:tc>
          <w:tcPr>
            <w:tcW w:w="330" w:type="pct"/>
            <w:tcBorders>
              <w:tl2br w:val="nil"/>
              <w:tr2bl w:val="nil"/>
            </w:tcBorders>
            <w:shd w:val="clear" w:color="auto" w:fill="auto"/>
            <w:noWrap/>
            <w:tcMar>
              <w:top w:w="15" w:type="dxa"/>
              <w:left w:w="15" w:type="dxa"/>
              <w:right w:w="15" w:type="dxa"/>
            </w:tcMar>
            <w:vAlign w:val="center"/>
          </w:tcPr>
          <w:p w14:paraId="1414C7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0.12</w:t>
            </w:r>
          </w:p>
        </w:tc>
        <w:tc>
          <w:tcPr>
            <w:tcW w:w="330" w:type="pct"/>
            <w:tcBorders>
              <w:tl2br w:val="nil"/>
              <w:tr2bl w:val="nil"/>
            </w:tcBorders>
            <w:shd w:val="clear" w:color="auto" w:fill="auto"/>
            <w:noWrap/>
            <w:tcMar>
              <w:top w:w="15" w:type="dxa"/>
              <w:left w:w="15" w:type="dxa"/>
              <w:right w:w="15" w:type="dxa"/>
            </w:tcMar>
            <w:vAlign w:val="center"/>
          </w:tcPr>
          <w:p w14:paraId="777639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13.2</w:t>
            </w:r>
          </w:p>
        </w:tc>
        <w:tc>
          <w:tcPr>
            <w:tcW w:w="330" w:type="pct"/>
            <w:tcBorders>
              <w:tl2br w:val="nil"/>
              <w:tr2bl w:val="nil"/>
            </w:tcBorders>
            <w:shd w:val="clear" w:color="auto" w:fill="auto"/>
            <w:noWrap/>
            <w:tcMar>
              <w:top w:w="15" w:type="dxa"/>
              <w:left w:w="15" w:type="dxa"/>
              <w:right w:w="15" w:type="dxa"/>
            </w:tcMar>
            <w:vAlign w:val="center"/>
          </w:tcPr>
          <w:p w14:paraId="1AB160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0.09</w:t>
            </w:r>
          </w:p>
        </w:tc>
        <w:tc>
          <w:tcPr>
            <w:tcW w:w="330" w:type="pct"/>
            <w:tcBorders>
              <w:tl2br w:val="nil"/>
              <w:tr2bl w:val="nil"/>
            </w:tcBorders>
            <w:shd w:val="clear" w:color="auto" w:fill="auto"/>
            <w:noWrap/>
            <w:tcMar>
              <w:top w:w="15" w:type="dxa"/>
              <w:left w:w="15" w:type="dxa"/>
              <w:right w:w="15" w:type="dxa"/>
            </w:tcMar>
            <w:vAlign w:val="center"/>
          </w:tcPr>
          <w:p w14:paraId="3328BE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25</w:t>
            </w:r>
          </w:p>
        </w:tc>
        <w:tc>
          <w:tcPr>
            <w:tcW w:w="330" w:type="pct"/>
            <w:tcBorders>
              <w:tl2br w:val="nil"/>
              <w:tr2bl w:val="nil"/>
            </w:tcBorders>
            <w:shd w:val="clear" w:color="auto" w:fill="auto"/>
            <w:noWrap/>
            <w:tcMar>
              <w:top w:w="15" w:type="dxa"/>
              <w:left w:w="15" w:type="dxa"/>
              <w:right w:w="15" w:type="dxa"/>
            </w:tcMar>
            <w:vAlign w:val="center"/>
          </w:tcPr>
          <w:p w14:paraId="419222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42</w:t>
            </w:r>
          </w:p>
        </w:tc>
        <w:tc>
          <w:tcPr>
            <w:tcW w:w="331" w:type="pct"/>
            <w:tcBorders>
              <w:tl2br w:val="nil"/>
              <w:tr2bl w:val="nil"/>
            </w:tcBorders>
            <w:shd w:val="clear" w:color="auto" w:fill="auto"/>
            <w:noWrap/>
            <w:tcMar>
              <w:top w:w="15" w:type="dxa"/>
              <w:left w:w="15" w:type="dxa"/>
              <w:right w:w="15" w:type="dxa"/>
            </w:tcMar>
            <w:vAlign w:val="center"/>
          </w:tcPr>
          <w:p w14:paraId="3980D75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79</w:t>
            </w:r>
          </w:p>
        </w:tc>
        <w:tc>
          <w:tcPr>
            <w:tcW w:w="331" w:type="pct"/>
            <w:tcBorders>
              <w:tl2br w:val="nil"/>
              <w:tr2bl w:val="nil"/>
            </w:tcBorders>
            <w:shd w:val="clear" w:color="auto" w:fill="auto"/>
            <w:noWrap/>
            <w:tcMar>
              <w:top w:w="15" w:type="dxa"/>
              <w:left w:w="15" w:type="dxa"/>
              <w:right w:w="15" w:type="dxa"/>
            </w:tcMar>
            <w:vAlign w:val="center"/>
          </w:tcPr>
          <w:p w14:paraId="665142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10.4</w:t>
            </w:r>
          </w:p>
        </w:tc>
      </w:tr>
      <w:tr w14:paraId="13F485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195" w:type="pct"/>
            <w:tcBorders>
              <w:tl2br w:val="nil"/>
              <w:tr2bl w:val="nil"/>
            </w:tcBorders>
            <w:shd w:val="clear" w:color="auto" w:fill="auto"/>
            <w:noWrap/>
            <w:tcMar>
              <w:top w:w="15" w:type="dxa"/>
              <w:left w:w="15" w:type="dxa"/>
              <w:right w:w="15" w:type="dxa"/>
            </w:tcMar>
            <w:vAlign w:val="center"/>
          </w:tcPr>
          <w:p w14:paraId="7DC903F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16</w:t>
            </w:r>
          </w:p>
        </w:tc>
        <w:tc>
          <w:tcPr>
            <w:tcW w:w="369" w:type="pct"/>
            <w:tcBorders>
              <w:tl2br w:val="nil"/>
              <w:tr2bl w:val="nil"/>
            </w:tcBorders>
            <w:shd w:val="clear" w:color="auto" w:fill="auto"/>
            <w:noWrap/>
            <w:tcMar>
              <w:top w:w="15" w:type="dxa"/>
              <w:left w:w="15" w:type="dxa"/>
              <w:right w:w="15" w:type="dxa"/>
            </w:tcMar>
            <w:vAlign w:val="center"/>
          </w:tcPr>
          <w:p w14:paraId="0C3DA3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HR-JJ-2</w:t>
            </w:r>
          </w:p>
        </w:tc>
        <w:tc>
          <w:tcPr>
            <w:tcW w:w="897" w:type="pct"/>
            <w:tcBorders>
              <w:tl2br w:val="nil"/>
              <w:tr2bl w:val="nil"/>
            </w:tcBorders>
            <w:shd w:val="clear" w:color="auto" w:fill="auto"/>
            <w:noWrap/>
            <w:tcMar>
              <w:top w:w="15" w:type="dxa"/>
              <w:left w:w="15" w:type="dxa"/>
              <w:right w:w="15" w:type="dxa"/>
            </w:tcMar>
            <w:vAlign w:val="center"/>
          </w:tcPr>
          <w:p w14:paraId="6AD21637">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企业聚集区南侧</w:t>
            </w:r>
          </w:p>
        </w:tc>
        <w:tc>
          <w:tcPr>
            <w:tcW w:w="887" w:type="pct"/>
            <w:gridSpan w:val="2"/>
            <w:tcBorders>
              <w:tl2br w:val="nil"/>
              <w:tr2bl w:val="nil"/>
            </w:tcBorders>
            <w:shd w:val="clear" w:color="auto" w:fill="auto"/>
            <w:noWrap/>
            <w:tcMar>
              <w:top w:w="15" w:type="dxa"/>
              <w:left w:w="15" w:type="dxa"/>
              <w:right w:w="15" w:type="dxa"/>
            </w:tcMar>
            <w:vAlign w:val="center"/>
          </w:tcPr>
          <w:p w14:paraId="4BF033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二类用地筛选值</w:t>
            </w:r>
          </w:p>
        </w:tc>
        <w:tc>
          <w:tcPr>
            <w:tcW w:w="330" w:type="pct"/>
            <w:tcBorders>
              <w:tl2br w:val="nil"/>
              <w:tr2bl w:val="nil"/>
            </w:tcBorders>
            <w:shd w:val="clear" w:color="auto" w:fill="auto"/>
            <w:noWrap/>
            <w:tcMar>
              <w:top w:w="15" w:type="dxa"/>
              <w:left w:w="15" w:type="dxa"/>
              <w:right w:w="15" w:type="dxa"/>
            </w:tcMar>
            <w:vAlign w:val="center"/>
          </w:tcPr>
          <w:p w14:paraId="568A8F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29.2</w:t>
            </w:r>
          </w:p>
        </w:tc>
        <w:tc>
          <w:tcPr>
            <w:tcW w:w="330" w:type="pct"/>
            <w:tcBorders>
              <w:tl2br w:val="nil"/>
              <w:tr2bl w:val="nil"/>
            </w:tcBorders>
            <w:shd w:val="clear" w:color="auto" w:fill="auto"/>
            <w:noWrap/>
            <w:tcMar>
              <w:top w:w="15" w:type="dxa"/>
              <w:left w:w="15" w:type="dxa"/>
              <w:right w:w="15" w:type="dxa"/>
            </w:tcMar>
            <w:vAlign w:val="center"/>
          </w:tcPr>
          <w:p w14:paraId="371AD1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0.13</w:t>
            </w:r>
          </w:p>
        </w:tc>
        <w:tc>
          <w:tcPr>
            <w:tcW w:w="330" w:type="pct"/>
            <w:tcBorders>
              <w:tl2br w:val="nil"/>
              <w:tr2bl w:val="nil"/>
            </w:tcBorders>
            <w:shd w:val="clear" w:color="auto" w:fill="auto"/>
            <w:noWrap/>
            <w:tcMar>
              <w:top w:w="15" w:type="dxa"/>
              <w:left w:w="15" w:type="dxa"/>
              <w:right w:w="15" w:type="dxa"/>
            </w:tcMar>
            <w:vAlign w:val="center"/>
          </w:tcPr>
          <w:p w14:paraId="086CDF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11.7</w:t>
            </w:r>
          </w:p>
        </w:tc>
        <w:tc>
          <w:tcPr>
            <w:tcW w:w="330" w:type="pct"/>
            <w:tcBorders>
              <w:tl2br w:val="nil"/>
              <w:tr2bl w:val="nil"/>
            </w:tcBorders>
            <w:shd w:val="clear" w:color="auto" w:fill="auto"/>
            <w:noWrap/>
            <w:tcMar>
              <w:top w:w="15" w:type="dxa"/>
              <w:left w:w="15" w:type="dxa"/>
              <w:right w:w="15" w:type="dxa"/>
            </w:tcMar>
            <w:vAlign w:val="center"/>
          </w:tcPr>
          <w:p w14:paraId="79F0F1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0.11</w:t>
            </w:r>
          </w:p>
        </w:tc>
        <w:tc>
          <w:tcPr>
            <w:tcW w:w="330" w:type="pct"/>
            <w:tcBorders>
              <w:tl2br w:val="nil"/>
              <w:tr2bl w:val="nil"/>
            </w:tcBorders>
            <w:shd w:val="clear" w:color="auto" w:fill="auto"/>
            <w:noWrap/>
            <w:tcMar>
              <w:top w:w="15" w:type="dxa"/>
              <w:left w:w="15" w:type="dxa"/>
              <w:right w:w="15" w:type="dxa"/>
            </w:tcMar>
            <w:vAlign w:val="center"/>
          </w:tcPr>
          <w:p w14:paraId="2EA7EE7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24</w:t>
            </w:r>
          </w:p>
        </w:tc>
        <w:tc>
          <w:tcPr>
            <w:tcW w:w="330" w:type="pct"/>
            <w:tcBorders>
              <w:tl2br w:val="nil"/>
              <w:tr2bl w:val="nil"/>
            </w:tcBorders>
            <w:shd w:val="clear" w:color="auto" w:fill="auto"/>
            <w:noWrap/>
            <w:tcMar>
              <w:top w:w="15" w:type="dxa"/>
              <w:left w:w="15" w:type="dxa"/>
              <w:right w:w="15" w:type="dxa"/>
            </w:tcMar>
            <w:vAlign w:val="center"/>
          </w:tcPr>
          <w:p w14:paraId="290674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42</w:t>
            </w:r>
          </w:p>
        </w:tc>
        <w:tc>
          <w:tcPr>
            <w:tcW w:w="331" w:type="pct"/>
            <w:tcBorders>
              <w:tl2br w:val="nil"/>
              <w:tr2bl w:val="nil"/>
            </w:tcBorders>
            <w:shd w:val="clear" w:color="auto" w:fill="auto"/>
            <w:noWrap/>
            <w:tcMar>
              <w:top w:w="15" w:type="dxa"/>
              <w:left w:w="15" w:type="dxa"/>
              <w:right w:w="15" w:type="dxa"/>
            </w:tcMar>
            <w:vAlign w:val="center"/>
          </w:tcPr>
          <w:p w14:paraId="2F0C86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82</w:t>
            </w:r>
          </w:p>
        </w:tc>
        <w:tc>
          <w:tcPr>
            <w:tcW w:w="331" w:type="pct"/>
            <w:tcBorders>
              <w:tl2br w:val="nil"/>
              <w:tr2bl w:val="nil"/>
            </w:tcBorders>
            <w:shd w:val="clear" w:color="auto" w:fill="auto"/>
            <w:noWrap/>
            <w:tcMar>
              <w:top w:w="15" w:type="dxa"/>
              <w:left w:w="15" w:type="dxa"/>
              <w:right w:w="15" w:type="dxa"/>
            </w:tcMar>
            <w:vAlign w:val="center"/>
          </w:tcPr>
          <w:p w14:paraId="348A63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9.7</w:t>
            </w:r>
            <w:r>
              <w:rPr>
                <w:rFonts w:hint="default" w:ascii="Times New Roman" w:hAnsi="Times New Roman" w:cs="Times New Roman"/>
                <w:i w:val="0"/>
                <w:color w:val="000000"/>
                <w:kern w:val="0"/>
                <w:sz w:val="21"/>
                <w:szCs w:val="21"/>
                <w:highlight w:val="none"/>
                <w:u w:val="none"/>
                <w:lang w:val="en-US" w:eastAsia="zh-CN" w:bidi="ar"/>
              </w:rPr>
              <w:t>0</w:t>
            </w:r>
          </w:p>
        </w:tc>
      </w:tr>
      <w:tr w14:paraId="7CC118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195" w:type="pct"/>
            <w:tcBorders>
              <w:tl2br w:val="nil"/>
              <w:tr2bl w:val="nil"/>
            </w:tcBorders>
            <w:shd w:val="clear" w:color="auto" w:fill="auto"/>
            <w:noWrap/>
            <w:tcMar>
              <w:top w:w="15" w:type="dxa"/>
              <w:left w:w="15" w:type="dxa"/>
              <w:right w:w="15" w:type="dxa"/>
            </w:tcMar>
            <w:vAlign w:val="center"/>
          </w:tcPr>
          <w:p w14:paraId="01E0D0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17</w:t>
            </w:r>
          </w:p>
        </w:tc>
        <w:tc>
          <w:tcPr>
            <w:tcW w:w="369" w:type="pct"/>
            <w:tcBorders>
              <w:tl2br w:val="nil"/>
              <w:tr2bl w:val="nil"/>
            </w:tcBorders>
            <w:shd w:val="clear" w:color="auto" w:fill="auto"/>
            <w:noWrap/>
            <w:tcMar>
              <w:top w:w="15" w:type="dxa"/>
              <w:left w:w="15" w:type="dxa"/>
              <w:right w:w="15" w:type="dxa"/>
            </w:tcMar>
            <w:vAlign w:val="center"/>
          </w:tcPr>
          <w:p w14:paraId="0F9149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HR-JJ-3</w:t>
            </w:r>
          </w:p>
        </w:tc>
        <w:tc>
          <w:tcPr>
            <w:tcW w:w="897" w:type="pct"/>
            <w:tcBorders>
              <w:tl2br w:val="nil"/>
              <w:tr2bl w:val="nil"/>
            </w:tcBorders>
            <w:shd w:val="clear" w:color="auto" w:fill="auto"/>
            <w:noWrap/>
            <w:tcMar>
              <w:top w:w="15" w:type="dxa"/>
              <w:left w:w="15" w:type="dxa"/>
              <w:right w:w="15" w:type="dxa"/>
            </w:tcMar>
            <w:vAlign w:val="center"/>
          </w:tcPr>
          <w:p w14:paraId="4D0D06B9">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w:t>
            </w:r>
            <w:r>
              <w:rPr>
                <w:rFonts w:hint="eastAsia" w:cs="Times New Roman"/>
                <w:sz w:val="21"/>
                <w:szCs w:val="21"/>
                <w:highlight w:val="none"/>
                <w:lang w:val="en-US" w:eastAsia="zh-CN"/>
              </w:rPr>
              <w:t>北</w:t>
            </w:r>
            <w:r>
              <w:rPr>
                <w:rFonts w:hint="default" w:ascii="Times New Roman" w:hAnsi="Times New Roman" w:cs="Times New Roman"/>
                <w:sz w:val="21"/>
                <w:szCs w:val="21"/>
                <w:highlight w:val="none"/>
                <w:lang w:val="en-US" w:eastAsia="zh-CN"/>
              </w:rPr>
              <w:t>侧</w:t>
            </w:r>
          </w:p>
        </w:tc>
        <w:tc>
          <w:tcPr>
            <w:tcW w:w="887" w:type="pct"/>
            <w:gridSpan w:val="2"/>
            <w:tcBorders>
              <w:tl2br w:val="nil"/>
              <w:tr2bl w:val="nil"/>
            </w:tcBorders>
            <w:shd w:val="clear" w:color="auto" w:fill="auto"/>
            <w:noWrap/>
            <w:tcMar>
              <w:top w:w="15" w:type="dxa"/>
              <w:left w:w="15" w:type="dxa"/>
              <w:right w:w="15" w:type="dxa"/>
            </w:tcMar>
            <w:vAlign w:val="center"/>
          </w:tcPr>
          <w:p w14:paraId="75C871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二类用地筛选值</w:t>
            </w:r>
          </w:p>
        </w:tc>
        <w:tc>
          <w:tcPr>
            <w:tcW w:w="330" w:type="pct"/>
            <w:tcBorders>
              <w:tl2br w:val="nil"/>
              <w:tr2bl w:val="nil"/>
            </w:tcBorders>
            <w:shd w:val="clear" w:color="auto" w:fill="auto"/>
            <w:noWrap/>
            <w:tcMar>
              <w:top w:w="15" w:type="dxa"/>
              <w:left w:w="15" w:type="dxa"/>
              <w:right w:w="15" w:type="dxa"/>
            </w:tcMar>
            <w:vAlign w:val="center"/>
          </w:tcPr>
          <w:p w14:paraId="1C7759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19.5</w:t>
            </w:r>
          </w:p>
        </w:tc>
        <w:tc>
          <w:tcPr>
            <w:tcW w:w="330" w:type="pct"/>
            <w:tcBorders>
              <w:tl2br w:val="nil"/>
              <w:tr2bl w:val="nil"/>
            </w:tcBorders>
            <w:shd w:val="clear" w:color="auto" w:fill="auto"/>
            <w:noWrap/>
            <w:tcMar>
              <w:top w:w="15" w:type="dxa"/>
              <w:left w:w="15" w:type="dxa"/>
              <w:right w:w="15" w:type="dxa"/>
            </w:tcMar>
            <w:vAlign w:val="center"/>
          </w:tcPr>
          <w:p w14:paraId="6E4B55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0.11</w:t>
            </w:r>
          </w:p>
        </w:tc>
        <w:tc>
          <w:tcPr>
            <w:tcW w:w="330" w:type="pct"/>
            <w:tcBorders>
              <w:tl2br w:val="nil"/>
              <w:tr2bl w:val="nil"/>
            </w:tcBorders>
            <w:shd w:val="clear" w:color="auto" w:fill="auto"/>
            <w:noWrap/>
            <w:tcMar>
              <w:top w:w="15" w:type="dxa"/>
              <w:left w:w="15" w:type="dxa"/>
              <w:right w:w="15" w:type="dxa"/>
            </w:tcMar>
            <w:vAlign w:val="center"/>
          </w:tcPr>
          <w:p w14:paraId="1F30B1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8.09</w:t>
            </w:r>
          </w:p>
        </w:tc>
        <w:tc>
          <w:tcPr>
            <w:tcW w:w="330" w:type="pct"/>
            <w:tcBorders>
              <w:tl2br w:val="nil"/>
              <w:tr2bl w:val="nil"/>
            </w:tcBorders>
            <w:shd w:val="clear" w:color="auto" w:fill="auto"/>
            <w:noWrap/>
            <w:tcMar>
              <w:top w:w="15" w:type="dxa"/>
              <w:left w:w="15" w:type="dxa"/>
              <w:right w:w="15" w:type="dxa"/>
            </w:tcMar>
            <w:vAlign w:val="center"/>
          </w:tcPr>
          <w:p w14:paraId="4BF58B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w:t>
            </w:r>
          </w:p>
        </w:tc>
        <w:tc>
          <w:tcPr>
            <w:tcW w:w="330" w:type="pct"/>
            <w:tcBorders>
              <w:tl2br w:val="nil"/>
              <w:tr2bl w:val="nil"/>
            </w:tcBorders>
            <w:shd w:val="clear" w:color="auto" w:fill="auto"/>
            <w:noWrap/>
            <w:tcMar>
              <w:top w:w="15" w:type="dxa"/>
              <w:left w:w="15" w:type="dxa"/>
              <w:right w:w="15" w:type="dxa"/>
            </w:tcMar>
            <w:vAlign w:val="center"/>
          </w:tcPr>
          <w:p w14:paraId="5D1D76F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26</w:t>
            </w:r>
          </w:p>
        </w:tc>
        <w:tc>
          <w:tcPr>
            <w:tcW w:w="330" w:type="pct"/>
            <w:tcBorders>
              <w:tl2br w:val="nil"/>
              <w:tr2bl w:val="nil"/>
            </w:tcBorders>
            <w:shd w:val="clear" w:color="auto" w:fill="auto"/>
            <w:noWrap/>
            <w:tcMar>
              <w:top w:w="15" w:type="dxa"/>
              <w:left w:w="15" w:type="dxa"/>
              <w:right w:w="15" w:type="dxa"/>
            </w:tcMar>
            <w:vAlign w:val="center"/>
          </w:tcPr>
          <w:p w14:paraId="14E70F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32</w:t>
            </w:r>
          </w:p>
        </w:tc>
        <w:tc>
          <w:tcPr>
            <w:tcW w:w="331" w:type="pct"/>
            <w:tcBorders>
              <w:tl2br w:val="nil"/>
              <w:tr2bl w:val="nil"/>
            </w:tcBorders>
            <w:shd w:val="clear" w:color="auto" w:fill="auto"/>
            <w:noWrap/>
            <w:tcMar>
              <w:top w:w="15" w:type="dxa"/>
              <w:left w:w="15" w:type="dxa"/>
              <w:right w:w="15" w:type="dxa"/>
            </w:tcMar>
            <w:vAlign w:val="center"/>
          </w:tcPr>
          <w:p w14:paraId="05E18A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44</w:t>
            </w:r>
          </w:p>
        </w:tc>
        <w:tc>
          <w:tcPr>
            <w:tcW w:w="331" w:type="pct"/>
            <w:tcBorders>
              <w:tl2br w:val="nil"/>
              <w:tr2bl w:val="nil"/>
            </w:tcBorders>
            <w:shd w:val="clear" w:color="auto" w:fill="auto"/>
            <w:noWrap/>
            <w:tcMar>
              <w:top w:w="15" w:type="dxa"/>
              <w:left w:w="15" w:type="dxa"/>
              <w:right w:w="15" w:type="dxa"/>
            </w:tcMar>
            <w:vAlign w:val="center"/>
          </w:tcPr>
          <w:p w14:paraId="12F233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8.8</w:t>
            </w:r>
            <w:r>
              <w:rPr>
                <w:rFonts w:hint="default" w:ascii="Times New Roman" w:hAnsi="Times New Roman" w:cs="Times New Roman"/>
                <w:i w:val="0"/>
                <w:color w:val="000000"/>
                <w:kern w:val="0"/>
                <w:sz w:val="21"/>
                <w:szCs w:val="21"/>
                <w:highlight w:val="none"/>
                <w:u w:val="none"/>
                <w:lang w:val="en-US" w:eastAsia="zh-CN" w:bidi="ar"/>
              </w:rPr>
              <w:t>0</w:t>
            </w:r>
          </w:p>
        </w:tc>
      </w:tr>
      <w:tr w14:paraId="67F826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95" w:type="pct"/>
            <w:tcBorders>
              <w:tl2br w:val="nil"/>
              <w:tr2bl w:val="nil"/>
            </w:tcBorders>
            <w:shd w:val="clear" w:color="auto" w:fill="auto"/>
            <w:noWrap/>
            <w:tcMar>
              <w:top w:w="15" w:type="dxa"/>
              <w:left w:w="15" w:type="dxa"/>
              <w:right w:w="15" w:type="dxa"/>
            </w:tcMar>
            <w:vAlign w:val="center"/>
          </w:tcPr>
          <w:p w14:paraId="18850A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18</w:t>
            </w:r>
          </w:p>
        </w:tc>
        <w:tc>
          <w:tcPr>
            <w:tcW w:w="369" w:type="pct"/>
            <w:tcBorders>
              <w:tl2br w:val="nil"/>
              <w:tr2bl w:val="nil"/>
            </w:tcBorders>
            <w:shd w:val="clear" w:color="auto" w:fill="auto"/>
            <w:noWrap/>
            <w:tcMar>
              <w:top w:w="15" w:type="dxa"/>
              <w:left w:w="15" w:type="dxa"/>
              <w:right w:w="15" w:type="dxa"/>
            </w:tcMar>
            <w:vAlign w:val="center"/>
          </w:tcPr>
          <w:p w14:paraId="5B909C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HR-JJ-4</w:t>
            </w:r>
          </w:p>
        </w:tc>
        <w:tc>
          <w:tcPr>
            <w:tcW w:w="897" w:type="pct"/>
            <w:tcBorders>
              <w:tl2br w:val="nil"/>
              <w:tr2bl w:val="nil"/>
            </w:tcBorders>
            <w:shd w:val="clear" w:color="auto" w:fill="auto"/>
            <w:noWrap/>
            <w:tcMar>
              <w:top w:w="15" w:type="dxa"/>
              <w:left w:w="15" w:type="dxa"/>
              <w:right w:w="15" w:type="dxa"/>
            </w:tcMar>
            <w:vAlign w:val="center"/>
          </w:tcPr>
          <w:p w14:paraId="06AB4580">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企业聚集区西侧</w:t>
            </w:r>
          </w:p>
        </w:tc>
        <w:tc>
          <w:tcPr>
            <w:tcW w:w="887" w:type="pct"/>
            <w:gridSpan w:val="2"/>
            <w:tcBorders>
              <w:tl2br w:val="nil"/>
              <w:tr2bl w:val="nil"/>
            </w:tcBorders>
            <w:shd w:val="clear" w:color="auto" w:fill="auto"/>
            <w:noWrap/>
            <w:tcMar>
              <w:top w:w="15" w:type="dxa"/>
              <w:left w:w="15" w:type="dxa"/>
              <w:right w:w="15" w:type="dxa"/>
            </w:tcMar>
            <w:vAlign w:val="center"/>
          </w:tcPr>
          <w:p w14:paraId="571F31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二类用地筛选值</w:t>
            </w:r>
          </w:p>
        </w:tc>
        <w:tc>
          <w:tcPr>
            <w:tcW w:w="330" w:type="pct"/>
            <w:tcBorders>
              <w:tl2br w:val="nil"/>
              <w:tr2bl w:val="nil"/>
            </w:tcBorders>
            <w:shd w:val="clear" w:color="auto" w:fill="auto"/>
            <w:noWrap/>
            <w:tcMar>
              <w:top w:w="15" w:type="dxa"/>
              <w:left w:w="15" w:type="dxa"/>
              <w:right w:w="15" w:type="dxa"/>
            </w:tcMar>
            <w:vAlign w:val="center"/>
          </w:tcPr>
          <w:p w14:paraId="1DF821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18.5</w:t>
            </w:r>
          </w:p>
        </w:tc>
        <w:tc>
          <w:tcPr>
            <w:tcW w:w="330" w:type="pct"/>
            <w:tcBorders>
              <w:tl2br w:val="nil"/>
              <w:tr2bl w:val="nil"/>
            </w:tcBorders>
            <w:shd w:val="clear" w:color="auto" w:fill="auto"/>
            <w:noWrap/>
            <w:tcMar>
              <w:top w:w="15" w:type="dxa"/>
              <w:left w:w="15" w:type="dxa"/>
              <w:right w:w="15" w:type="dxa"/>
            </w:tcMar>
            <w:vAlign w:val="center"/>
          </w:tcPr>
          <w:p w14:paraId="2EF267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0.11</w:t>
            </w:r>
          </w:p>
        </w:tc>
        <w:tc>
          <w:tcPr>
            <w:tcW w:w="330" w:type="pct"/>
            <w:tcBorders>
              <w:tl2br w:val="nil"/>
              <w:tr2bl w:val="nil"/>
            </w:tcBorders>
            <w:shd w:val="clear" w:color="auto" w:fill="auto"/>
            <w:noWrap/>
            <w:tcMar>
              <w:top w:w="15" w:type="dxa"/>
              <w:left w:w="15" w:type="dxa"/>
              <w:right w:w="15" w:type="dxa"/>
            </w:tcMar>
            <w:vAlign w:val="center"/>
          </w:tcPr>
          <w:p w14:paraId="266956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10.8</w:t>
            </w:r>
          </w:p>
        </w:tc>
        <w:tc>
          <w:tcPr>
            <w:tcW w:w="330" w:type="pct"/>
            <w:tcBorders>
              <w:tl2br w:val="nil"/>
              <w:tr2bl w:val="nil"/>
            </w:tcBorders>
            <w:shd w:val="clear" w:color="auto" w:fill="auto"/>
            <w:noWrap/>
            <w:tcMar>
              <w:top w:w="15" w:type="dxa"/>
              <w:left w:w="15" w:type="dxa"/>
              <w:right w:w="15" w:type="dxa"/>
            </w:tcMar>
            <w:vAlign w:val="center"/>
          </w:tcPr>
          <w:p w14:paraId="67D15B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w:t>
            </w:r>
          </w:p>
        </w:tc>
        <w:tc>
          <w:tcPr>
            <w:tcW w:w="330" w:type="pct"/>
            <w:tcBorders>
              <w:tl2br w:val="nil"/>
              <w:tr2bl w:val="nil"/>
            </w:tcBorders>
            <w:shd w:val="clear" w:color="auto" w:fill="auto"/>
            <w:noWrap/>
            <w:tcMar>
              <w:top w:w="15" w:type="dxa"/>
              <w:left w:w="15" w:type="dxa"/>
              <w:right w:w="15" w:type="dxa"/>
            </w:tcMar>
            <w:vAlign w:val="center"/>
          </w:tcPr>
          <w:p w14:paraId="76C554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31</w:t>
            </w:r>
          </w:p>
        </w:tc>
        <w:tc>
          <w:tcPr>
            <w:tcW w:w="330" w:type="pct"/>
            <w:tcBorders>
              <w:tl2br w:val="nil"/>
              <w:tr2bl w:val="nil"/>
            </w:tcBorders>
            <w:shd w:val="clear" w:color="auto" w:fill="auto"/>
            <w:noWrap/>
            <w:tcMar>
              <w:top w:w="15" w:type="dxa"/>
              <w:left w:w="15" w:type="dxa"/>
              <w:right w:w="15" w:type="dxa"/>
            </w:tcMar>
            <w:vAlign w:val="center"/>
          </w:tcPr>
          <w:p w14:paraId="53013F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31</w:t>
            </w:r>
          </w:p>
        </w:tc>
        <w:tc>
          <w:tcPr>
            <w:tcW w:w="331" w:type="pct"/>
            <w:tcBorders>
              <w:tl2br w:val="nil"/>
              <w:tr2bl w:val="nil"/>
            </w:tcBorders>
            <w:shd w:val="clear" w:color="auto" w:fill="auto"/>
            <w:noWrap/>
            <w:tcMar>
              <w:top w:w="15" w:type="dxa"/>
              <w:left w:w="15" w:type="dxa"/>
              <w:right w:w="15" w:type="dxa"/>
            </w:tcMar>
            <w:vAlign w:val="center"/>
          </w:tcPr>
          <w:p w14:paraId="2BA799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58</w:t>
            </w:r>
          </w:p>
        </w:tc>
        <w:tc>
          <w:tcPr>
            <w:tcW w:w="331" w:type="pct"/>
            <w:tcBorders>
              <w:tl2br w:val="nil"/>
              <w:tr2bl w:val="nil"/>
            </w:tcBorders>
            <w:shd w:val="clear" w:color="auto" w:fill="auto"/>
            <w:noWrap/>
            <w:tcMar>
              <w:top w:w="15" w:type="dxa"/>
              <w:left w:w="15" w:type="dxa"/>
              <w:right w:w="15" w:type="dxa"/>
            </w:tcMar>
            <w:vAlign w:val="center"/>
          </w:tcPr>
          <w:p w14:paraId="00F010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9.0</w:t>
            </w:r>
            <w:r>
              <w:rPr>
                <w:rFonts w:hint="default" w:ascii="Times New Roman" w:hAnsi="Times New Roman" w:cs="Times New Roman"/>
                <w:i w:val="0"/>
                <w:color w:val="000000"/>
                <w:kern w:val="0"/>
                <w:sz w:val="21"/>
                <w:szCs w:val="21"/>
                <w:highlight w:val="none"/>
                <w:u w:val="none"/>
                <w:lang w:val="en-US" w:eastAsia="zh-CN" w:bidi="ar"/>
              </w:rPr>
              <w:t>0</w:t>
            </w:r>
          </w:p>
        </w:tc>
      </w:tr>
      <w:tr w14:paraId="010110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195" w:type="pct"/>
            <w:tcBorders>
              <w:tl2br w:val="nil"/>
              <w:tr2bl w:val="nil"/>
            </w:tcBorders>
            <w:shd w:val="clear" w:color="auto" w:fill="auto"/>
            <w:noWrap/>
            <w:tcMar>
              <w:top w:w="15" w:type="dxa"/>
              <w:left w:w="15" w:type="dxa"/>
              <w:right w:w="15" w:type="dxa"/>
            </w:tcMar>
            <w:vAlign w:val="center"/>
          </w:tcPr>
          <w:p w14:paraId="42149C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19</w:t>
            </w:r>
          </w:p>
        </w:tc>
        <w:tc>
          <w:tcPr>
            <w:tcW w:w="369" w:type="pct"/>
            <w:tcBorders>
              <w:tl2br w:val="nil"/>
              <w:tr2bl w:val="nil"/>
            </w:tcBorders>
            <w:shd w:val="clear" w:color="auto" w:fill="auto"/>
            <w:noWrap/>
            <w:tcMar>
              <w:top w:w="15" w:type="dxa"/>
              <w:left w:w="15" w:type="dxa"/>
              <w:right w:w="15" w:type="dxa"/>
            </w:tcMar>
            <w:vAlign w:val="center"/>
          </w:tcPr>
          <w:p w14:paraId="176D6A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HR-JJ-5</w:t>
            </w:r>
          </w:p>
        </w:tc>
        <w:tc>
          <w:tcPr>
            <w:tcW w:w="897" w:type="pct"/>
            <w:tcBorders>
              <w:tl2br w:val="nil"/>
              <w:tr2bl w:val="nil"/>
            </w:tcBorders>
            <w:shd w:val="clear" w:color="auto" w:fill="auto"/>
            <w:noWrap/>
            <w:tcMar>
              <w:top w:w="15" w:type="dxa"/>
              <w:left w:w="15" w:type="dxa"/>
              <w:right w:w="15" w:type="dxa"/>
            </w:tcMar>
            <w:vAlign w:val="center"/>
          </w:tcPr>
          <w:p w14:paraId="3BF1A268">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企业聚集区西侧</w:t>
            </w:r>
          </w:p>
        </w:tc>
        <w:tc>
          <w:tcPr>
            <w:tcW w:w="887" w:type="pct"/>
            <w:gridSpan w:val="2"/>
            <w:tcBorders>
              <w:tl2br w:val="nil"/>
              <w:tr2bl w:val="nil"/>
            </w:tcBorders>
            <w:shd w:val="clear" w:color="auto" w:fill="auto"/>
            <w:noWrap/>
            <w:tcMar>
              <w:top w:w="15" w:type="dxa"/>
              <w:left w:w="15" w:type="dxa"/>
              <w:right w:w="15" w:type="dxa"/>
            </w:tcMar>
            <w:vAlign w:val="center"/>
          </w:tcPr>
          <w:p w14:paraId="3F77DA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一类用地筛选值</w:t>
            </w:r>
          </w:p>
        </w:tc>
        <w:tc>
          <w:tcPr>
            <w:tcW w:w="330" w:type="pct"/>
            <w:tcBorders>
              <w:tl2br w:val="nil"/>
              <w:tr2bl w:val="nil"/>
            </w:tcBorders>
            <w:shd w:val="clear" w:color="auto" w:fill="auto"/>
            <w:noWrap/>
            <w:tcMar>
              <w:top w:w="15" w:type="dxa"/>
              <w:left w:w="15" w:type="dxa"/>
              <w:right w:w="15" w:type="dxa"/>
            </w:tcMar>
            <w:vAlign w:val="center"/>
          </w:tcPr>
          <w:p w14:paraId="7883CC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16.6</w:t>
            </w:r>
          </w:p>
        </w:tc>
        <w:tc>
          <w:tcPr>
            <w:tcW w:w="330" w:type="pct"/>
            <w:tcBorders>
              <w:tl2br w:val="nil"/>
              <w:tr2bl w:val="nil"/>
            </w:tcBorders>
            <w:shd w:val="clear" w:color="auto" w:fill="auto"/>
            <w:noWrap/>
            <w:tcMar>
              <w:top w:w="15" w:type="dxa"/>
              <w:left w:w="15" w:type="dxa"/>
              <w:right w:w="15" w:type="dxa"/>
            </w:tcMar>
            <w:vAlign w:val="center"/>
          </w:tcPr>
          <w:p w14:paraId="5A3FEC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0.11</w:t>
            </w:r>
          </w:p>
        </w:tc>
        <w:tc>
          <w:tcPr>
            <w:tcW w:w="330" w:type="pct"/>
            <w:tcBorders>
              <w:tl2br w:val="nil"/>
              <w:tr2bl w:val="nil"/>
            </w:tcBorders>
            <w:shd w:val="clear" w:color="auto" w:fill="auto"/>
            <w:noWrap/>
            <w:tcMar>
              <w:top w:w="15" w:type="dxa"/>
              <w:left w:w="15" w:type="dxa"/>
              <w:right w:w="15" w:type="dxa"/>
            </w:tcMar>
            <w:vAlign w:val="center"/>
          </w:tcPr>
          <w:p w14:paraId="141DD6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10.9</w:t>
            </w:r>
          </w:p>
        </w:tc>
        <w:tc>
          <w:tcPr>
            <w:tcW w:w="330" w:type="pct"/>
            <w:tcBorders>
              <w:tl2br w:val="nil"/>
              <w:tr2bl w:val="nil"/>
            </w:tcBorders>
            <w:shd w:val="clear" w:color="auto" w:fill="auto"/>
            <w:noWrap/>
            <w:tcMar>
              <w:top w:w="15" w:type="dxa"/>
              <w:left w:w="15" w:type="dxa"/>
              <w:right w:w="15" w:type="dxa"/>
            </w:tcMar>
            <w:vAlign w:val="center"/>
          </w:tcPr>
          <w:p w14:paraId="4CAD3F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cs="Times New Roman"/>
                <w:i w:val="0"/>
                <w:color w:val="000000"/>
                <w:sz w:val="21"/>
                <w:szCs w:val="21"/>
                <w:highlight w:val="none"/>
                <w:u w:val="none"/>
                <w:lang w:val="en-US" w:eastAsia="zh-CN"/>
              </w:rPr>
              <w:t>＜0.01</w:t>
            </w:r>
          </w:p>
        </w:tc>
        <w:tc>
          <w:tcPr>
            <w:tcW w:w="330" w:type="pct"/>
            <w:tcBorders>
              <w:tl2br w:val="nil"/>
              <w:tr2bl w:val="nil"/>
            </w:tcBorders>
            <w:shd w:val="clear" w:color="auto" w:fill="auto"/>
            <w:noWrap/>
            <w:tcMar>
              <w:top w:w="15" w:type="dxa"/>
              <w:left w:w="15" w:type="dxa"/>
              <w:right w:w="15" w:type="dxa"/>
            </w:tcMar>
            <w:vAlign w:val="center"/>
          </w:tcPr>
          <w:p w14:paraId="233AC4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25</w:t>
            </w:r>
          </w:p>
        </w:tc>
        <w:tc>
          <w:tcPr>
            <w:tcW w:w="330" w:type="pct"/>
            <w:tcBorders>
              <w:tl2br w:val="nil"/>
              <w:tr2bl w:val="nil"/>
            </w:tcBorders>
            <w:shd w:val="clear" w:color="auto" w:fill="auto"/>
            <w:noWrap/>
            <w:tcMar>
              <w:top w:w="15" w:type="dxa"/>
              <w:left w:w="15" w:type="dxa"/>
              <w:right w:w="15" w:type="dxa"/>
            </w:tcMar>
            <w:vAlign w:val="center"/>
          </w:tcPr>
          <w:p w14:paraId="6AB535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32</w:t>
            </w:r>
          </w:p>
        </w:tc>
        <w:tc>
          <w:tcPr>
            <w:tcW w:w="331" w:type="pct"/>
            <w:tcBorders>
              <w:tl2br w:val="nil"/>
              <w:tr2bl w:val="nil"/>
            </w:tcBorders>
            <w:shd w:val="clear" w:color="auto" w:fill="auto"/>
            <w:noWrap/>
            <w:tcMar>
              <w:top w:w="15" w:type="dxa"/>
              <w:left w:w="15" w:type="dxa"/>
              <w:right w:w="15" w:type="dxa"/>
            </w:tcMar>
            <w:vAlign w:val="center"/>
          </w:tcPr>
          <w:p w14:paraId="724D8D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56</w:t>
            </w:r>
          </w:p>
        </w:tc>
        <w:tc>
          <w:tcPr>
            <w:tcW w:w="331" w:type="pct"/>
            <w:tcBorders>
              <w:tl2br w:val="nil"/>
              <w:tr2bl w:val="nil"/>
            </w:tcBorders>
            <w:shd w:val="clear" w:color="auto" w:fill="auto"/>
            <w:noWrap/>
            <w:tcMar>
              <w:top w:w="15" w:type="dxa"/>
              <w:left w:w="15" w:type="dxa"/>
              <w:right w:w="15" w:type="dxa"/>
            </w:tcMar>
            <w:vAlign w:val="center"/>
          </w:tcPr>
          <w:p w14:paraId="07DA70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10.5</w:t>
            </w:r>
          </w:p>
        </w:tc>
      </w:tr>
      <w:tr w14:paraId="17B995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195" w:type="pct"/>
            <w:tcBorders>
              <w:tl2br w:val="nil"/>
              <w:tr2bl w:val="nil"/>
            </w:tcBorders>
            <w:shd w:val="clear" w:color="auto" w:fill="auto"/>
            <w:noWrap/>
            <w:tcMar>
              <w:top w:w="15" w:type="dxa"/>
              <w:left w:w="15" w:type="dxa"/>
              <w:right w:w="15" w:type="dxa"/>
            </w:tcMar>
            <w:vAlign w:val="center"/>
          </w:tcPr>
          <w:p w14:paraId="33C488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20</w:t>
            </w:r>
          </w:p>
        </w:tc>
        <w:tc>
          <w:tcPr>
            <w:tcW w:w="369" w:type="pct"/>
            <w:tcBorders>
              <w:tl2br w:val="nil"/>
              <w:tr2bl w:val="nil"/>
            </w:tcBorders>
            <w:shd w:val="clear" w:color="auto" w:fill="auto"/>
            <w:noWrap/>
            <w:tcMar>
              <w:top w:w="15" w:type="dxa"/>
              <w:left w:w="15" w:type="dxa"/>
              <w:right w:w="15" w:type="dxa"/>
            </w:tcMar>
            <w:vAlign w:val="center"/>
          </w:tcPr>
          <w:p w14:paraId="1CFC49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HR-JJ-6</w:t>
            </w:r>
          </w:p>
        </w:tc>
        <w:tc>
          <w:tcPr>
            <w:tcW w:w="897" w:type="pct"/>
            <w:tcBorders>
              <w:tl2br w:val="nil"/>
              <w:tr2bl w:val="nil"/>
            </w:tcBorders>
            <w:shd w:val="clear" w:color="auto" w:fill="auto"/>
            <w:noWrap/>
            <w:tcMar>
              <w:top w:w="15" w:type="dxa"/>
              <w:left w:w="15" w:type="dxa"/>
              <w:right w:w="15" w:type="dxa"/>
            </w:tcMar>
            <w:vAlign w:val="center"/>
          </w:tcPr>
          <w:p w14:paraId="595967CE">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企业聚集区南侧</w:t>
            </w:r>
          </w:p>
        </w:tc>
        <w:tc>
          <w:tcPr>
            <w:tcW w:w="887" w:type="pct"/>
            <w:gridSpan w:val="2"/>
            <w:tcBorders>
              <w:tl2br w:val="nil"/>
              <w:tr2bl w:val="nil"/>
            </w:tcBorders>
            <w:shd w:val="clear" w:color="auto" w:fill="auto"/>
            <w:noWrap/>
            <w:tcMar>
              <w:top w:w="15" w:type="dxa"/>
              <w:left w:w="15" w:type="dxa"/>
              <w:right w:w="15" w:type="dxa"/>
            </w:tcMar>
            <w:vAlign w:val="center"/>
          </w:tcPr>
          <w:p w14:paraId="2D9D54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color w:val="000000"/>
                <w:sz w:val="21"/>
                <w:szCs w:val="21"/>
                <w:highlight w:val="none"/>
                <w:u w:val="none"/>
                <w:lang w:val="en-US" w:eastAsia="zh-CN"/>
              </w:rPr>
              <w:t>第</w:t>
            </w:r>
            <w:r>
              <w:rPr>
                <w:rFonts w:hint="default" w:ascii="Times New Roman" w:hAnsi="Times New Roman" w:cs="Times New Roman"/>
                <w:i w:val="0"/>
                <w:color w:val="000000"/>
                <w:sz w:val="21"/>
                <w:szCs w:val="21"/>
                <w:highlight w:val="none"/>
                <w:u w:val="none"/>
                <w:lang w:val="en-US" w:eastAsia="zh-CN"/>
              </w:rPr>
              <w:t>一类用地筛选值</w:t>
            </w:r>
          </w:p>
        </w:tc>
        <w:tc>
          <w:tcPr>
            <w:tcW w:w="330" w:type="pct"/>
            <w:tcBorders>
              <w:tl2br w:val="nil"/>
              <w:tr2bl w:val="nil"/>
            </w:tcBorders>
            <w:shd w:val="clear" w:color="auto" w:fill="auto"/>
            <w:noWrap/>
            <w:tcMar>
              <w:top w:w="15" w:type="dxa"/>
              <w:left w:w="15" w:type="dxa"/>
              <w:right w:w="15" w:type="dxa"/>
            </w:tcMar>
            <w:vAlign w:val="center"/>
          </w:tcPr>
          <w:p w14:paraId="636F49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19.2</w:t>
            </w:r>
          </w:p>
        </w:tc>
        <w:tc>
          <w:tcPr>
            <w:tcW w:w="330" w:type="pct"/>
            <w:tcBorders>
              <w:tl2br w:val="nil"/>
              <w:tr2bl w:val="nil"/>
            </w:tcBorders>
            <w:shd w:val="clear" w:color="auto" w:fill="auto"/>
            <w:noWrap/>
            <w:tcMar>
              <w:top w:w="15" w:type="dxa"/>
              <w:left w:w="15" w:type="dxa"/>
              <w:right w:w="15" w:type="dxa"/>
            </w:tcMar>
            <w:vAlign w:val="center"/>
          </w:tcPr>
          <w:p w14:paraId="0AC313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0.09</w:t>
            </w:r>
          </w:p>
        </w:tc>
        <w:tc>
          <w:tcPr>
            <w:tcW w:w="330" w:type="pct"/>
            <w:tcBorders>
              <w:tl2br w:val="nil"/>
              <w:tr2bl w:val="nil"/>
            </w:tcBorders>
            <w:shd w:val="clear" w:color="auto" w:fill="auto"/>
            <w:noWrap/>
            <w:tcMar>
              <w:top w:w="15" w:type="dxa"/>
              <w:left w:w="15" w:type="dxa"/>
              <w:right w:w="15" w:type="dxa"/>
            </w:tcMar>
            <w:vAlign w:val="center"/>
          </w:tcPr>
          <w:p w14:paraId="6729F7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13.3</w:t>
            </w:r>
          </w:p>
        </w:tc>
        <w:tc>
          <w:tcPr>
            <w:tcW w:w="330" w:type="pct"/>
            <w:tcBorders>
              <w:tl2br w:val="nil"/>
              <w:tr2bl w:val="nil"/>
            </w:tcBorders>
            <w:shd w:val="clear" w:color="auto" w:fill="auto"/>
            <w:noWrap/>
            <w:tcMar>
              <w:top w:w="15" w:type="dxa"/>
              <w:left w:w="15" w:type="dxa"/>
              <w:right w:w="15" w:type="dxa"/>
            </w:tcMar>
            <w:vAlign w:val="center"/>
          </w:tcPr>
          <w:p w14:paraId="3EA4F0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cs="Times New Roman"/>
                <w:i w:val="0"/>
                <w:color w:val="000000"/>
                <w:sz w:val="21"/>
                <w:szCs w:val="21"/>
                <w:highlight w:val="none"/>
                <w:u w:val="none"/>
                <w:lang w:val="en-US" w:eastAsia="zh-CN"/>
              </w:rPr>
              <w:t>＜0.01</w:t>
            </w:r>
          </w:p>
        </w:tc>
        <w:tc>
          <w:tcPr>
            <w:tcW w:w="330" w:type="pct"/>
            <w:tcBorders>
              <w:tl2br w:val="nil"/>
              <w:tr2bl w:val="nil"/>
            </w:tcBorders>
            <w:shd w:val="clear" w:color="auto" w:fill="auto"/>
            <w:noWrap/>
            <w:tcMar>
              <w:top w:w="15" w:type="dxa"/>
              <w:left w:w="15" w:type="dxa"/>
              <w:right w:w="15" w:type="dxa"/>
            </w:tcMar>
            <w:vAlign w:val="center"/>
          </w:tcPr>
          <w:p w14:paraId="429B8F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29</w:t>
            </w:r>
          </w:p>
        </w:tc>
        <w:tc>
          <w:tcPr>
            <w:tcW w:w="330" w:type="pct"/>
            <w:tcBorders>
              <w:tl2br w:val="nil"/>
              <w:tr2bl w:val="nil"/>
            </w:tcBorders>
            <w:shd w:val="clear" w:color="auto" w:fill="auto"/>
            <w:noWrap/>
            <w:tcMar>
              <w:top w:w="15" w:type="dxa"/>
              <w:left w:w="15" w:type="dxa"/>
              <w:right w:w="15" w:type="dxa"/>
            </w:tcMar>
            <w:vAlign w:val="center"/>
          </w:tcPr>
          <w:p w14:paraId="521187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36</w:t>
            </w:r>
          </w:p>
        </w:tc>
        <w:tc>
          <w:tcPr>
            <w:tcW w:w="331" w:type="pct"/>
            <w:tcBorders>
              <w:tl2br w:val="nil"/>
              <w:tr2bl w:val="nil"/>
            </w:tcBorders>
            <w:shd w:val="clear" w:color="auto" w:fill="auto"/>
            <w:noWrap/>
            <w:tcMar>
              <w:top w:w="15" w:type="dxa"/>
              <w:left w:w="15" w:type="dxa"/>
              <w:right w:w="15" w:type="dxa"/>
            </w:tcMar>
            <w:vAlign w:val="center"/>
          </w:tcPr>
          <w:p w14:paraId="11ECEF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58</w:t>
            </w:r>
          </w:p>
        </w:tc>
        <w:tc>
          <w:tcPr>
            <w:tcW w:w="331" w:type="pct"/>
            <w:tcBorders>
              <w:tl2br w:val="nil"/>
              <w:tr2bl w:val="nil"/>
            </w:tcBorders>
            <w:shd w:val="clear" w:color="auto" w:fill="auto"/>
            <w:noWrap/>
            <w:tcMar>
              <w:top w:w="15" w:type="dxa"/>
              <w:left w:w="15" w:type="dxa"/>
              <w:right w:w="15" w:type="dxa"/>
            </w:tcMar>
            <w:vAlign w:val="center"/>
          </w:tcPr>
          <w:p w14:paraId="68153D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13.4</w:t>
            </w:r>
          </w:p>
        </w:tc>
      </w:tr>
      <w:tr w14:paraId="7BC551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2348" w:type="pct"/>
            <w:gridSpan w:val="4"/>
            <w:tcBorders>
              <w:tl2br w:val="nil"/>
              <w:tr2bl w:val="nil"/>
            </w:tcBorders>
            <w:shd w:val="clear" w:color="auto" w:fill="auto"/>
            <w:noWrap/>
            <w:tcMar>
              <w:top w:w="15" w:type="dxa"/>
              <w:left w:w="15" w:type="dxa"/>
              <w:right w:w="15" w:type="dxa"/>
            </w:tcMar>
            <w:vAlign w:val="center"/>
          </w:tcPr>
          <w:p w14:paraId="5DFC58E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最大值</w:t>
            </w:r>
          </w:p>
        </w:tc>
        <w:tc>
          <w:tcPr>
            <w:tcW w:w="333" w:type="pct"/>
            <w:gridSpan w:val="2"/>
            <w:tcBorders>
              <w:tl2br w:val="nil"/>
              <w:tr2bl w:val="nil"/>
            </w:tcBorders>
            <w:shd w:val="clear" w:color="auto" w:fill="auto"/>
            <w:noWrap/>
            <w:tcMar>
              <w:top w:w="15" w:type="dxa"/>
              <w:left w:w="15" w:type="dxa"/>
              <w:right w:w="15" w:type="dxa"/>
            </w:tcMar>
            <w:vAlign w:val="center"/>
          </w:tcPr>
          <w:p w14:paraId="4CC9F0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36</w:t>
            </w:r>
            <w:r>
              <w:rPr>
                <w:rFonts w:hint="default" w:ascii="Times New Roman" w:hAnsi="Times New Roman" w:cs="Times New Roman"/>
                <w:i w:val="0"/>
                <w:color w:val="000000"/>
                <w:kern w:val="0"/>
                <w:sz w:val="21"/>
                <w:szCs w:val="21"/>
                <w:highlight w:val="none"/>
                <w:u w:val="none"/>
                <w:lang w:val="en-US" w:eastAsia="zh-CN" w:bidi="ar"/>
              </w:rPr>
              <w:t>.0</w:t>
            </w:r>
          </w:p>
        </w:tc>
        <w:tc>
          <w:tcPr>
            <w:tcW w:w="330" w:type="pct"/>
            <w:tcBorders>
              <w:tl2br w:val="nil"/>
              <w:tr2bl w:val="nil"/>
            </w:tcBorders>
            <w:shd w:val="clear" w:color="auto" w:fill="auto"/>
            <w:noWrap/>
            <w:tcMar>
              <w:top w:w="15" w:type="dxa"/>
              <w:left w:w="15" w:type="dxa"/>
              <w:right w:w="15" w:type="dxa"/>
            </w:tcMar>
            <w:vAlign w:val="center"/>
          </w:tcPr>
          <w:p w14:paraId="30C0BE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0.23</w:t>
            </w:r>
          </w:p>
        </w:tc>
        <w:tc>
          <w:tcPr>
            <w:tcW w:w="330" w:type="pct"/>
            <w:tcBorders>
              <w:tl2br w:val="nil"/>
              <w:tr2bl w:val="nil"/>
            </w:tcBorders>
            <w:shd w:val="clear" w:color="auto" w:fill="auto"/>
            <w:noWrap/>
            <w:tcMar>
              <w:top w:w="15" w:type="dxa"/>
              <w:left w:w="15" w:type="dxa"/>
              <w:right w:w="15" w:type="dxa"/>
            </w:tcMar>
            <w:vAlign w:val="center"/>
          </w:tcPr>
          <w:p w14:paraId="6917A9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13.3</w:t>
            </w:r>
          </w:p>
        </w:tc>
        <w:tc>
          <w:tcPr>
            <w:tcW w:w="330" w:type="pct"/>
            <w:tcBorders>
              <w:tl2br w:val="nil"/>
              <w:tr2bl w:val="nil"/>
            </w:tcBorders>
            <w:shd w:val="clear" w:color="auto" w:fill="auto"/>
            <w:noWrap/>
            <w:tcMar>
              <w:top w:w="15" w:type="dxa"/>
              <w:left w:w="15" w:type="dxa"/>
              <w:right w:w="15" w:type="dxa"/>
            </w:tcMar>
            <w:vAlign w:val="center"/>
          </w:tcPr>
          <w:p w14:paraId="39D031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0.23</w:t>
            </w:r>
          </w:p>
        </w:tc>
        <w:tc>
          <w:tcPr>
            <w:tcW w:w="330" w:type="pct"/>
            <w:tcBorders>
              <w:tl2br w:val="nil"/>
              <w:tr2bl w:val="nil"/>
            </w:tcBorders>
            <w:shd w:val="clear" w:color="auto" w:fill="auto"/>
            <w:noWrap/>
            <w:tcMar>
              <w:top w:w="15" w:type="dxa"/>
              <w:left w:w="15" w:type="dxa"/>
              <w:right w:w="15" w:type="dxa"/>
            </w:tcMar>
            <w:vAlign w:val="center"/>
          </w:tcPr>
          <w:p w14:paraId="786947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41</w:t>
            </w:r>
          </w:p>
        </w:tc>
        <w:tc>
          <w:tcPr>
            <w:tcW w:w="330" w:type="pct"/>
            <w:tcBorders>
              <w:tl2br w:val="nil"/>
              <w:tr2bl w:val="nil"/>
            </w:tcBorders>
            <w:shd w:val="clear" w:color="auto" w:fill="auto"/>
            <w:noWrap/>
            <w:tcMar>
              <w:top w:w="15" w:type="dxa"/>
              <w:left w:w="15" w:type="dxa"/>
              <w:right w:w="15" w:type="dxa"/>
            </w:tcMar>
            <w:vAlign w:val="center"/>
          </w:tcPr>
          <w:p w14:paraId="501FFB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71</w:t>
            </w:r>
          </w:p>
        </w:tc>
        <w:tc>
          <w:tcPr>
            <w:tcW w:w="331" w:type="pct"/>
            <w:tcBorders>
              <w:tl2br w:val="nil"/>
              <w:tr2bl w:val="nil"/>
            </w:tcBorders>
            <w:shd w:val="clear" w:color="auto" w:fill="auto"/>
            <w:noWrap/>
            <w:tcMar>
              <w:top w:w="15" w:type="dxa"/>
              <w:left w:w="15" w:type="dxa"/>
              <w:right w:w="15" w:type="dxa"/>
            </w:tcMar>
            <w:vAlign w:val="center"/>
          </w:tcPr>
          <w:p w14:paraId="18B6E0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172</w:t>
            </w:r>
          </w:p>
        </w:tc>
        <w:tc>
          <w:tcPr>
            <w:tcW w:w="331" w:type="pct"/>
            <w:tcBorders>
              <w:tl2br w:val="nil"/>
              <w:tr2bl w:val="nil"/>
            </w:tcBorders>
            <w:shd w:val="clear" w:color="auto" w:fill="auto"/>
            <w:noWrap/>
            <w:tcMar>
              <w:top w:w="15" w:type="dxa"/>
              <w:left w:w="15" w:type="dxa"/>
              <w:right w:w="15" w:type="dxa"/>
            </w:tcMar>
            <w:vAlign w:val="center"/>
          </w:tcPr>
          <w:p w14:paraId="5D8DCC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13.4</w:t>
            </w:r>
          </w:p>
        </w:tc>
      </w:tr>
      <w:tr w14:paraId="007329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2348" w:type="pct"/>
            <w:gridSpan w:val="4"/>
            <w:tcBorders>
              <w:tl2br w:val="nil"/>
              <w:tr2bl w:val="nil"/>
            </w:tcBorders>
            <w:shd w:val="clear" w:color="auto" w:fill="auto"/>
            <w:noWrap/>
            <w:tcMar>
              <w:top w:w="15" w:type="dxa"/>
              <w:left w:w="15" w:type="dxa"/>
              <w:right w:w="15" w:type="dxa"/>
            </w:tcMar>
            <w:vAlign w:val="center"/>
          </w:tcPr>
          <w:p w14:paraId="05921C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最小值</w:t>
            </w:r>
          </w:p>
        </w:tc>
        <w:tc>
          <w:tcPr>
            <w:tcW w:w="333" w:type="pct"/>
            <w:gridSpan w:val="2"/>
            <w:tcBorders>
              <w:tl2br w:val="nil"/>
              <w:tr2bl w:val="nil"/>
            </w:tcBorders>
            <w:shd w:val="clear" w:color="auto" w:fill="auto"/>
            <w:noWrap/>
            <w:tcMar>
              <w:top w:w="15" w:type="dxa"/>
              <w:left w:w="15" w:type="dxa"/>
              <w:right w:w="15" w:type="dxa"/>
            </w:tcMar>
            <w:vAlign w:val="center"/>
          </w:tcPr>
          <w:p w14:paraId="5A00C7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16.4</w:t>
            </w:r>
          </w:p>
        </w:tc>
        <w:tc>
          <w:tcPr>
            <w:tcW w:w="330" w:type="pct"/>
            <w:tcBorders>
              <w:tl2br w:val="nil"/>
              <w:tr2bl w:val="nil"/>
            </w:tcBorders>
            <w:shd w:val="clear" w:color="auto" w:fill="auto"/>
            <w:noWrap/>
            <w:tcMar>
              <w:top w:w="15" w:type="dxa"/>
              <w:left w:w="15" w:type="dxa"/>
              <w:right w:w="15" w:type="dxa"/>
            </w:tcMar>
            <w:vAlign w:val="center"/>
          </w:tcPr>
          <w:p w14:paraId="44F0CF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0.07</w:t>
            </w:r>
          </w:p>
        </w:tc>
        <w:tc>
          <w:tcPr>
            <w:tcW w:w="330" w:type="pct"/>
            <w:tcBorders>
              <w:tl2br w:val="nil"/>
              <w:tr2bl w:val="nil"/>
            </w:tcBorders>
            <w:shd w:val="clear" w:color="auto" w:fill="auto"/>
            <w:noWrap/>
            <w:tcMar>
              <w:top w:w="15" w:type="dxa"/>
              <w:left w:w="15" w:type="dxa"/>
              <w:right w:w="15" w:type="dxa"/>
            </w:tcMar>
            <w:vAlign w:val="center"/>
          </w:tcPr>
          <w:p w14:paraId="234F87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8.09</w:t>
            </w:r>
          </w:p>
        </w:tc>
        <w:tc>
          <w:tcPr>
            <w:tcW w:w="330" w:type="pct"/>
            <w:tcBorders>
              <w:tl2br w:val="nil"/>
              <w:tr2bl w:val="nil"/>
            </w:tcBorders>
            <w:shd w:val="clear" w:color="auto" w:fill="auto"/>
            <w:noWrap/>
            <w:tcMar>
              <w:top w:w="15" w:type="dxa"/>
              <w:left w:w="15" w:type="dxa"/>
              <w:right w:w="15" w:type="dxa"/>
            </w:tcMar>
            <w:vAlign w:val="center"/>
          </w:tcPr>
          <w:p w14:paraId="315794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0.01</w:t>
            </w:r>
          </w:p>
        </w:tc>
        <w:tc>
          <w:tcPr>
            <w:tcW w:w="330" w:type="pct"/>
            <w:tcBorders>
              <w:tl2br w:val="nil"/>
              <w:tr2bl w:val="nil"/>
            </w:tcBorders>
            <w:shd w:val="clear" w:color="auto" w:fill="auto"/>
            <w:noWrap/>
            <w:tcMar>
              <w:top w:w="15" w:type="dxa"/>
              <w:left w:w="15" w:type="dxa"/>
              <w:right w:w="15" w:type="dxa"/>
            </w:tcMar>
            <w:vAlign w:val="center"/>
          </w:tcPr>
          <w:p w14:paraId="267363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19</w:t>
            </w:r>
          </w:p>
        </w:tc>
        <w:tc>
          <w:tcPr>
            <w:tcW w:w="330" w:type="pct"/>
            <w:tcBorders>
              <w:tl2br w:val="nil"/>
              <w:tr2bl w:val="nil"/>
            </w:tcBorders>
            <w:shd w:val="clear" w:color="auto" w:fill="auto"/>
            <w:noWrap/>
            <w:tcMar>
              <w:top w:w="15" w:type="dxa"/>
              <w:left w:w="15" w:type="dxa"/>
              <w:right w:w="15" w:type="dxa"/>
            </w:tcMar>
            <w:vAlign w:val="center"/>
          </w:tcPr>
          <w:p w14:paraId="39D953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18</w:t>
            </w:r>
          </w:p>
        </w:tc>
        <w:tc>
          <w:tcPr>
            <w:tcW w:w="331" w:type="pct"/>
            <w:tcBorders>
              <w:tl2br w:val="nil"/>
              <w:tr2bl w:val="nil"/>
            </w:tcBorders>
            <w:shd w:val="clear" w:color="auto" w:fill="auto"/>
            <w:noWrap/>
            <w:tcMar>
              <w:top w:w="15" w:type="dxa"/>
              <w:left w:w="15" w:type="dxa"/>
              <w:right w:w="15" w:type="dxa"/>
            </w:tcMar>
            <w:vAlign w:val="center"/>
          </w:tcPr>
          <w:p w14:paraId="512F2E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41</w:t>
            </w:r>
          </w:p>
        </w:tc>
        <w:tc>
          <w:tcPr>
            <w:tcW w:w="331" w:type="pct"/>
            <w:tcBorders>
              <w:tl2br w:val="nil"/>
              <w:tr2bl w:val="nil"/>
            </w:tcBorders>
            <w:shd w:val="clear" w:color="auto" w:fill="auto"/>
            <w:noWrap/>
            <w:tcMar>
              <w:top w:w="15" w:type="dxa"/>
              <w:left w:w="15" w:type="dxa"/>
              <w:right w:w="15" w:type="dxa"/>
            </w:tcMar>
            <w:vAlign w:val="center"/>
          </w:tcPr>
          <w:p w14:paraId="1D931E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5.8</w:t>
            </w:r>
            <w:r>
              <w:rPr>
                <w:rFonts w:hint="default" w:ascii="Times New Roman" w:hAnsi="Times New Roman" w:cs="Times New Roman"/>
                <w:i w:val="0"/>
                <w:color w:val="000000"/>
                <w:kern w:val="0"/>
                <w:sz w:val="21"/>
                <w:szCs w:val="21"/>
                <w:highlight w:val="none"/>
                <w:u w:val="none"/>
                <w:lang w:val="en-US" w:eastAsia="zh-CN" w:bidi="ar"/>
              </w:rPr>
              <w:t>0</w:t>
            </w:r>
          </w:p>
        </w:tc>
      </w:tr>
      <w:tr w14:paraId="5CD9FA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2350" w:type="pct"/>
            <w:gridSpan w:val="5"/>
            <w:tcBorders>
              <w:tl2br w:val="nil"/>
              <w:tr2bl w:val="nil"/>
            </w:tcBorders>
            <w:shd w:val="clear" w:color="auto" w:fill="auto"/>
            <w:noWrap/>
            <w:tcMar>
              <w:top w:w="15" w:type="dxa"/>
              <w:left w:w="15" w:type="dxa"/>
              <w:right w:w="15" w:type="dxa"/>
            </w:tcMar>
            <w:vAlign w:val="center"/>
          </w:tcPr>
          <w:p w14:paraId="52CE9D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平均值</w:t>
            </w:r>
          </w:p>
        </w:tc>
        <w:tc>
          <w:tcPr>
            <w:tcW w:w="330" w:type="pct"/>
            <w:tcBorders>
              <w:tl2br w:val="nil"/>
              <w:tr2bl w:val="nil"/>
            </w:tcBorders>
            <w:shd w:val="clear" w:color="auto" w:fill="auto"/>
            <w:noWrap/>
            <w:tcMar>
              <w:top w:w="15" w:type="dxa"/>
              <w:left w:w="15" w:type="dxa"/>
              <w:right w:w="15" w:type="dxa"/>
            </w:tcMar>
            <w:vAlign w:val="center"/>
          </w:tcPr>
          <w:p w14:paraId="4F2407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22.</w:t>
            </w:r>
            <w:r>
              <w:rPr>
                <w:rFonts w:hint="default" w:ascii="Times New Roman" w:hAnsi="Times New Roman" w:cs="Times New Roman"/>
                <w:i w:val="0"/>
                <w:color w:val="000000"/>
                <w:kern w:val="0"/>
                <w:sz w:val="21"/>
                <w:szCs w:val="21"/>
                <w:highlight w:val="none"/>
                <w:u w:val="none"/>
                <w:lang w:val="en-US" w:eastAsia="zh-CN" w:bidi="ar"/>
              </w:rPr>
              <w:t>6</w:t>
            </w:r>
          </w:p>
        </w:tc>
        <w:tc>
          <w:tcPr>
            <w:tcW w:w="330" w:type="pct"/>
            <w:tcBorders>
              <w:tl2br w:val="nil"/>
              <w:tr2bl w:val="nil"/>
            </w:tcBorders>
            <w:shd w:val="clear" w:color="auto" w:fill="auto"/>
            <w:noWrap/>
            <w:tcMar>
              <w:top w:w="15" w:type="dxa"/>
              <w:left w:w="15" w:type="dxa"/>
              <w:right w:w="15" w:type="dxa"/>
            </w:tcMar>
            <w:vAlign w:val="center"/>
          </w:tcPr>
          <w:p w14:paraId="14A61D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0.12</w:t>
            </w:r>
          </w:p>
        </w:tc>
        <w:tc>
          <w:tcPr>
            <w:tcW w:w="330" w:type="pct"/>
            <w:tcBorders>
              <w:tl2br w:val="nil"/>
              <w:tr2bl w:val="nil"/>
            </w:tcBorders>
            <w:shd w:val="clear" w:color="auto" w:fill="auto"/>
            <w:noWrap/>
            <w:tcMar>
              <w:top w:w="15" w:type="dxa"/>
              <w:left w:w="15" w:type="dxa"/>
              <w:right w:w="15" w:type="dxa"/>
            </w:tcMar>
            <w:vAlign w:val="center"/>
          </w:tcPr>
          <w:p w14:paraId="71999B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10.</w:t>
            </w:r>
            <w:r>
              <w:rPr>
                <w:rFonts w:hint="default" w:ascii="Times New Roman" w:hAnsi="Times New Roman" w:cs="Times New Roman"/>
                <w:i w:val="0"/>
                <w:color w:val="000000"/>
                <w:kern w:val="0"/>
                <w:sz w:val="21"/>
                <w:szCs w:val="21"/>
                <w:highlight w:val="none"/>
                <w:u w:val="none"/>
                <w:lang w:val="en-US" w:eastAsia="zh-CN" w:bidi="ar"/>
              </w:rPr>
              <w:t>3</w:t>
            </w:r>
          </w:p>
        </w:tc>
        <w:tc>
          <w:tcPr>
            <w:tcW w:w="330" w:type="pct"/>
            <w:tcBorders>
              <w:tl2br w:val="nil"/>
              <w:tr2bl w:val="nil"/>
            </w:tcBorders>
            <w:shd w:val="clear" w:color="auto" w:fill="auto"/>
            <w:noWrap/>
            <w:tcMar>
              <w:top w:w="15" w:type="dxa"/>
              <w:left w:w="15" w:type="dxa"/>
              <w:right w:w="15" w:type="dxa"/>
            </w:tcMar>
            <w:vAlign w:val="center"/>
          </w:tcPr>
          <w:p w14:paraId="1AD782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0.08</w:t>
            </w:r>
          </w:p>
        </w:tc>
        <w:tc>
          <w:tcPr>
            <w:tcW w:w="330" w:type="pct"/>
            <w:tcBorders>
              <w:tl2br w:val="nil"/>
              <w:tr2bl w:val="nil"/>
            </w:tcBorders>
            <w:shd w:val="clear" w:color="auto" w:fill="auto"/>
            <w:noWrap/>
            <w:tcMar>
              <w:top w:w="15" w:type="dxa"/>
              <w:left w:w="15" w:type="dxa"/>
              <w:right w:w="15" w:type="dxa"/>
            </w:tcMar>
            <w:vAlign w:val="center"/>
          </w:tcPr>
          <w:p w14:paraId="62E298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2</w:t>
            </w:r>
            <w:r>
              <w:rPr>
                <w:rFonts w:hint="default" w:ascii="Times New Roman" w:hAnsi="Times New Roman" w:cs="Times New Roman"/>
                <w:i w:val="0"/>
                <w:color w:val="000000"/>
                <w:kern w:val="0"/>
                <w:sz w:val="21"/>
                <w:szCs w:val="21"/>
                <w:highlight w:val="none"/>
                <w:u w:val="none"/>
                <w:lang w:val="en-US" w:eastAsia="zh-CN" w:bidi="ar"/>
              </w:rPr>
              <w:t>7</w:t>
            </w:r>
          </w:p>
        </w:tc>
        <w:tc>
          <w:tcPr>
            <w:tcW w:w="330" w:type="pct"/>
            <w:tcBorders>
              <w:tl2br w:val="nil"/>
              <w:tr2bl w:val="nil"/>
            </w:tcBorders>
            <w:shd w:val="clear" w:color="auto" w:fill="auto"/>
            <w:noWrap/>
            <w:tcMar>
              <w:top w:w="15" w:type="dxa"/>
              <w:left w:w="15" w:type="dxa"/>
              <w:right w:w="15" w:type="dxa"/>
            </w:tcMar>
            <w:vAlign w:val="center"/>
          </w:tcPr>
          <w:p w14:paraId="5BD028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36</w:t>
            </w:r>
          </w:p>
        </w:tc>
        <w:tc>
          <w:tcPr>
            <w:tcW w:w="331" w:type="pct"/>
            <w:tcBorders>
              <w:tl2br w:val="nil"/>
              <w:tr2bl w:val="nil"/>
            </w:tcBorders>
            <w:shd w:val="clear" w:color="auto" w:fill="auto"/>
            <w:noWrap/>
            <w:tcMar>
              <w:top w:w="15" w:type="dxa"/>
              <w:left w:w="15" w:type="dxa"/>
              <w:right w:w="15" w:type="dxa"/>
            </w:tcMar>
            <w:vAlign w:val="center"/>
          </w:tcPr>
          <w:p w14:paraId="22A816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72</w:t>
            </w:r>
          </w:p>
        </w:tc>
        <w:tc>
          <w:tcPr>
            <w:tcW w:w="331" w:type="pct"/>
            <w:tcBorders>
              <w:tl2br w:val="nil"/>
              <w:tr2bl w:val="nil"/>
            </w:tcBorders>
            <w:shd w:val="clear" w:color="auto" w:fill="auto"/>
            <w:noWrap/>
            <w:tcMar>
              <w:top w:w="15" w:type="dxa"/>
              <w:left w:w="15" w:type="dxa"/>
              <w:right w:w="15" w:type="dxa"/>
            </w:tcMar>
            <w:vAlign w:val="center"/>
          </w:tcPr>
          <w:p w14:paraId="06788F2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9.58</w:t>
            </w:r>
          </w:p>
        </w:tc>
      </w:tr>
      <w:tr w14:paraId="17645C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2350" w:type="pct"/>
            <w:gridSpan w:val="5"/>
            <w:tcBorders>
              <w:tl2br w:val="nil"/>
              <w:tr2bl w:val="nil"/>
            </w:tcBorders>
            <w:shd w:val="clear" w:color="auto" w:fill="auto"/>
            <w:noWrap/>
            <w:tcMar>
              <w:top w:w="15" w:type="dxa"/>
              <w:left w:w="15" w:type="dxa"/>
              <w:right w:w="15" w:type="dxa"/>
            </w:tcMar>
            <w:vAlign w:val="center"/>
          </w:tcPr>
          <w:p w14:paraId="064AEA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检出率</w:t>
            </w:r>
          </w:p>
        </w:tc>
        <w:tc>
          <w:tcPr>
            <w:tcW w:w="330" w:type="pct"/>
            <w:tcBorders>
              <w:tl2br w:val="nil"/>
              <w:tr2bl w:val="nil"/>
            </w:tcBorders>
            <w:shd w:val="clear" w:color="auto" w:fill="auto"/>
            <w:noWrap/>
            <w:tcMar>
              <w:top w:w="15" w:type="dxa"/>
              <w:left w:w="15" w:type="dxa"/>
              <w:right w:w="15" w:type="dxa"/>
            </w:tcMar>
            <w:vAlign w:val="center"/>
          </w:tcPr>
          <w:p w14:paraId="282028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100%</w:t>
            </w:r>
          </w:p>
        </w:tc>
        <w:tc>
          <w:tcPr>
            <w:tcW w:w="330" w:type="pct"/>
            <w:tcBorders>
              <w:tl2br w:val="nil"/>
              <w:tr2bl w:val="nil"/>
            </w:tcBorders>
            <w:shd w:val="clear" w:color="auto" w:fill="auto"/>
            <w:noWrap/>
            <w:tcMar>
              <w:top w:w="15" w:type="dxa"/>
              <w:left w:w="15" w:type="dxa"/>
              <w:right w:w="15" w:type="dxa"/>
            </w:tcMar>
            <w:vAlign w:val="center"/>
          </w:tcPr>
          <w:p w14:paraId="53DE80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100%</w:t>
            </w:r>
          </w:p>
        </w:tc>
        <w:tc>
          <w:tcPr>
            <w:tcW w:w="330" w:type="pct"/>
            <w:tcBorders>
              <w:tl2br w:val="nil"/>
              <w:tr2bl w:val="nil"/>
            </w:tcBorders>
            <w:shd w:val="clear" w:color="auto" w:fill="auto"/>
            <w:noWrap/>
            <w:tcMar>
              <w:top w:w="15" w:type="dxa"/>
              <w:left w:w="15" w:type="dxa"/>
              <w:right w:w="15" w:type="dxa"/>
            </w:tcMar>
            <w:vAlign w:val="center"/>
          </w:tcPr>
          <w:p w14:paraId="23D601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100%</w:t>
            </w:r>
          </w:p>
        </w:tc>
        <w:tc>
          <w:tcPr>
            <w:tcW w:w="330" w:type="pct"/>
            <w:tcBorders>
              <w:tl2br w:val="nil"/>
              <w:tr2bl w:val="nil"/>
            </w:tcBorders>
            <w:shd w:val="clear" w:color="auto" w:fill="auto"/>
            <w:noWrap/>
            <w:tcMar>
              <w:top w:w="15" w:type="dxa"/>
              <w:left w:w="15" w:type="dxa"/>
              <w:right w:w="15" w:type="dxa"/>
            </w:tcMar>
            <w:vAlign w:val="center"/>
          </w:tcPr>
          <w:p w14:paraId="2683ED7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100%</w:t>
            </w:r>
          </w:p>
        </w:tc>
        <w:tc>
          <w:tcPr>
            <w:tcW w:w="330" w:type="pct"/>
            <w:tcBorders>
              <w:tl2br w:val="nil"/>
              <w:tr2bl w:val="nil"/>
            </w:tcBorders>
            <w:shd w:val="clear" w:color="auto" w:fill="auto"/>
            <w:noWrap/>
            <w:tcMar>
              <w:top w:w="15" w:type="dxa"/>
              <w:left w:w="15" w:type="dxa"/>
              <w:right w:w="15" w:type="dxa"/>
            </w:tcMar>
            <w:vAlign w:val="center"/>
          </w:tcPr>
          <w:p w14:paraId="6D8C53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100%</w:t>
            </w:r>
          </w:p>
        </w:tc>
        <w:tc>
          <w:tcPr>
            <w:tcW w:w="330" w:type="pct"/>
            <w:tcBorders>
              <w:tl2br w:val="nil"/>
              <w:tr2bl w:val="nil"/>
            </w:tcBorders>
            <w:shd w:val="clear" w:color="auto" w:fill="auto"/>
            <w:noWrap/>
            <w:tcMar>
              <w:top w:w="15" w:type="dxa"/>
              <w:left w:w="15" w:type="dxa"/>
              <w:right w:w="15" w:type="dxa"/>
            </w:tcMar>
            <w:vAlign w:val="center"/>
          </w:tcPr>
          <w:p w14:paraId="760081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100%</w:t>
            </w:r>
          </w:p>
        </w:tc>
        <w:tc>
          <w:tcPr>
            <w:tcW w:w="331" w:type="pct"/>
            <w:tcBorders>
              <w:tl2br w:val="nil"/>
              <w:tr2bl w:val="nil"/>
            </w:tcBorders>
            <w:shd w:val="clear" w:color="auto" w:fill="auto"/>
            <w:noWrap/>
            <w:tcMar>
              <w:top w:w="15" w:type="dxa"/>
              <w:left w:w="15" w:type="dxa"/>
              <w:right w:w="15" w:type="dxa"/>
            </w:tcMar>
            <w:vAlign w:val="center"/>
          </w:tcPr>
          <w:p w14:paraId="2BEFA7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100%</w:t>
            </w:r>
          </w:p>
        </w:tc>
        <w:tc>
          <w:tcPr>
            <w:tcW w:w="331" w:type="pct"/>
            <w:tcBorders>
              <w:tl2br w:val="nil"/>
              <w:tr2bl w:val="nil"/>
            </w:tcBorders>
            <w:shd w:val="clear" w:color="auto" w:fill="auto"/>
            <w:noWrap/>
            <w:tcMar>
              <w:top w:w="15" w:type="dxa"/>
              <w:left w:w="15" w:type="dxa"/>
              <w:right w:w="15" w:type="dxa"/>
            </w:tcMar>
            <w:vAlign w:val="center"/>
          </w:tcPr>
          <w:p w14:paraId="1E6CC0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100%</w:t>
            </w:r>
          </w:p>
        </w:tc>
      </w:tr>
      <w:tr w14:paraId="4410B3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2350" w:type="pct"/>
            <w:gridSpan w:val="5"/>
            <w:tcBorders>
              <w:tl2br w:val="nil"/>
              <w:tr2bl w:val="nil"/>
            </w:tcBorders>
            <w:shd w:val="clear" w:color="auto" w:fill="auto"/>
            <w:noWrap/>
            <w:tcMar>
              <w:top w:w="15" w:type="dxa"/>
              <w:left w:w="15" w:type="dxa"/>
              <w:right w:w="15" w:type="dxa"/>
            </w:tcMar>
            <w:vAlign w:val="center"/>
          </w:tcPr>
          <w:p w14:paraId="08A6D5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第一类建设用地筛选值</w:t>
            </w:r>
          </w:p>
        </w:tc>
        <w:tc>
          <w:tcPr>
            <w:tcW w:w="330" w:type="pct"/>
            <w:tcBorders>
              <w:tl2br w:val="nil"/>
              <w:tr2bl w:val="nil"/>
            </w:tcBorders>
            <w:shd w:val="clear" w:color="auto" w:fill="auto"/>
            <w:noWrap/>
            <w:tcMar>
              <w:top w:w="15" w:type="dxa"/>
              <w:left w:w="15" w:type="dxa"/>
              <w:right w:w="15" w:type="dxa"/>
            </w:tcMar>
            <w:vAlign w:val="center"/>
          </w:tcPr>
          <w:p w14:paraId="7F2558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400</w:t>
            </w:r>
          </w:p>
        </w:tc>
        <w:tc>
          <w:tcPr>
            <w:tcW w:w="330" w:type="pct"/>
            <w:tcBorders>
              <w:tl2br w:val="nil"/>
              <w:tr2bl w:val="nil"/>
            </w:tcBorders>
            <w:shd w:val="clear" w:color="auto" w:fill="auto"/>
            <w:noWrap/>
            <w:tcMar>
              <w:top w:w="15" w:type="dxa"/>
              <w:left w:w="15" w:type="dxa"/>
              <w:right w:w="15" w:type="dxa"/>
            </w:tcMar>
            <w:vAlign w:val="center"/>
          </w:tcPr>
          <w:p w14:paraId="024C23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8</w:t>
            </w:r>
          </w:p>
        </w:tc>
        <w:tc>
          <w:tcPr>
            <w:tcW w:w="330" w:type="pct"/>
            <w:tcBorders>
              <w:tl2br w:val="nil"/>
              <w:tr2bl w:val="nil"/>
            </w:tcBorders>
            <w:shd w:val="clear" w:color="auto" w:fill="auto"/>
            <w:noWrap/>
            <w:tcMar>
              <w:top w:w="15" w:type="dxa"/>
              <w:left w:w="15" w:type="dxa"/>
              <w:right w:w="15" w:type="dxa"/>
            </w:tcMar>
            <w:vAlign w:val="center"/>
          </w:tcPr>
          <w:p w14:paraId="0FD3A3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20</w:t>
            </w:r>
          </w:p>
        </w:tc>
        <w:tc>
          <w:tcPr>
            <w:tcW w:w="330" w:type="pct"/>
            <w:tcBorders>
              <w:tl2br w:val="nil"/>
              <w:tr2bl w:val="nil"/>
            </w:tcBorders>
            <w:shd w:val="clear" w:color="auto" w:fill="auto"/>
            <w:noWrap/>
            <w:tcMar>
              <w:top w:w="15" w:type="dxa"/>
              <w:left w:w="15" w:type="dxa"/>
              <w:right w:w="15" w:type="dxa"/>
            </w:tcMar>
            <w:vAlign w:val="center"/>
          </w:tcPr>
          <w:p w14:paraId="66345C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20</w:t>
            </w:r>
          </w:p>
        </w:tc>
        <w:tc>
          <w:tcPr>
            <w:tcW w:w="330" w:type="pct"/>
            <w:tcBorders>
              <w:tl2br w:val="nil"/>
              <w:tr2bl w:val="nil"/>
            </w:tcBorders>
            <w:shd w:val="clear" w:color="auto" w:fill="auto"/>
            <w:noWrap/>
            <w:tcMar>
              <w:top w:w="15" w:type="dxa"/>
              <w:left w:w="15" w:type="dxa"/>
              <w:right w:w="15" w:type="dxa"/>
            </w:tcMar>
            <w:vAlign w:val="center"/>
          </w:tcPr>
          <w:p w14:paraId="28D3B4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2000</w:t>
            </w:r>
          </w:p>
        </w:tc>
        <w:tc>
          <w:tcPr>
            <w:tcW w:w="330" w:type="pct"/>
            <w:tcBorders>
              <w:tl2br w:val="nil"/>
              <w:tr2bl w:val="nil"/>
            </w:tcBorders>
            <w:shd w:val="clear" w:color="auto" w:fill="auto"/>
            <w:noWrap/>
            <w:tcMar>
              <w:top w:w="15" w:type="dxa"/>
              <w:left w:w="15" w:type="dxa"/>
              <w:right w:w="15" w:type="dxa"/>
            </w:tcMar>
            <w:vAlign w:val="center"/>
          </w:tcPr>
          <w:p w14:paraId="2FD576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150</w:t>
            </w:r>
          </w:p>
        </w:tc>
        <w:tc>
          <w:tcPr>
            <w:tcW w:w="331" w:type="pct"/>
            <w:tcBorders>
              <w:tl2br w:val="nil"/>
              <w:tr2bl w:val="nil"/>
            </w:tcBorders>
            <w:shd w:val="clear" w:color="auto" w:fill="auto"/>
            <w:noWrap/>
            <w:tcMar>
              <w:top w:w="15" w:type="dxa"/>
              <w:left w:w="15" w:type="dxa"/>
              <w:right w:w="15" w:type="dxa"/>
            </w:tcMar>
            <w:vAlign w:val="center"/>
          </w:tcPr>
          <w:p w14:paraId="1C56FD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1210</w:t>
            </w:r>
          </w:p>
        </w:tc>
        <w:tc>
          <w:tcPr>
            <w:tcW w:w="331" w:type="pct"/>
            <w:tcBorders>
              <w:tl2br w:val="nil"/>
              <w:tr2bl w:val="nil"/>
            </w:tcBorders>
            <w:shd w:val="clear" w:color="auto" w:fill="auto"/>
            <w:noWrap/>
            <w:tcMar>
              <w:top w:w="15" w:type="dxa"/>
              <w:left w:w="15" w:type="dxa"/>
              <w:right w:w="15" w:type="dxa"/>
            </w:tcMar>
            <w:vAlign w:val="center"/>
          </w:tcPr>
          <w:p w14:paraId="388980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20</w:t>
            </w:r>
          </w:p>
        </w:tc>
      </w:tr>
      <w:tr w14:paraId="12163A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2350" w:type="pct"/>
            <w:gridSpan w:val="5"/>
            <w:tcBorders>
              <w:tl2br w:val="nil"/>
              <w:tr2bl w:val="nil"/>
            </w:tcBorders>
            <w:shd w:val="clear" w:color="auto" w:fill="auto"/>
            <w:noWrap/>
            <w:tcMar>
              <w:top w:w="15" w:type="dxa"/>
              <w:left w:w="15" w:type="dxa"/>
              <w:right w:w="15" w:type="dxa"/>
            </w:tcMar>
            <w:vAlign w:val="center"/>
          </w:tcPr>
          <w:p w14:paraId="3AD9AE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第二类建设用地筛选值</w:t>
            </w:r>
          </w:p>
        </w:tc>
        <w:tc>
          <w:tcPr>
            <w:tcW w:w="330" w:type="pct"/>
            <w:tcBorders>
              <w:tl2br w:val="nil"/>
              <w:tr2bl w:val="nil"/>
            </w:tcBorders>
            <w:shd w:val="clear" w:color="auto" w:fill="auto"/>
            <w:noWrap/>
            <w:tcMar>
              <w:top w:w="15" w:type="dxa"/>
              <w:left w:w="15" w:type="dxa"/>
              <w:right w:w="15" w:type="dxa"/>
            </w:tcMar>
            <w:vAlign w:val="center"/>
          </w:tcPr>
          <w:p w14:paraId="1830B4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800</w:t>
            </w:r>
          </w:p>
        </w:tc>
        <w:tc>
          <w:tcPr>
            <w:tcW w:w="330" w:type="pct"/>
            <w:tcBorders>
              <w:tl2br w:val="nil"/>
              <w:tr2bl w:val="nil"/>
            </w:tcBorders>
            <w:shd w:val="clear" w:color="auto" w:fill="auto"/>
            <w:noWrap/>
            <w:tcMar>
              <w:top w:w="15" w:type="dxa"/>
              <w:left w:w="15" w:type="dxa"/>
              <w:right w:w="15" w:type="dxa"/>
            </w:tcMar>
            <w:vAlign w:val="center"/>
          </w:tcPr>
          <w:p w14:paraId="6AC114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38</w:t>
            </w:r>
          </w:p>
        </w:tc>
        <w:tc>
          <w:tcPr>
            <w:tcW w:w="330" w:type="pct"/>
            <w:tcBorders>
              <w:tl2br w:val="nil"/>
              <w:tr2bl w:val="nil"/>
            </w:tcBorders>
            <w:shd w:val="clear" w:color="auto" w:fill="auto"/>
            <w:noWrap/>
            <w:tcMar>
              <w:top w:w="15" w:type="dxa"/>
              <w:left w:w="15" w:type="dxa"/>
              <w:right w:w="15" w:type="dxa"/>
            </w:tcMar>
            <w:vAlign w:val="center"/>
          </w:tcPr>
          <w:p w14:paraId="05D132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70</w:t>
            </w:r>
          </w:p>
        </w:tc>
        <w:tc>
          <w:tcPr>
            <w:tcW w:w="330" w:type="pct"/>
            <w:tcBorders>
              <w:tl2br w:val="nil"/>
              <w:tr2bl w:val="nil"/>
            </w:tcBorders>
            <w:shd w:val="clear" w:color="auto" w:fill="auto"/>
            <w:noWrap/>
            <w:tcMar>
              <w:top w:w="15" w:type="dxa"/>
              <w:left w:w="15" w:type="dxa"/>
              <w:right w:w="15" w:type="dxa"/>
            </w:tcMar>
            <w:vAlign w:val="center"/>
          </w:tcPr>
          <w:p w14:paraId="622808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65</w:t>
            </w:r>
          </w:p>
        </w:tc>
        <w:tc>
          <w:tcPr>
            <w:tcW w:w="330" w:type="pct"/>
            <w:tcBorders>
              <w:tl2br w:val="nil"/>
              <w:tr2bl w:val="nil"/>
            </w:tcBorders>
            <w:shd w:val="clear" w:color="auto" w:fill="auto"/>
            <w:noWrap/>
            <w:tcMar>
              <w:top w:w="15" w:type="dxa"/>
              <w:left w:w="15" w:type="dxa"/>
              <w:right w:w="15" w:type="dxa"/>
            </w:tcMar>
            <w:vAlign w:val="center"/>
          </w:tcPr>
          <w:p w14:paraId="42BA35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18000</w:t>
            </w:r>
          </w:p>
        </w:tc>
        <w:tc>
          <w:tcPr>
            <w:tcW w:w="330" w:type="pct"/>
            <w:tcBorders>
              <w:tl2br w:val="nil"/>
              <w:tr2bl w:val="nil"/>
            </w:tcBorders>
            <w:shd w:val="clear" w:color="auto" w:fill="auto"/>
            <w:noWrap/>
            <w:tcMar>
              <w:top w:w="15" w:type="dxa"/>
              <w:left w:w="15" w:type="dxa"/>
              <w:right w:w="15" w:type="dxa"/>
            </w:tcMar>
            <w:vAlign w:val="center"/>
          </w:tcPr>
          <w:p w14:paraId="57A200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900</w:t>
            </w:r>
          </w:p>
        </w:tc>
        <w:tc>
          <w:tcPr>
            <w:tcW w:w="331" w:type="pct"/>
            <w:tcBorders>
              <w:tl2br w:val="nil"/>
              <w:tr2bl w:val="nil"/>
            </w:tcBorders>
            <w:shd w:val="clear" w:color="auto" w:fill="auto"/>
            <w:noWrap/>
            <w:tcMar>
              <w:top w:w="15" w:type="dxa"/>
              <w:left w:w="15" w:type="dxa"/>
              <w:right w:w="15" w:type="dxa"/>
            </w:tcMar>
            <w:vAlign w:val="center"/>
          </w:tcPr>
          <w:p w14:paraId="79CF2A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2910</w:t>
            </w:r>
          </w:p>
        </w:tc>
        <w:tc>
          <w:tcPr>
            <w:tcW w:w="331" w:type="pct"/>
            <w:tcBorders>
              <w:tl2br w:val="nil"/>
              <w:tr2bl w:val="nil"/>
            </w:tcBorders>
            <w:shd w:val="clear" w:color="auto" w:fill="auto"/>
            <w:noWrap/>
            <w:tcMar>
              <w:top w:w="15" w:type="dxa"/>
              <w:left w:w="15" w:type="dxa"/>
              <w:right w:w="15" w:type="dxa"/>
            </w:tcMar>
            <w:vAlign w:val="center"/>
          </w:tcPr>
          <w:p w14:paraId="45C3E5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60</w:t>
            </w:r>
          </w:p>
        </w:tc>
      </w:tr>
      <w:tr w14:paraId="65001B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2350" w:type="pct"/>
            <w:gridSpan w:val="5"/>
            <w:tcBorders>
              <w:tl2br w:val="nil"/>
              <w:tr2bl w:val="nil"/>
            </w:tcBorders>
            <w:shd w:val="clear" w:color="auto" w:fill="auto"/>
            <w:noWrap/>
            <w:tcMar>
              <w:top w:w="15" w:type="dxa"/>
              <w:left w:w="15" w:type="dxa"/>
              <w:right w:w="15" w:type="dxa"/>
            </w:tcMar>
            <w:vAlign w:val="center"/>
          </w:tcPr>
          <w:p w14:paraId="6CACF46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区域背景值</w:t>
            </w:r>
          </w:p>
        </w:tc>
        <w:tc>
          <w:tcPr>
            <w:tcW w:w="330" w:type="pct"/>
            <w:tcBorders>
              <w:tl2br w:val="nil"/>
              <w:tr2bl w:val="nil"/>
            </w:tcBorders>
            <w:shd w:val="clear" w:color="auto" w:fill="auto"/>
            <w:noWrap/>
            <w:tcMar>
              <w:top w:w="15" w:type="dxa"/>
              <w:left w:w="15" w:type="dxa"/>
              <w:right w:w="15" w:type="dxa"/>
            </w:tcMar>
            <w:vAlign w:val="center"/>
          </w:tcPr>
          <w:p w14:paraId="0AD7A8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42.3</w:t>
            </w:r>
          </w:p>
        </w:tc>
        <w:tc>
          <w:tcPr>
            <w:tcW w:w="330" w:type="pct"/>
            <w:tcBorders>
              <w:tl2br w:val="nil"/>
              <w:tr2bl w:val="nil"/>
            </w:tcBorders>
            <w:shd w:val="clear" w:color="auto" w:fill="auto"/>
            <w:noWrap/>
            <w:tcMar>
              <w:top w:w="15" w:type="dxa"/>
              <w:left w:w="15" w:type="dxa"/>
              <w:right w:w="15" w:type="dxa"/>
            </w:tcMar>
            <w:vAlign w:val="center"/>
          </w:tcPr>
          <w:p w14:paraId="5E0006D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0.193</w:t>
            </w:r>
          </w:p>
        </w:tc>
        <w:tc>
          <w:tcPr>
            <w:tcW w:w="330" w:type="pct"/>
            <w:tcBorders>
              <w:tl2br w:val="nil"/>
              <w:tr2bl w:val="nil"/>
            </w:tcBorders>
            <w:shd w:val="clear" w:color="auto" w:fill="auto"/>
            <w:noWrap/>
            <w:tcMar>
              <w:top w:w="15" w:type="dxa"/>
              <w:left w:w="15" w:type="dxa"/>
              <w:right w:w="15" w:type="dxa"/>
            </w:tcMar>
            <w:vAlign w:val="center"/>
          </w:tcPr>
          <w:p w14:paraId="5399DD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40</w:t>
            </w:r>
          </w:p>
        </w:tc>
        <w:tc>
          <w:tcPr>
            <w:tcW w:w="330" w:type="pct"/>
            <w:tcBorders>
              <w:tl2br w:val="nil"/>
              <w:tr2bl w:val="nil"/>
            </w:tcBorders>
            <w:shd w:val="clear" w:color="auto" w:fill="auto"/>
            <w:noWrap/>
            <w:tcMar>
              <w:top w:w="15" w:type="dxa"/>
              <w:left w:w="15" w:type="dxa"/>
              <w:right w:w="15" w:type="dxa"/>
            </w:tcMar>
            <w:vAlign w:val="center"/>
          </w:tcPr>
          <w:p w14:paraId="438B9E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0.5643</w:t>
            </w:r>
          </w:p>
        </w:tc>
        <w:tc>
          <w:tcPr>
            <w:tcW w:w="330" w:type="pct"/>
            <w:tcBorders>
              <w:tl2br w:val="nil"/>
              <w:tr2bl w:val="nil"/>
            </w:tcBorders>
            <w:shd w:val="clear" w:color="auto" w:fill="auto"/>
            <w:noWrap/>
            <w:tcMar>
              <w:top w:w="15" w:type="dxa"/>
              <w:left w:w="15" w:type="dxa"/>
              <w:right w:w="15" w:type="dxa"/>
            </w:tcMar>
            <w:vAlign w:val="center"/>
          </w:tcPr>
          <w:p w14:paraId="57FD82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56.4</w:t>
            </w:r>
          </w:p>
        </w:tc>
        <w:tc>
          <w:tcPr>
            <w:tcW w:w="330" w:type="pct"/>
            <w:tcBorders>
              <w:tl2br w:val="nil"/>
              <w:tr2bl w:val="nil"/>
            </w:tcBorders>
            <w:shd w:val="clear" w:color="auto" w:fill="auto"/>
            <w:noWrap/>
            <w:tcMar>
              <w:top w:w="15" w:type="dxa"/>
              <w:left w:w="15" w:type="dxa"/>
              <w:right w:w="15" w:type="dxa"/>
            </w:tcMar>
            <w:vAlign w:val="center"/>
          </w:tcPr>
          <w:p w14:paraId="16C4BF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54.2</w:t>
            </w:r>
          </w:p>
        </w:tc>
        <w:tc>
          <w:tcPr>
            <w:tcW w:w="331" w:type="pct"/>
            <w:tcBorders>
              <w:tl2br w:val="nil"/>
              <w:tr2bl w:val="nil"/>
            </w:tcBorders>
            <w:shd w:val="clear" w:color="auto" w:fill="auto"/>
            <w:noWrap/>
            <w:tcMar>
              <w:top w:w="15" w:type="dxa"/>
              <w:left w:w="15" w:type="dxa"/>
              <w:right w:w="15" w:type="dxa"/>
            </w:tcMar>
            <w:vAlign w:val="center"/>
          </w:tcPr>
          <w:p w14:paraId="24FD30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146.8</w:t>
            </w:r>
          </w:p>
        </w:tc>
        <w:tc>
          <w:tcPr>
            <w:tcW w:w="331" w:type="pct"/>
            <w:tcBorders>
              <w:tl2br w:val="nil"/>
              <w:tr2bl w:val="nil"/>
            </w:tcBorders>
            <w:shd w:val="clear" w:color="auto" w:fill="auto"/>
            <w:noWrap/>
            <w:tcMar>
              <w:top w:w="15" w:type="dxa"/>
              <w:left w:w="15" w:type="dxa"/>
              <w:right w:w="15" w:type="dxa"/>
            </w:tcMar>
            <w:vAlign w:val="center"/>
          </w:tcPr>
          <w:p w14:paraId="36BE8C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40</w:t>
            </w:r>
          </w:p>
        </w:tc>
      </w:tr>
      <w:tr w14:paraId="252C90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2350" w:type="pct"/>
            <w:gridSpan w:val="5"/>
            <w:tcBorders>
              <w:tl2br w:val="nil"/>
              <w:tr2bl w:val="nil"/>
            </w:tcBorders>
            <w:shd w:val="clear" w:color="auto" w:fill="auto"/>
            <w:noWrap/>
            <w:tcMar>
              <w:top w:w="15" w:type="dxa"/>
              <w:left w:w="15" w:type="dxa"/>
              <w:right w:w="15" w:type="dxa"/>
            </w:tcMar>
            <w:vAlign w:val="center"/>
          </w:tcPr>
          <w:p w14:paraId="5527BF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达标情况</w:t>
            </w:r>
          </w:p>
        </w:tc>
        <w:tc>
          <w:tcPr>
            <w:tcW w:w="330" w:type="pct"/>
            <w:tcBorders>
              <w:tl2br w:val="nil"/>
              <w:tr2bl w:val="nil"/>
            </w:tcBorders>
            <w:shd w:val="clear" w:color="auto" w:fill="auto"/>
            <w:noWrap/>
            <w:tcMar>
              <w:top w:w="15" w:type="dxa"/>
              <w:left w:w="15" w:type="dxa"/>
              <w:right w:w="15" w:type="dxa"/>
            </w:tcMar>
            <w:vAlign w:val="center"/>
          </w:tcPr>
          <w:p w14:paraId="1AD77F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达标</w:t>
            </w:r>
          </w:p>
        </w:tc>
        <w:tc>
          <w:tcPr>
            <w:tcW w:w="330" w:type="pct"/>
            <w:tcBorders>
              <w:tl2br w:val="nil"/>
              <w:tr2bl w:val="nil"/>
            </w:tcBorders>
            <w:shd w:val="clear" w:color="auto" w:fill="auto"/>
            <w:noWrap/>
            <w:tcMar>
              <w:top w:w="15" w:type="dxa"/>
              <w:left w:w="15" w:type="dxa"/>
              <w:right w:w="15" w:type="dxa"/>
            </w:tcMar>
            <w:vAlign w:val="center"/>
          </w:tcPr>
          <w:p w14:paraId="60C338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达标</w:t>
            </w:r>
          </w:p>
        </w:tc>
        <w:tc>
          <w:tcPr>
            <w:tcW w:w="330" w:type="pct"/>
            <w:tcBorders>
              <w:tl2br w:val="nil"/>
              <w:tr2bl w:val="nil"/>
            </w:tcBorders>
            <w:shd w:val="clear" w:color="auto" w:fill="auto"/>
            <w:noWrap/>
            <w:tcMar>
              <w:top w:w="15" w:type="dxa"/>
              <w:left w:w="15" w:type="dxa"/>
              <w:right w:w="15" w:type="dxa"/>
            </w:tcMar>
            <w:vAlign w:val="center"/>
          </w:tcPr>
          <w:p w14:paraId="13FF94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达标</w:t>
            </w:r>
          </w:p>
        </w:tc>
        <w:tc>
          <w:tcPr>
            <w:tcW w:w="330" w:type="pct"/>
            <w:tcBorders>
              <w:tl2br w:val="nil"/>
              <w:tr2bl w:val="nil"/>
            </w:tcBorders>
            <w:shd w:val="clear" w:color="auto" w:fill="auto"/>
            <w:noWrap/>
            <w:tcMar>
              <w:top w:w="15" w:type="dxa"/>
              <w:left w:w="15" w:type="dxa"/>
              <w:right w:w="15" w:type="dxa"/>
            </w:tcMar>
            <w:vAlign w:val="center"/>
          </w:tcPr>
          <w:p w14:paraId="33851F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达标</w:t>
            </w:r>
          </w:p>
        </w:tc>
        <w:tc>
          <w:tcPr>
            <w:tcW w:w="330" w:type="pct"/>
            <w:tcBorders>
              <w:tl2br w:val="nil"/>
              <w:tr2bl w:val="nil"/>
            </w:tcBorders>
            <w:shd w:val="clear" w:color="auto" w:fill="auto"/>
            <w:noWrap/>
            <w:tcMar>
              <w:top w:w="15" w:type="dxa"/>
              <w:left w:w="15" w:type="dxa"/>
              <w:right w:w="15" w:type="dxa"/>
            </w:tcMar>
            <w:vAlign w:val="center"/>
          </w:tcPr>
          <w:p w14:paraId="4E12EF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达标</w:t>
            </w:r>
          </w:p>
        </w:tc>
        <w:tc>
          <w:tcPr>
            <w:tcW w:w="330" w:type="pct"/>
            <w:tcBorders>
              <w:tl2br w:val="nil"/>
              <w:tr2bl w:val="nil"/>
            </w:tcBorders>
            <w:shd w:val="clear" w:color="auto" w:fill="auto"/>
            <w:noWrap/>
            <w:tcMar>
              <w:top w:w="15" w:type="dxa"/>
              <w:left w:w="15" w:type="dxa"/>
              <w:right w:w="15" w:type="dxa"/>
            </w:tcMar>
            <w:vAlign w:val="center"/>
          </w:tcPr>
          <w:p w14:paraId="5BE5DB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达标</w:t>
            </w:r>
          </w:p>
        </w:tc>
        <w:tc>
          <w:tcPr>
            <w:tcW w:w="331" w:type="pct"/>
            <w:tcBorders>
              <w:tl2br w:val="nil"/>
              <w:tr2bl w:val="nil"/>
            </w:tcBorders>
            <w:shd w:val="clear" w:color="auto" w:fill="auto"/>
            <w:noWrap/>
            <w:tcMar>
              <w:top w:w="15" w:type="dxa"/>
              <w:left w:w="15" w:type="dxa"/>
              <w:right w:w="15" w:type="dxa"/>
            </w:tcMar>
            <w:vAlign w:val="center"/>
          </w:tcPr>
          <w:p w14:paraId="0A0F77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达标</w:t>
            </w:r>
          </w:p>
        </w:tc>
        <w:tc>
          <w:tcPr>
            <w:tcW w:w="331" w:type="pct"/>
            <w:tcBorders>
              <w:tl2br w:val="nil"/>
              <w:tr2bl w:val="nil"/>
            </w:tcBorders>
            <w:shd w:val="clear" w:color="auto" w:fill="auto"/>
            <w:noWrap/>
            <w:tcMar>
              <w:top w:w="15" w:type="dxa"/>
              <w:left w:w="15" w:type="dxa"/>
              <w:right w:w="15" w:type="dxa"/>
            </w:tcMar>
            <w:vAlign w:val="center"/>
          </w:tcPr>
          <w:p w14:paraId="7F1924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达标</w:t>
            </w:r>
          </w:p>
        </w:tc>
      </w:tr>
    </w:tbl>
    <w:p w14:paraId="5730E40E">
      <w:pPr>
        <w:numPr>
          <w:ilvl w:val="0"/>
          <w:numId w:val="0"/>
        </w:numPr>
        <w:spacing w:line="240" w:lineRule="auto"/>
        <w:ind w:leftChars="0"/>
        <w:rPr>
          <w:rFonts w:hint="default" w:ascii="Times New Roman" w:hAnsi="Times New Roman" w:cs="Times New Roman"/>
          <w:b/>
          <w:bCs/>
          <w:sz w:val="18"/>
          <w:szCs w:val="18"/>
          <w:highlight w:val="none"/>
          <w:lang w:eastAsia="zh-CN"/>
        </w:rPr>
      </w:pPr>
      <w:bookmarkStart w:id="43" w:name="_Toc21346_WPSOffice_Level2"/>
      <w:bookmarkEnd w:id="43"/>
      <w:bookmarkStart w:id="44" w:name="_Toc20828_WPSOffice_Level2"/>
      <w:bookmarkEnd w:id="44"/>
      <w:r>
        <w:rPr>
          <w:rFonts w:hint="default" w:ascii="Times New Roman" w:hAnsi="Times New Roman" w:cs="Times New Roman"/>
          <w:b/>
          <w:bCs/>
          <w:sz w:val="18"/>
          <w:szCs w:val="18"/>
          <w:highlight w:val="none"/>
          <w:lang w:eastAsia="zh-CN"/>
        </w:rPr>
        <w:t>注：①根据《土壤环境监测技术规范（</w:t>
      </w:r>
      <w:r>
        <w:rPr>
          <w:rFonts w:hint="default" w:ascii="Times New Roman" w:hAnsi="Times New Roman" w:cs="Times New Roman"/>
          <w:b/>
          <w:bCs/>
          <w:sz w:val="18"/>
          <w:szCs w:val="18"/>
          <w:highlight w:val="none"/>
          <w:lang w:val="en-US" w:eastAsia="zh-CN"/>
        </w:rPr>
        <w:t>HJ/T 166-2004</w:t>
      </w:r>
      <w:r>
        <w:rPr>
          <w:rFonts w:hint="default" w:ascii="Times New Roman" w:hAnsi="Times New Roman" w:cs="Times New Roman"/>
          <w:b/>
          <w:bCs/>
          <w:sz w:val="18"/>
          <w:szCs w:val="18"/>
          <w:highlight w:val="none"/>
          <w:lang w:eastAsia="zh-CN"/>
        </w:rPr>
        <w:t>）》低于分析方法检出限的测定结果参加统计时按二分之一最低检出限计算，下同。</w:t>
      </w:r>
    </w:p>
    <w:p w14:paraId="68FCF50E">
      <w:pPr>
        <w:pStyle w:val="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highlight w:val="none"/>
          <w:lang w:eastAsia="zh-CN"/>
        </w:rPr>
      </w:pPr>
      <w:r>
        <w:rPr>
          <w:rFonts w:hint="default" w:ascii="Times New Roman" w:hAnsi="Times New Roman" w:eastAsia="黑体" w:cs="Times New Roman"/>
          <w:b/>
          <w:bCs/>
          <w:color w:val="000000"/>
          <w:sz w:val="24"/>
          <w:highlight w:val="none"/>
        </w:rPr>
        <w:t>表5-</w:t>
      </w:r>
      <w:r>
        <w:rPr>
          <w:rFonts w:hint="default" w:ascii="Times New Roman" w:hAnsi="Times New Roman" w:eastAsia="黑体" w:cs="Times New Roman"/>
          <w:b/>
          <w:bCs/>
          <w:color w:val="000000"/>
          <w:sz w:val="24"/>
          <w:highlight w:val="none"/>
          <w:lang w:val="en-US" w:eastAsia="zh-CN"/>
        </w:rPr>
        <w:t>3-4</w:t>
      </w:r>
      <w:r>
        <w:rPr>
          <w:rFonts w:hint="default" w:ascii="Times New Roman" w:hAnsi="Times New Roman" w:eastAsia="黑体" w:cs="Times New Roman"/>
          <w:b/>
          <w:bCs/>
          <w:color w:val="000000"/>
          <w:sz w:val="24"/>
          <w:highlight w:val="none"/>
        </w:rPr>
        <w:t xml:space="preserve"> 土壤样品</w:t>
      </w:r>
      <w:r>
        <w:rPr>
          <w:rFonts w:hint="default" w:ascii="Times New Roman" w:hAnsi="Times New Roman" w:eastAsia="黑体" w:cs="Times New Roman"/>
          <w:b/>
          <w:bCs/>
          <w:sz w:val="24"/>
          <w:highlight w:val="none"/>
          <w:lang w:eastAsia="zh-CN"/>
        </w:rPr>
        <w:t>已检出</w:t>
      </w:r>
      <w:r>
        <w:rPr>
          <w:rFonts w:hint="default" w:ascii="Times New Roman" w:hAnsi="Times New Roman" w:eastAsia="黑体" w:cs="Times New Roman"/>
          <w:b/>
          <w:bCs/>
          <w:sz w:val="24"/>
          <w:highlight w:val="none"/>
        </w:rPr>
        <w:t>重金属</w:t>
      </w:r>
      <w:r>
        <w:rPr>
          <w:rFonts w:hint="default" w:ascii="Times New Roman" w:hAnsi="Times New Roman" w:eastAsia="黑体" w:cs="Times New Roman"/>
          <w:b/>
          <w:bCs/>
          <w:sz w:val="24"/>
          <w:highlight w:val="none"/>
          <w:lang w:eastAsia="zh-CN"/>
        </w:rPr>
        <w:t>指标</w:t>
      </w:r>
      <w:r>
        <w:rPr>
          <w:rFonts w:hint="default" w:ascii="Times New Roman" w:hAnsi="Times New Roman" w:eastAsia="黑体" w:cs="Times New Roman"/>
          <w:b/>
          <w:bCs/>
          <w:color w:val="000000"/>
          <w:sz w:val="24"/>
          <w:highlight w:val="none"/>
        </w:rPr>
        <w:t>监测值</w:t>
      </w:r>
      <w:r>
        <w:rPr>
          <w:rFonts w:hint="default" w:ascii="Times New Roman" w:hAnsi="Times New Roman" w:eastAsia="黑体" w:cs="Times New Roman"/>
          <w:b/>
          <w:bCs/>
          <w:color w:val="000000"/>
          <w:sz w:val="24"/>
          <w:highlight w:val="none"/>
          <w:lang w:eastAsia="zh-CN"/>
        </w:rPr>
        <w:t>（农用地标准）</w:t>
      </w:r>
      <w:r>
        <w:rPr>
          <w:rFonts w:hint="default" w:ascii="Times New Roman" w:hAnsi="Times New Roman" w:eastAsia="黑体" w:cs="Times New Roman"/>
          <w:b/>
          <w:bCs/>
          <w:color w:val="000000"/>
          <w:sz w:val="24"/>
          <w:highlight w:val="none"/>
        </w:rPr>
        <w:t xml:space="preserve">  （单位：mg/kg）</w:t>
      </w:r>
    </w:p>
    <w:tbl>
      <w:tblPr>
        <w:tblStyle w:val="21"/>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137"/>
        <w:gridCol w:w="1790"/>
        <w:gridCol w:w="2609"/>
        <w:gridCol w:w="841"/>
        <w:gridCol w:w="842"/>
        <w:gridCol w:w="842"/>
        <w:gridCol w:w="842"/>
        <w:gridCol w:w="842"/>
        <w:gridCol w:w="842"/>
        <w:gridCol w:w="842"/>
        <w:gridCol w:w="842"/>
        <w:gridCol w:w="842"/>
        <w:gridCol w:w="1421"/>
      </w:tblGrid>
      <w:tr w14:paraId="799F6F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376" w:type="pct"/>
            <w:tcBorders>
              <w:bottom w:val="single" w:color="auto" w:sz="12" w:space="0"/>
            </w:tcBorders>
            <w:shd w:val="clear" w:color="auto" w:fill="auto"/>
            <w:noWrap/>
            <w:tcMar>
              <w:top w:w="15" w:type="dxa"/>
              <w:left w:w="15" w:type="dxa"/>
              <w:right w:w="15" w:type="dxa"/>
            </w:tcMar>
            <w:vAlign w:val="center"/>
          </w:tcPr>
          <w:p w14:paraId="7ABAF9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pH范围</w:t>
            </w:r>
          </w:p>
        </w:tc>
        <w:tc>
          <w:tcPr>
            <w:tcW w:w="667" w:type="pct"/>
            <w:tcBorders>
              <w:bottom w:val="single" w:color="auto" w:sz="12" w:space="0"/>
            </w:tcBorders>
            <w:shd w:val="clear" w:color="auto" w:fill="auto"/>
            <w:noWrap/>
            <w:tcMar>
              <w:top w:w="15" w:type="dxa"/>
              <w:left w:w="15" w:type="dxa"/>
              <w:right w:w="15" w:type="dxa"/>
            </w:tcMar>
            <w:vAlign w:val="center"/>
          </w:tcPr>
          <w:p w14:paraId="307560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样品编号</w:t>
            </w:r>
          </w:p>
        </w:tc>
        <w:tc>
          <w:tcPr>
            <w:tcW w:w="341" w:type="pct"/>
            <w:tcBorders>
              <w:bottom w:val="single" w:color="auto" w:sz="12" w:space="0"/>
            </w:tcBorders>
            <w:shd w:val="clear" w:color="auto" w:fill="auto"/>
            <w:noWrap/>
            <w:tcMar>
              <w:top w:w="15" w:type="dxa"/>
              <w:left w:w="15" w:type="dxa"/>
              <w:right w:w="15" w:type="dxa"/>
            </w:tcMar>
            <w:vAlign w:val="center"/>
          </w:tcPr>
          <w:p w14:paraId="5CCA38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kern w:val="0"/>
                <w:sz w:val="21"/>
                <w:szCs w:val="21"/>
                <w:highlight w:val="none"/>
                <w:u w:val="none"/>
                <w:lang w:val="en-US" w:eastAsia="zh-CN" w:bidi="ar"/>
              </w:rPr>
            </w:pPr>
            <w:r>
              <w:rPr>
                <w:rFonts w:hint="eastAsia" w:cs="Times New Roman"/>
                <w:b/>
                <w:bCs/>
                <w:i w:val="0"/>
                <w:color w:val="000000"/>
                <w:kern w:val="0"/>
                <w:sz w:val="21"/>
                <w:szCs w:val="21"/>
                <w:highlight w:val="none"/>
                <w:u w:val="none"/>
                <w:lang w:val="en-US" w:eastAsia="zh-CN" w:bidi="ar"/>
              </w:rPr>
              <w:t>点位位置</w:t>
            </w:r>
          </w:p>
        </w:tc>
        <w:tc>
          <w:tcPr>
            <w:tcW w:w="341" w:type="pct"/>
            <w:tcBorders>
              <w:bottom w:val="single" w:color="auto" w:sz="12" w:space="0"/>
            </w:tcBorders>
            <w:shd w:val="clear" w:color="auto" w:fill="auto"/>
            <w:noWrap/>
            <w:tcMar>
              <w:top w:w="15" w:type="dxa"/>
              <w:left w:w="15" w:type="dxa"/>
              <w:right w:w="15" w:type="dxa"/>
            </w:tcMar>
            <w:vAlign w:val="center"/>
          </w:tcPr>
          <w:p w14:paraId="754C03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pH</w:t>
            </w:r>
          </w:p>
        </w:tc>
        <w:tc>
          <w:tcPr>
            <w:tcW w:w="341" w:type="pct"/>
            <w:tcBorders>
              <w:bottom w:val="single" w:color="auto" w:sz="12" w:space="0"/>
            </w:tcBorders>
            <w:shd w:val="clear" w:color="auto" w:fill="auto"/>
            <w:noWrap/>
            <w:tcMar>
              <w:top w:w="15" w:type="dxa"/>
              <w:left w:w="15" w:type="dxa"/>
              <w:right w:w="15" w:type="dxa"/>
            </w:tcMar>
            <w:vAlign w:val="center"/>
          </w:tcPr>
          <w:p w14:paraId="110DFB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铅</w:t>
            </w:r>
          </w:p>
        </w:tc>
        <w:tc>
          <w:tcPr>
            <w:tcW w:w="341" w:type="pct"/>
            <w:tcBorders>
              <w:bottom w:val="single" w:color="auto" w:sz="12" w:space="0"/>
            </w:tcBorders>
            <w:shd w:val="clear" w:color="auto" w:fill="auto"/>
            <w:noWrap/>
            <w:tcMar>
              <w:top w:w="15" w:type="dxa"/>
              <w:left w:w="15" w:type="dxa"/>
              <w:right w:w="15" w:type="dxa"/>
            </w:tcMar>
            <w:vAlign w:val="center"/>
          </w:tcPr>
          <w:p w14:paraId="7711C9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汞</w:t>
            </w:r>
          </w:p>
        </w:tc>
        <w:tc>
          <w:tcPr>
            <w:tcW w:w="341" w:type="pct"/>
            <w:tcBorders>
              <w:bottom w:val="single" w:color="auto" w:sz="12" w:space="0"/>
            </w:tcBorders>
            <w:shd w:val="clear" w:color="auto" w:fill="auto"/>
            <w:noWrap/>
            <w:tcMar>
              <w:top w:w="15" w:type="dxa"/>
              <w:left w:w="15" w:type="dxa"/>
              <w:right w:w="15" w:type="dxa"/>
            </w:tcMar>
            <w:vAlign w:val="center"/>
          </w:tcPr>
          <w:p w14:paraId="4F19B5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镉</w:t>
            </w:r>
          </w:p>
        </w:tc>
        <w:tc>
          <w:tcPr>
            <w:tcW w:w="341" w:type="pct"/>
            <w:tcBorders>
              <w:bottom w:val="single" w:color="auto" w:sz="12" w:space="0"/>
            </w:tcBorders>
            <w:shd w:val="clear" w:color="auto" w:fill="auto"/>
            <w:noWrap/>
            <w:tcMar>
              <w:top w:w="15" w:type="dxa"/>
              <w:left w:w="15" w:type="dxa"/>
              <w:right w:w="15" w:type="dxa"/>
            </w:tcMar>
            <w:vAlign w:val="center"/>
          </w:tcPr>
          <w:p w14:paraId="4330CF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铜</w:t>
            </w:r>
          </w:p>
        </w:tc>
        <w:tc>
          <w:tcPr>
            <w:tcW w:w="341" w:type="pct"/>
            <w:tcBorders>
              <w:bottom w:val="single" w:color="auto" w:sz="12" w:space="0"/>
            </w:tcBorders>
            <w:shd w:val="clear" w:color="auto" w:fill="auto"/>
            <w:noWrap/>
            <w:tcMar>
              <w:top w:w="15" w:type="dxa"/>
              <w:left w:w="15" w:type="dxa"/>
              <w:right w:w="15" w:type="dxa"/>
            </w:tcMar>
            <w:vAlign w:val="center"/>
          </w:tcPr>
          <w:p w14:paraId="338954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镍</w:t>
            </w:r>
          </w:p>
        </w:tc>
        <w:tc>
          <w:tcPr>
            <w:tcW w:w="341" w:type="pct"/>
            <w:tcBorders>
              <w:bottom w:val="single" w:color="auto" w:sz="12" w:space="0"/>
            </w:tcBorders>
            <w:shd w:val="clear" w:color="auto" w:fill="auto"/>
            <w:noWrap/>
            <w:tcMar>
              <w:top w:w="15" w:type="dxa"/>
              <w:left w:w="15" w:type="dxa"/>
              <w:right w:w="15" w:type="dxa"/>
            </w:tcMar>
            <w:vAlign w:val="center"/>
          </w:tcPr>
          <w:p w14:paraId="2DB233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铬</w:t>
            </w:r>
          </w:p>
        </w:tc>
        <w:tc>
          <w:tcPr>
            <w:tcW w:w="341" w:type="pct"/>
            <w:tcBorders>
              <w:bottom w:val="single" w:color="auto" w:sz="12" w:space="0"/>
            </w:tcBorders>
            <w:shd w:val="clear" w:color="auto" w:fill="auto"/>
            <w:noWrap/>
            <w:tcMar>
              <w:top w:w="15" w:type="dxa"/>
              <w:left w:w="15" w:type="dxa"/>
              <w:right w:w="15" w:type="dxa"/>
            </w:tcMar>
            <w:vAlign w:val="center"/>
          </w:tcPr>
          <w:p w14:paraId="7694EF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锌</w:t>
            </w:r>
          </w:p>
        </w:tc>
        <w:tc>
          <w:tcPr>
            <w:tcW w:w="341" w:type="pct"/>
            <w:tcBorders>
              <w:bottom w:val="single" w:color="auto" w:sz="12" w:space="0"/>
            </w:tcBorders>
            <w:shd w:val="clear" w:color="auto" w:fill="auto"/>
            <w:noWrap/>
            <w:tcMar>
              <w:top w:w="15" w:type="dxa"/>
              <w:left w:w="15" w:type="dxa"/>
              <w:right w:w="15" w:type="dxa"/>
            </w:tcMar>
            <w:vAlign w:val="center"/>
          </w:tcPr>
          <w:p w14:paraId="5C0FDB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砷</w:t>
            </w:r>
          </w:p>
        </w:tc>
        <w:tc>
          <w:tcPr>
            <w:tcW w:w="540" w:type="pct"/>
            <w:tcBorders>
              <w:bottom w:val="single" w:color="auto" w:sz="12" w:space="0"/>
            </w:tcBorders>
            <w:shd w:val="clear" w:color="auto" w:fill="auto"/>
            <w:noWrap/>
            <w:tcMar>
              <w:top w:w="15" w:type="dxa"/>
              <w:left w:w="15" w:type="dxa"/>
              <w:right w:w="15" w:type="dxa"/>
            </w:tcMar>
            <w:vAlign w:val="center"/>
          </w:tcPr>
          <w:p w14:paraId="05B7CB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000000"/>
                <w:sz w:val="21"/>
                <w:szCs w:val="21"/>
                <w:highlight w:val="none"/>
                <w:u w:val="none"/>
              </w:rPr>
            </w:pPr>
            <w:r>
              <w:rPr>
                <w:rFonts w:hint="default" w:ascii="Times New Roman" w:hAnsi="Times New Roman" w:eastAsia="宋体" w:cs="Times New Roman"/>
                <w:b/>
                <w:bCs/>
                <w:i w:val="0"/>
                <w:color w:val="000000"/>
                <w:kern w:val="0"/>
                <w:sz w:val="21"/>
                <w:szCs w:val="21"/>
                <w:highlight w:val="none"/>
                <w:u w:val="none"/>
                <w:lang w:val="en-US" w:eastAsia="zh-CN" w:bidi="ar"/>
              </w:rPr>
              <w:t>达标情况</w:t>
            </w:r>
            <w:r>
              <w:rPr>
                <w:rFonts w:hint="default" w:ascii="Times New Roman" w:hAnsi="Times New Roman" w:cs="Times New Roman"/>
                <w:b/>
                <w:bCs/>
                <w:i w:val="0"/>
                <w:color w:val="000000"/>
                <w:kern w:val="0"/>
                <w:sz w:val="21"/>
                <w:szCs w:val="21"/>
                <w:highlight w:val="none"/>
                <w:u w:val="none"/>
                <w:lang w:val="en-US" w:eastAsia="zh-CN" w:bidi="ar"/>
              </w:rPr>
              <w:t>①</w:t>
            </w:r>
          </w:p>
        </w:tc>
      </w:tr>
      <w:tr w14:paraId="34E68D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jc w:val="center"/>
        </w:trPr>
        <w:tc>
          <w:tcPr>
            <w:tcW w:w="376" w:type="pct"/>
            <w:vMerge w:val="restart"/>
            <w:tcBorders>
              <w:top w:val="single" w:color="auto" w:sz="12" w:space="0"/>
              <w:tl2br w:val="nil"/>
              <w:tr2bl w:val="nil"/>
            </w:tcBorders>
            <w:shd w:val="clear" w:color="auto" w:fill="auto"/>
            <w:noWrap/>
            <w:tcMar>
              <w:top w:w="15" w:type="dxa"/>
              <w:left w:w="15" w:type="dxa"/>
              <w:right w:w="15" w:type="dxa"/>
            </w:tcMar>
            <w:vAlign w:val="center"/>
          </w:tcPr>
          <w:p w14:paraId="09056E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pH≤5.5</w:t>
            </w:r>
          </w:p>
        </w:tc>
        <w:tc>
          <w:tcPr>
            <w:tcW w:w="667" w:type="pct"/>
            <w:tcBorders>
              <w:top w:val="single" w:color="auto" w:sz="12" w:space="0"/>
              <w:tl2br w:val="nil"/>
              <w:tr2bl w:val="nil"/>
            </w:tcBorders>
            <w:shd w:val="clear" w:color="auto" w:fill="auto"/>
            <w:noWrap/>
            <w:tcMar>
              <w:top w:w="15" w:type="dxa"/>
              <w:left w:w="15" w:type="dxa"/>
              <w:right w:w="15" w:type="dxa"/>
            </w:tcMar>
            <w:vAlign w:val="center"/>
          </w:tcPr>
          <w:p w14:paraId="71A120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HR-3-400</w:t>
            </w:r>
          </w:p>
        </w:tc>
        <w:tc>
          <w:tcPr>
            <w:tcW w:w="341" w:type="pct"/>
            <w:tcBorders>
              <w:top w:val="single" w:color="auto" w:sz="12" w:space="0"/>
              <w:tl2br w:val="nil"/>
              <w:tr2bl w:val="nil"/>
            </w:tcBorders>
            <w:shd w:val="clear" w:color="auto" w:fill="auto"/>
            <w:noWrap/>
            <w:tcMar>
              <w:top w:w="15" w:type="dxa"/>
              <w:left w:w="15" w:type="dxa"/>
              <w:right w:w="15" w:type="dxa"/>
            </w:tcMar>
            <w:vAlign w:val="center"/>
          </w:tcPr>
          <w:p w14:paraId="25FF35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园区边界南侧下风向400m</w:t>
            </w:r>
          </w:p>
        </w:tc>
        <w:tc>
          <w:tcPr>
            <w:tcW w:w="341" w:type="pct"/>
            <w:tcBorders>
              <w:top w:val="single" w:color="auto" w:sz="12" w:space="0"/>
              <w:tl2br w:val="nil"/>
              <w:tr2bl w:val="nil"/>
            </w:tcBorders>
            <w:shd w:val="clear" w:color="auto" w:fill="auto"/>
            <w:noWrap/>
            <w:tcMar>
              <w:top w:w="15" w:type="dxa"/>
              <w:left w:w="15" w:type="dxa"/>
              <w:right w:w="15" w:type="dxa"/>
            </w:tcMar>
            <w:vAlign w:val="center"/>
          </w:tcPr>
          <w:p w14:paraId="5F09D9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5.2</w:t>
            </w:r>
          </w:p>
        </w:tc>
        <w:tc>
          <w:tcPr>
            <w:tcW w:w="341" w:type="pct"/>
            <w:tcBorders>
              <w:top w:val="single" w:color="auto" w:sz="12" w:space="0"/>
              <w:tl2br w:val="nil"/>
              <w:tr2bl w:val="nil"/>
            </w:tcBorders>
            <w:shd w:val="clear" w:color="auto" w:fill="auto"/>
            <w:noWrap/>
            <w:tcMar>
              <w:top w:w="15" w:type="dxa"/>
              <w:left w:w="15" w:type="dxa"/>
              <w:right w:w="15" w:type="dxa"/>
            </w:tcMar>
            <w:vAlign w:val="center"/>
          </w:tcPr>
          <w:p w14:paraId="5C876E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17.9</w:t>
            </w:r>
          </w:p>
        </w:tc>
        <w:tc>
          <w:tcPr>
            <w:tcW w:w="341" w:type="pct"/>
            <w:tcBorders>
              <w:top w:val="single" w:color="auto" w:sz="12" w:space="0"/>
              <w:tl2br w:val="nil"/>
              <w:tr2bl w:val="nil"/>
            </w:tcBorders>
            <w:shd w:val="clear" w:color="auto" w:fill="auto"/>
            <w:noWrap/>
            <w:tcMar>
              <w:top w:w="15" w:type="dxa"/>
              <w:left w:w="15" w:type="dxa"/>
              <w:right w:w="15" w:type="dxa"/>
            </w:tcMar>
            <w:vAlign w:val="center"/>
          </w:tcPr>
          <w:p w14:paraId="4B5EBD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0.16</w:t>
            </w:r>
          </w:p>
        </w:tc>
        <w:tc>
          <w:tcPr>
            <w:tcW w:w="341" w:type="pct"/>
            <w:tcBorders>
              <w:top w:val="single" w:color="auto" w:sz="12" w:space="0"/>
              <w:tl2br w:val="nil"/>
              <w:tr2bl w:val="nil"/>
            </w:tcBorders>
            <w:shd w:val="clear" w:color="auto" w:fill="auto"/>
            <w:noWrap/>
            <w:tcMar>
              <w:top w:w="15" w:type="dxa"/>
              <w:left w:w="15" w:type="dxa"/>
              <w:right w:w="15" w:type="dxa"/>
            </w:tcMar>
            <w:vAlign w:val="center"/>
          </w:tcPr>
          <w:p w14:paraId="49C0CD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0.09</w:t>
            </w:r>
          </w:p>
        </w:tc>
        <w:tc>
          <w:tcPr>
            <w:tcW w:w="341" w:type="pct"/>
            <w:tcBorders>
              <w:top w:val="single" w:color="auto" w:sz="12" w:space="0"/>
              <w:tl2br w:val="nil"/>
              <w:tr2bl w:val="nil"/>
            </w:tcBorders>
            <w:shd w:val="clear" w:color="auto" w:fill="auto"/>
            <w:noWrap/>
            <w:tcMar>
              <w:top w:w="15" w:type="dxa"/>
              <w:left w:w="15" w:type="dxa"/>
              <w:right w:w="15" w:type="dxa"/>
            </w:tcMar>
            <w:vAlign w:val="center"/>
          </w:tcPr>
          <w:p w14:paraId="5CFA0A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19</w:t>
            </w:r>
          </w:p>
        </w:tc>
        <w:tc>
          <w:tcPr>
            <w:tcW w:w="341" w:type="pct"/>
            <w:tcBorders>
              <w:top w:val="single" w:color="auto" w:sz="12" w:space="0"/>
              <w:tl2br w:val="nil"/>
              <w:tr2bl w:val="nil"/>
            </w:tcBorders>
            <w:shd w:val="clear" w:color="auto" w:fill="auto"/>
            <w:noWrap/>
            <w:tcMar>
              <w:top w:w="15" w:type="dxa"/>
              <w:left w:w="15" w:type="dxa"/>
              <w:right w:w="15" w:type="dxa"/>
            </w:tcMar>
            <w:vAlign w:val="center"/>
          </w:tcPr>
          <w:p w14:paraId="140FA8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18</w:t>
            </w:r>
          </w:p>
        </w:tc>
        <w:tc>
          <w:tcPr>
            <w:tcW w:w="341" w:type="pct"/>
            <w:tcBorders>
              <w:top w:val="single" w:color="auto" w:sz="12" w:space="0"/>
              <w:tl2br w:val="nil"/>
              <w:tr2bl w:val="nil"/>
            </w:tcBorders>
            <w:shd w:val="clear" w:color="auto" w:fill="auto"/>
            <w:noWrap/>
            <w:tcMar>
              <w:top w:w="15" w:type="dxa"/>
              <w:left w:w="15" w:type="dxa"/>
              <w:right w:w="15" w:type="dxa"/>
            </w:tcMar>
            <w:vAlign w:val="center"/>
          </w:tcPr>
          <w:p w14:paraId="78ACC2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51</w:t>
            </w:r>
          </w:p>
        </w:tc>
        <w:tc>
          <w:tcPr>
            <w:tcW w:w="341" w:type="pct"/>
            <w:tcBorders>
              <w:top w:val="single" w:color="auto" w:sz="12" w:space="0"/>
              <w:tl2br w:val="nil"/>
              <w:tr2bl w:val="nil"/>
            </w:tcBorders>
            <w:shd w:val="clear" w:color="auto" w:fill="auto"/>
            <w:noWrap/>
            <w:tcMar>
              <w:top w:w="15" w:type="dxa"/>
              <w:left w:w="15" w:type="dxa"/>
              <w:right w:w="15" w:type="dxa"/>
            </w:tcMar>
            <w:vAlign w:val="center"/>
          </w:tcPr>
          <w:p w14:paraId="70FE8D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47</w:t>
            </w:r>
          </w:p>
        </w:tc>
        <w:tc>
          <w:tcPr>
            <w:tcW w:w="341" w:type="pct"/>
            <w:tcBorders>
              <w:top w:val="single" w:color="auto" w:sz="12" w:space="0"/>
              <w:tl2br w:val="nil"/>
              <w:tr2bl w:val="nil"/>
            </w:tcBorders>
            <w:shd w:val="clear" w:color="auto" w:fill="auto"/>
            <w:noWrap/>
            <w:tcMar>
              <w:top w:w="15" w:type="dxa"/>
              <w:left w:w="15" w:type="dxa"/>
              <w:right w:w="15" w:type="dxa"/>
            </w:tcMar>
            <w:vAlign w:val="center"/>
          </w:tcPr>
          <w:p w14:paraId="3A4665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lang w:val="en-US"/>
              </w:rPr>
            </w:pPr>
            <w:r>
              <w:rPr>
                <w:rFonts w:hint="default" w:ascii="Times New Roman" w:hAnsi="Times New Roman" w:eastAsia="宋体" w:cs="Times New Roman"/>
                <w:b w:val="0"/>
                <w:bCs w:val="0"/>
                <w:i w:val="0"/>
                <w:color w:val="000000"/>
                <w:kern w:val="0"/>
                <w:sz w:val="21"/>
                <w:szCs w:val="21"/>
                <w:highlight w:val="none"/>
                <w:u w:val="none"/>
                <w:lang w:val="en-US" w:eastAsia="zh-CN" w:bidi="ar"/>
              </w:rPr>
              <w:t>8</w:t>
            </w:r>
            <w:r>
              <w:rPr>
                <w:rFonts w:hint="default" w:ascii="Times New Roman" w:hAnsi="Times New Roman" w:cs="Times New Roman"/>
                <w:b w:val="0"/>
                <w:bCs w:val="0"/>
                <w:i w:val="0"/>
                <w:color w:val="000000"/>
                <w:kern w:val="0"/>
                <w:sz w:val="21"/>
                <w:szCs w:val="21"/>
                <w:highlight w:val="none"/>
                <w:u w:val="none"/>
                <w:lang w:val="en-US" w:eastAsia="zh-CN" w:bidi="ar"/>
              </w:rPr>
              <w:t>.0</w:t>
            </w:r>
          </w:p>
        </w:tc>
        <w:tc>
          <w:tcPr>
            <w:tcW w:w="540" w:type="pct"/>
            <w:tcBorders>
              <w:top w:val="single" w:color="auto" w:sz="12" w:space="0"/>
              <w:tl2br w:val="nil"/>
              <w:tr2bl w:val="nil"/>
            </w:tcBorders>
            <w:shd w:val="clear" w:color="auto" w:fill="auto"/>
            <w:noWrap/>
            <w:tcMar>
              <w:top w:w="15" w:type="dxa"/>
              <w:left w:w="15" w:type="dxa"/>
              <w:right w:w="15" w:type="dxa"/>
            </w:tcMar>
            <w:vAlign w:val="center"/>
          </w:tcPr>
          <w:p w14:paraId="188DBF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达标</w:t>
            </w:r>
          </w:p>
        </w:tc>
      </w:tr>
      <w:tr w14:paraId="1B2F57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376" w:type="pct"/>
            <w:vMerge w:val="continue"/>
            <w:tcBorders>
              <w:tl2br w:val="nil"/>
              <w:tr2bl w:val="nil"/>
            </w:tcBorders>
            <w:shd w:val="clear" w:color="auto" w:fill="auto"/>
            <w:noWrap/>
            <w:tcMar>
              <w:top w:w="15" w:type="dxa"/>
              <w:left w:w="15" w:type="dxa"/>
              <w:right w:w="15" w:type="dxa"/>
            </w:tcMar>
            <w:vAlign w:val="center"/>
          </w:tcPr>
          <w:p w14:paraId="3FA0A62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i w:val="0"/>
                <w:color w:val="000000"/>
                <w:sz w:val="21"/>
                <w:szCs w:val="21"/>
                <w:highlight w:val="none"/>
                <w:u w:val="none"/>
              </w:rPr>
            </w:pPr>
          </w:p>
        </w:tc>
        <w:tc>
          <w:tcPr>
            <w:tcW w:w="1008" w:type="pct"/>
            <w:gridSpan w:val="2"/>
            <w:tcBorders>
              <w:tl2br w:val="nil"/>
              <w:tr2bl w:val="nil"/>
            </w:tcBorders>
            <w:shd w:val="clear" w:color="auto" w:fill="auto"/>
            <w:noWrap/>
            <w:tcMar>
              <w:top w:w="15" w:type="dxa"/>
              <w:left w:w="15" w:type="dxa"/>
              <w:right w:w="15" w:type="dxa"/>
            </w:tcMar>
            <w:vAlign w:val="center"/>
          </w:tcPr>
          <w:p w14:paraId="1A77D5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cs="Times New Roman"/>
                <w:i w:val="0"/>
                <w:color w:val="000000"/>
                <w:sz w:val="21"/>
                <w:szCs w:val="21"/>
                <w:highlight w:val="none"/>
                <w:u w:val="none"/>
                <w:lang w:val="en-US" w:eastAsia="zh-CN"/>
              </w:rPr>
              <w:t>GB15618</w:t>
            </w:r>
            <w:r>
              <w:rPr>
                <w:rFonts w:hint="default" w:ascii="Times New Roman" w:hAnsi="Times New Roman" w:cs="Times New Roman"/>
                <w:i w:val="0"/>
                <w:color w:val="000000"/>
                <w:sz w:val="21"/>
                <w:szCs w:val="21"/>
                <w:highlight w:val="none"/>
                <w:u w:val="none"/>
                <w:lang w:eastAsia="zh-CN"/>
              </w:rPr>
              <w:t>其它</w:t>
            </w:r>
          </w:p>
        </w:tc>
        <w:tc>
          <w:tcPr>
            <w:tcW w:w="341" w:type="pct"/>
            <w:tcBorders>
              <w:tl2br w:val="nil"/>
              <w:tr2bl w:val="nil"/>
            </w:tcBorders>
            <w:shd w:val="clear" w:color="auto" w:fill="auto"/>
            <w:noWrap/>
            <w:tcMar>
              <w:top w:w="15" w:type="dxa"/>
              <w:left w:w="15" w:type="dxa"/>
              <w:right w:w="15" w:type="dxa"/>
            </w:tcMar>
            <w:vAlign w:val="center"/>
          </w:tcPr>
          <w:p w14:paraId="3B30B9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w:t>
            </w:r>
          </w:p>
        </w:tc>
        <w:tc>
          <w:tcPr>
            <w:tcW w:w="341" w:type="pct"/>
            <w:tcBorders>
              <w:tl2br w:val="nil"/>
              <w:tr2bl w:val="nil"/>
            </w:tcBorders>
            <w:shd w:val="clear" w:color="auto" w:fill="auto"/>
            <w:noWrap/>
            <w:tcMar>
              <w:top w:w="15" w:type="dxa"/>
              <w:left w:w="15" w:type="dxa"/>
              <w:right w:w="15" w:type="dxa"/>
            </w:tcMar>
            <w:vAlign w:val="center"/>
          </w:tcPr>
          <w:p w14:paraId="05A45D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70</w:t>
            </w:r>
          </w:p>
        </w:tc>
        <w:tc>
          <w:tcPr>
            <w:tcW w:w="341" w:type="pct"/>
            <w:tcBorders>
              <w:tl2br w:val="nil"/>
              <w:tr2bl w:val="nil"/>
            </w:tcBorders>
            <w:shd w:val="clear" w:color="auto" w:fill="auto"/>
            <w:noWrap/>
            <w:tcMar>
              <w:top w:w="15" w:type="dxa"/>
              <w:left w:w="15" w:type="dxa"/>
              <w:right w:w="15" w:type="dxa"/>
            </w:tcMar>
            <w:vAlign w:val="center"/>
          </w:tcPr>
          <w:p w14:paraId="0F78A0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1.3</w:t>
            </w:r>
          </w:p>
        </w:tc>
        <w:tc>
          <w:tcPr>
            <w:tcW w:w="341" w:type="pct"/>
            <w:tcBorders>
              <w:tl2br w:val="nil"/>
              <w:tr2bl w:val="nil"/>
            </w:tcBorders>
            <w:shd w:val="clear" w:color="auto" w:fill="auto"/>
            <w:noWrap/>
            <w:tcMar>
              <w:top w:w="15" w:type="dxa"/>
              <w:left w:w="15" w:type="dxa"/>
              <w:right w:w="15" w:type="dxa"/>
            </w:tcMar>
            <w:vAlign w:val="center"/>
          </w:tcPr>
          <w:p w14:paraId="4B97E1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0.3</w:t>
            </w:r>
          </w:p>
        </w:tc>
        <w:tc>
          <w:tcPr>
            <w:tcW w:w="341" w:type="pct"/>
            <w:tcBorders>
              <w:tl2br w:val="nil"/>
              <w:tr2bl w:val="nil"/>
            </w:tcBorders>
            <w:shd w:val="clear" w:color="auto" w:fill="auto"/>
            <w:noWrap/>
            <w:tcMar>
              <w:top w:w="15" w:type="dxa"/>
              <w:left w:w="15" w:type="dxa"/>
              <w:right w:w="15" w:type="dxa"/>
            </w:tcMar>
            <w:vAlign w:val="center"/>
          </w:tcPr>
          <w:p w14:paraId="3785BF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50</w:t>
            </w:r>
          </w:p>
        </w:tc>
        <w:tc>
          <w:tcPr>
            <w:tcW w:w="341" w:type="pct"/>
            <w:tcBorders>
              <w:tl2br w:val="nil"/>
              <w:tr2bl w:val="nil"/>
            </w:tcBorders>
            <w:shd w:val="clear" w:color="auto" w:fill="auto"/>
            <w:noWrap/>
            <w:tcMar>
              <w:top w:w="15" w:type="dxa"/>
              <w:left w:w="15" w:type="dxa"/>
              <w:right w:w="15" w:type="dxa"/>
            </w:tcMar>
            <w:vAlign w:val="center"/>
          </w:tcPr>
          <w:p w14:paraId="4F5F9C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60</w:t>
            </w:r>
          </w:p>
        </w:tc>
        <w:tc>
          <w:tcPr>
            <w:tcW w:w="341" w:type="pct"/>
            <w:tcBorders>
              <w:tl2br w:val="nil"/>
              <w:tr2bl w:val="nil"/>
            </w:tcBorders>
            <w:shd w:val="clear" w:color="auto" w:fill="auto"/>
            <w:noWrap/>
            <w:tcMar>
              <w:top w:w="15" w:type="dxa"/>
              <w:left w:w="15" w:type="dxa"/>
              <w:right w:w="15" w:type="dxa"/>
            </w:tcMar>
            <w:vAlign w:val="center"/>
          </w:tcPr>
          <w:p w14:paraId="06E1E6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150</w:t>
            </w:r>
          </w:p>
        </w:tc>
        <w:tc>
          <w:tcPr>
            <w:tcW w:w="341" w:type="pct"/>
            <w:tcBorders>
              <w:tl2br w:val="nil"/>
              <w:tr2bl w:val="nil"/>
            </w:tcBorders>
            <w:shd w:val="clear" w:color="auto" w:fill="auto"/>
            <w:noWrap/>
            <w:tcMar>
              <w:top w:w="15" w:type="dxa"/>
              <w:left w:w="15" w:type="dxa"/>
              <w:right w:w="15" w:type="dxa"/>
            </w:tcMar>
            <w:vAlign w:val="center"/>
          </w:tcPr>
          <w:p w14:paraId="62DE69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200</w:t>
            </w:r>
          </w:p>
        </w:tc>
        <w:tc>
          <w:tcPr>
            <w:tcW w:w="341" w:type="pct"/>
            <w:tcBorders>
              <w:tl2br w:val="nil"/>
              <w:tr2bl w:val="nil"/>
            </w:tcBorders>
            <w:shd w:val="clear" w:color="auto" w:fill="auto"/>
            <w:noWrap/>
            <w:tcMar>
              <w:top w:w="15" w:type="dxa"/>
              <w:left w:w="15" w:type="dxa"/>
              <w:right w:w="15" w:type="dxa"/>
            </w:tcMar>
            <w:vAlign w:val="center"/>
          </w:tcPr>
          <w:p w14:paraId="2F2BBB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40</w:t>
            </w:r>
          </w:p>
        </w:tc>
        <w:tc>
          <w:tcPr>
            <w:tcW w:w="540" w:type="pct"/>
            <w:tcBorders>
              <w:tl2br w:val="nil"/>
              <w:tr2bl w:val="nil"/>
            </w:tcBorders>
            <w:shd w:val="clear" w:color="auto" w:fill="auto"/>
            <w:noWrap/>
            <w:tcMar>
              <w:top w:w="15" w:type="dxa"/>
              <w:left w:w="15" w:type="dxa"/>
              <w:right w:w="15" w:type="dxa"/>
            </w:tcMar>
            <w:vAlign w:val="center"/>
          </w:tcPr>
          <w:p w14:paraId="5B45A1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w:t>
            </w:r>
          </w:p>
        </w:tc>
      </w:tr>
      <w:tr w14:paraId="752EFB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85" w:hRule="atLeast"/>
          <w:jc w:val="center"/>
        </w:trPr>
        <w:tc>
          <w:tcPr>
            <w:tcW w:w="376" w:type="pct"/>
            <w:vMerge w:val="restart"/>
            <w:tcBorders>
              <w:tl2br w:val="nil"/>
              <w:tr2bl w:val="nil"/>
            </w:tcBorders>
            <w:shd w:val="clear" w:color="auto" w:fill="auto"/>
            <w:noWrap/>
            <w:tcMar>
              <w:top w:w="15" w:type="dxa"/>
              <w:left w:w="15" w:type="dxa"/>
              <w:right w:w="15" w:type="dxa"/>
            </w:tcMar>
            <w:vAlign w:val="center"/>
          </w:tcPr>
          <w:p w14:paraId="7C0002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5.5＜pH≤6.5</w:t>
            </w:r>
          </w:p>
        </w:tc>
        <w:tc>
          <w:tcPr>
            <w:tcW w:w="667" w:type="pct"/>
            <w:tcBorders>
              <w:tl2br w:val="nil"/>
              <w:tr2bl w:val="nil"/>
            </w:tcBorders>
            <w:shd w:val="clear" w:color="auto" w:fill="auto"/>
            <w:noWrap/>
            <w:tcMar>
              <w:top w:w="15" w:type="dxa"/>
              <w:left w:w="15" w:type="dxa"/>
              <w:right w:w="15" w:type="dxa"/>
            </w:tcMar>
            <w:vAlign w:val="center"/>
          </w:tcPr>
          <w:p w14:paraId="41503E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HR-6</w:t>
            </w:r>
          </w:p>
        </w:tc>
        <w:tc>
          <w:tcPr>
            <w:tcW w:w="341" w:type="pct"/>
            <w:tcBorders>
              <w:tl2br w:val="nil"/>
              <w:tr2bl w:val="nil"/>
            </w:tcBorders>
            <w:shd w:val="clear" w:color="auto" w:fill="auto"/>
            <w:noWrap/>
            <w:tcMar>
              <w:top w:w="15" w:type="dxa"/>
              <w:left w:w="15" w:type="dxa"/>
              <w:right w:w="15" w:type="dxa"/>
            </w:tcMar>
            <w:vAlign w:val="center"/>
          </w:tcPr>
          <w:p w14:paraId="40176A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园区边界东侧上风向20m</w:t>
            </w:r>
            <w:r>
              <w:rPr>
                <w:rFonts w:hint="eastAsia" w:cs="Times New Roman"/>
                <w:sz w:val="21"/>
                <w:szCs w:val="21"/>
                <w:highlight w:val="none"/>
                <w:lang w:val="en-US" w:eastAsia="zh-CN"/>
              </w:rPr>
              <w:t>外</w:t>
            </w:r>
          </w:p>
        </w:tc>
        <w:tc>
          <w:tcPr>
            <w:tcW w:w="341" w:type="pct"/>
            <w:tcBorders>
              <w:tl2br w:val="nil"/>
              <w:tr2bl w:val="nil"/>
            </w:tcBorders>
            <w:shd w:val="clear" w:color="auto" w:fill="auto"/>
            <w:noWrap/>
            <w:tcMar>
              <w:top w:w="15" w:type="dxa"/>
              <w:left w:w="15" w:type="dxa"/>
              <w:right w:w="15" w:type="dxa"/>
            </w:tcMar>
            <w:vAlign w:val="center"/>
          </w:tcPr>
          <w:p w14:paraId="679D37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5.56</w:t>
            </w:r>
          </w:p>
        </w:tc>
        <w:tc>
          <w:tcPr>
            <w:tcW w:w="341" w:type="pct"/>
            <w:tcBorders>
              <w:tl2br w:val="nil"/>
              <w:tr2bl w:val="nil"/>
            </w:tcBorders>
            <w:shd w:val="clear" w:color="auto" w:fill="auto"/>
            <w:noWrap/>
            <w:tcMar>
              <w:top w:w="15" w:type="dxa"/>
              <w:left w:w="15" w:type="dxa"/>
              <w:right w:w="15" w:type="dxa"/>
            </w:tcMar>
            <w:vAlign w:val="center"/>
          </w:tcPr>
          <w:p w14:paraId="625C5F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24.1</w:t>
            </w:r>
          </w:p>
        </w:tc>
        <w:tc>
          <w:tcPr>
            <w:tcW w:w="341" w:type="pct"/>
            <w:tcBorders>
              <w:tl2br w:val="nil"/>
              <w:tr2bl w:val="nil"/>
            </w:tcBorders>
            <w:shd w:val="clear" w:color="auto" w:fill="auto"/>
            <w:noWrap/>
            <w:tcMar>
              <w:top w:w="15" w:type="dxa"/>
              <w:left w:w="15" w:type="dxa"/>
              <w:right w:w="15" w:type="dxa"/>
            </w:tcMar>
            <w:vAlign w:val="center"/>
          </w:tcPr>
          <w:p w14:paraId="759774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0.14</w:t>
            </w:r>
          </w:p>
        </w:tc>
        <w:tc>
          <w:tcPr>
            <w:tcW w:w="341" w:type="pct"/>
            <w:tcBorders>
              <w:tl2br w:val="nil"/>
              <w:tr2bl w:val="nil"/>
            </w:tcBorders>
            <w:shd w:val="clear" w:color="auto" w:fill="auto"/>
            <w:noWrap/>
            <w:tcMar>
              <w:top w:w="15" w:type="dxa"/>
              <w:left w:w="15" w:type="dxa"/>
              <w:right w:w="15" w:type="dxa"/>
            </w:tcMar>
            <w:vAlign w:val="center"/>
          </w:tcPr>
          <w:p w14:paraId="0B5B8F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0.06</w:t>
            </w:r>
          </w:p>
        </w:tc>
        <w:tc>
          <w:tcPr>
            <w:tcW w:w="341" w:type="pct"/>
            <w:tcBorders>
              <w:tl2br w:val="nil"/>
              <w:tr2bl w:val="nil"/>
            </w:tcBorders>
            <w:shd w:val="clear" w:color="auto" w:fill="auto"/>
            <w:noWrap/>
            <w:tcMar>
              <w:top w:w="15" w:type="dxa"/>
              <w:left w:w="15" w:type="dxa"/>
              <w:right w:w="15" w:type="dxa"/>
            </w:tcMar>
            <w:vAlign w:val="center"/>
          </w:tcPr>
          <w:p w14:paraId="297C86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22</w:t>
            </w:r>
          </w:p>
        </w:tc>
        <w:tc>
          <w:tcPr>
            <w:tcW w:w="341" w:type="pct"/>
            <w:tcBorders>
              <w:tl2br w:val="nil"/>
              <w:tr2bl w:val="nil"/>
            </w:tcBorders>
            <w:shd w:val="clear" w:color="auto" w:fill="auto"/>
            <w:noWrap/>
            <w:tcMar>
              <w:top w:w="15" w:type="dxa"/>
              <w:left w:w="15" w:type="dxa"/>
              <w:right w:w="15" w:type="dxa"/>
            </w:tcMar>
            <w:vAlign w:val="center"/>
          </w:tcPr>
          <w:p w14:paraId="061147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24</w:t>
            </w:r>
          </w:p>
        </w:tc>
        <w:tc>
          <w:tcPr>
            <w:tcW w:w="341" w:type="pct"/>
            <w:tcBorders>
              <w:tl2br w:val="nil"/>
              <w:tr2bl w:val="nil"/>
            </w:tcBorders>
            <w:shd w:val="clear" w:color="auto" w:fill="auto"/>
            <w:noWrap/>
            <w:tcMar>
              <w:top w:w="15" w:type="dxa"/>
              <w:left w:w="15" w:type="dxa"/>
              <w:right w:w="15" w:type="dxa"/>
            </w:tcMar>
            <w:vAlign w:val="center"/>
          </w:tcPr>
          <w:p w14:paraId="0B532A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57</w:t>
            </w:r>
          </w:p>
        </w:tc>
        <w:tc>
          <w:tcPr>
            <w:tcW w:w="341" w:type="pct"/>
            <w:tcBorders>
              <w:tl2br w:val="nil"/>
              <w:tr2bl w:val="nil"/>
            </w:tcBorders>
            <w:shd w:val="clear" w:color="auto" w:fill="auto"/>
            <w:noWrap/>
            <w:tcMar>
              <w:top w:w="15" w:type="dxa"/>
              <w:left w:w="15" w:type="dxa"/>
              <w:right w:w="15" w:type="dxa"/>
            </w:tcMar>
            <w:vAlign w:val="center"/>
          </w:tcPr>
          <w:p w14:paraId="7B69A9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53</w:t>
            </w:r>
          </w:p>
        </w:tc>
        <w:tc>
          <w:tcPr>
            <w:tcW w:w="341" w:type="pct"/>
            <w:tcBorders>
              <w:tl2br w:val="nil"/>
              <w:tr2bl w:val="nil"/>
            </w:tcBorders>
            <w:shd w:val="clear" w:color="auto" w:fill="auto"/>
            <w:noWrap/>
            <w:tcMar>
              <w:top w:w="15" w:type="dxa"/>
              <w:left w:w="15" w:type="dxa"/>
              <w:right w:w="15" w:type="dxa"/>
            </w:tcMar>
            <w:vAlign w:val="center"/>
          </w:tcPr>
          <w:p w14:paraId="01B5BC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10</w:t>
            </w:r>
          </w:p>
        </w:tc>
        <w:tc>
          <w:tcPr>
            <w:tcW w:w="540" w:type="pct"/>
            <w:tcBorders>
              <w:tl2br w:val="nil"/>
              <w:tr2bl w:val="nil"/>
            </w:tcBorders>
            <w:shd w:val="clear" w:color="auto" w:fill="auto"/>
            <w:noWrap/>
            <w:tcMar>
              <w:top w:w="15" w:type="dxa"/>
              <w:left w:w="15" w:type="dxa"/>
              <w:right w:w="15" w:type="dxa"/>
            </w:tcMar>
            <w:vAlign w:val="center"/>
          </w:tcPr>
          <w:p w14:paraId="1D34A9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达标</w:t>
            </w:r>
          </w:p>
        </w:tc>
      </w:tr>
      <w:tr w14:paraId="62201E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376" w:type="pct"/>
            <w:vMerge w:val="continue"/>
            <w:tcBorders>
              <w:tl2br w:val="nil"/>
              <w:tr2bl w:val="nil"/>
            </w:tcBorders>
            <w:shd w:val="clear" w:color="auto" w:fill="auto"/>
            <w:noWrap/>
            <w:tcMar>
              <w:top w:w="15" w:type="dxa"/>
              <w:left w:w="15" w:type="dxa"/>
              <w:right w:w="15" w:type="dxa"/>
            </w:tcMar>
            <w:vAlign w:val="center"/>
          </w:tcPr>
          <w:p w14:paraId="5344A9B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i w:val="0"/>
                <w:color w:val="000000"/>
                <w:sz w:val="21"/>
                <w:szCs w:val="21"/>
                <w:highlight w:val="none"/>
                <w:u w:val="none"/>
              </w:rPr>
            </w:pPr>
          </w:p>
        </w:tc>
        <w:tc>
          <w:tcPr>
            <w:tcW w:w="667" w:type="pct"/>
            <w:tcBorders>
              <w:tl2br w:val="nil"/>
              <w:tr2bl w:val="nil"/>
            </w:tcBorders>
            <w:shd w:val="clear" w:color="auto" w:fill="auto"/>
            <w:noWrap/>
            <w:tcMar>
              <w:top w:w="15" w:type="dxa"/>
              <w:left w:w="15" w:type="dxa"/>
              <w:right w:w="15" w:type="dxa"/>
            </w:tcMar>
            <w:vAlign w:val="center"/>
          </w:tcPr>
          <w:p w14:paraId="7B85E0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HR-4-75</w:t>
            </w:r>
          </w:p>
        </w:tc>
        <w:tc>
          <w:tcPr>
            <w:tcW w:w="341" w:type="pct"/>
            <w:tcBorders>
              <w:tl2br w:val="nil"/>
              <w:tr2bl w:val="nil"/>
            </w:tcBorders>
            <w:shd w:val="clear" w:color="auto" w:fill="auto"/>
            <w:noWrap/>
            <w:tcMar>
              <w:top w:w="15" w:type="dxa"/>
              <w:left w:w="15" w:type="dxa"/>
              <w:right w:w="15" w:type="dxa"/>
            </w:tcMar>
            <w:vAlign w:val="center"/>
          </w:tcPr>
          <w:p w14:paraId="3B61F7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园区边界南侧下风向75m</w:t>
            </w:r>
          </w:p>
        </w:tc>
        <w:tc>
          <w:tcPr>
            <w:tcW w:w="341" w:type="pct"/>
            <w:tcBorders>
              <w:tl2br w:val="nil"/>
              <w:tr2bl w:val="nil"/>
            </w:tcBorders>
            <w:shd w:val="clear" w:color="auto" w:fill="auto"/>
            <w:noWrap/>
            <w:tcMar>
              <w:top w:w="15" w:type="dxa"/>
              <w:left w:w="15" w:type="dxa"/>
              <w:right w:w="15" w:type="dxa"/>
            </w:tcMar>
            <w:vAlign w:val="center"/>
          </w:tcPr>
          <w:p w14:paraId="00EC60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5.97</w:t>
            </w:r>
          </w:p>
        </w:tc>
        <w:tc>
          <w:tcPr>
            <w:tcW w:w="341" w:type="pct"/>
            <w:tcBorders>
              <w:tl2br w:val="nil"/>
              <w:tr2bl w:val="nil"/>
            </w:tcBorders>
            <w:shd w:val="clear" w:color="auto" w:fill="auto"/>
            <w:noWrap/>
            <w:tcMar>
              <w:top w:w="15" w:type="dxa"/>
              <w:left w:w="15" w:type="dxa"/>
              <w:right w:w="15" w:type="dxa"/>
            </w:tcMar>
            <w:vAlign w:val="center"/>
          </w:tcPr>
          <w:p w14:paraId="3E8617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19.1</w:t>
            </w:r>
          </w:p>
        </w:tc>
        <w:tc>
          <w:tcPr>
            <w:tcW w:w="341" w:type="pct"/>
            <w:tcBorders>
              <w:tl2br w:val="nil"/>
              <w:tr2bl w:val="nil"/>
            </w:tcBorders>
            <w:shd w:val="clear" w:color="auto" w:fill="auto"/>
            <w:noWrap/>
            <w:tcMar>
              <w:top w:w="15" w:type="dxa"/>
              <w:left w:w="15" w:type="dxa"/>
              <w:right w:w="15" w:type="dxa"/>
            </w:tcMar>
            <w:vAlign w:val="center"/>
          </w:tcPr>
          <w:p w14:paraId="0DEB45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0.12</w:t>
            </w:r>
          </w:p>
        </w:tc>
        <w:tc>
          <w:tcPr>
            <w:tcW w:w="341" w:type="pct"/>
            <w:tcBorders>
              <w:tl2br w:val="nil"/>
              <w:tr2bl w:val="nil"/>
            </w:tcBorders>
            <w:shd w:val="clear" w:color="auto" w:fill="auto"/>
            <w:noWrap/>
            <w:tcMar>
              <w:top w:w="15" w:type="dxa"/>
              <w:left w:w="15" w:type="dxa"/>
              <w:right w:w="15" w:type="dxa"/>
            </w:tcMar>
            <w:vAlign w:val="center"/>
          </w:tcPr>
          <w:p w14:paraId="7D3AED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0.08</w:t>
            </w:r>
          </w:p>
        </w:tc>
        <w:tc>
          <w:tcPr>
            <w:tcW w:w="341" w:type="pct"/>
            <w:tcBorders>
              <w:tl2br w:val="nil"/>
              <w:tr2bl w:val="nil"/>
            </w:tcBorders>
            <w:shd w:val="clear" w:color="auto" w:fill="auto"/>
            <w:noWrap/>
            <w:tcMar>
              <w:top w:w="15" w:type="dxa"/>
              <w:left w:w="15" w:type="dxa"/>
              <w:right w:w="15" w:type="dxa"/>
            </w:tcMar>
            <w:vAlign w:val="center"/>
          </w:tcPr>
          <w:p w14:paraId="35654F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21</w:t>
            </w:r>
          </w:p>
        </w:tc>
        <w:tc>
          <w:tcPr>
            <w:tcW w:w="341" w:type="pct"/>
            <w:tcBorders>
              <w:tl2br w:val="nil"/>
              <w:tr2bl w:val="nil"/>
            </w:tcBorders>
            <w:shd w:val="clear" w:color="auto" w:fill="auto"/>
            <w:noWrap/>
            <w:tcMar>
              <w:top w:w="15" w:type="dxa"/>
              <w:left w:w="15" w:type="dxa"/>
              <w:right w:w="15" w:type="dxa"/>
            </w:tcMar>
            <w:vAlign w:val="center"/>
          </w:tcPr>
          <w:p w14:paraId="3E5495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21</w:t>
            </w:r>
          </w:p>
        </w:tc>
        <w:tc>
          <w:tcPr>
            <w:tcW w:w="341" w:type="pct"/>
            <w:tcBorders>
              <w:tl2br w:val="nil"/>
              <w:tr2bl w:val="nil"/>
            </w:tcBorders>
            <w:shd w:val="clear" w:color="auto" w:fill="auto"/>
            <w:noWrap/>
            <w:tcMar>
              <w:top w:w="15" w:type="dxa"/>
              <w:left w:w="15" w:type="dxa"/>
              <w:right w:w="15" w:type="dxa"/>
            </w:tcMar>
            <w:vAlign w:val="center"/>
          </w:tcPr>
          <w:p w14:paraId="37B33B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53</w:t>
            </w:r>
          </w:p>
        </w:tc>
        <w:tc>
          <w:tcPr>
            <w:tcW w:w="341" w:type="pct"/>
            <w:tcBorders>
              <w:tl2br w:val="nil"/>
              <w:tr2bl w:val="nil"/>
            </w:tcBorders>
            <w:shd w:val="clear" w:color="auto" w:fill="auto"/>
            <w:noWrap/>
            <w:tcMar>
              <w:top w:w="15" w:type="dxa"/>
              <w:left w:w="15" w:type="dxa"/>
              <w:right w:w="15" w:type="dxa"/>
            </w:tcMar>
            <w:vAlign w:val="center"/>
          </w:tcPr>
          <w:p w14:paraId="084D20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52</w:t>
            </w:r>
          </w:p>
        </w:tc>
        <w:tc>
          <w:tcPr>
            <w:tcW w:w="341" w:type="pct"/>
            <w:tcBorders>
              <w:tl2br w:val="nil"/>
              <w:tr2bl w:val="nil"/>
            </w:tcBorders>
            <w:shd w:val="clear" w:color="auto" w:fill="auto"/>
            <w:noWrap/>
            <w:tcMar>
              <w:top w:w="15" w:type="dxa"/>
              <w:left w:w="15" w:type="dxa"/>
              <w:right w:w="15" w:type="dxa"/>
            </w:tcMar>
            <w:vAlign w:val="center"/>
          </w:tcPr>
          <w:p w14:paraId="6CB8D7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6.8</w:t>
            </w:r>
          </w:p>
        </w:tc>
        <w:tc>
          <w:tcPr>
            <w:tcW w:w="540" w:type="pct"/>
            <w:tcBorders>
              <w:tl2br w:val="nil"/>
              <w:tr2bl w:val="nil"/>
            </w:tcBorders>
            <w:shd w:val="clear" w:color="auto" w:fill="auto"/>
            <w:noWrap/>
            <w:tcMar>
              <w:top w:w="15" w:type="dxa"/>
              <w:left w:w="15" w:type="dxa"/>
              <w:right w:w="15" w:type="dxa"/>
            </w:tcMar>
            <w:vAlign w:val="center"/>
          </w:tcPr>
          <w:p w14:paraId="7C1EE7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达标</w:t>
            </w:r>
          </w:p>
        </w:tc>
      </w:tr>
      <w:tr w14:paraId="3EEA83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85" w:hRule="atLeast"/>
          <w:jc w:val="center"/>
        </w:trPr>
        <w:tc>
          <w:tcPr>
            <w:tcW w:w="376" w:type="pct"/>
            <w:vMerge w:val="continue"/>
            <w:tcBorders>
              <w:tl2br w:val="nil"/>
              <w:tr2bl w:val="nil"/>
            </w:tcBorders>
            <w:shd w:val="clear" w:color="auto" w:fill="auto"/>
            <w:noWrap/>
            <w:tcMar>
              <w:top w:w="15" w:type="dxa"/>
              <w:left w:w="15" w:type="dxa"/>
              <w:right w:w="15" w:type="dxa"/>
            </w:tcMar>
            <w:vAlign w:val="center"/>
          </w:tcPr>
          <w:p w14:paraId="2E2038A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i w:val="0"/>
                <w:color w:val="000000"/>
                <w:sz w:val="21"/>
                <w:szCs w:val="21"/>
                <w:highlight w:val="none"/>
                <w:u w:val="none"/>
              </w:rPr>
            </w:pPr>
          </w:p>
        </w:tc>
        <w:tc>
          <w:tcPr>
            <w:tcW w:w="1008" w:type="pct"/>
            <w:gridSpan w:val="2"/>
            <w:tcBorders>
              <w:tl2br w:val="nil"/>
              <w:tr2bl w:val="nil"/>
            </w:tcBorders>
            <w:shd w:val="clear" w:color="auto" w:fill="auto"/>
            <w:noWrap/>
            <w:tcMar>
              <w:top w:w="15" w:type="dxa"/>
              <w:left w:w="15" w:type="dxa"/>
              <w:right w:w="15" w:type="dxa"/>
            </w:tcMar>
            <w:vAlign w:val="center"/>
          </w:tcPr>
          <w:p w14:paraId="51DD12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cs="Times New Roman"/>
                <w:i w:val="0"/>
                <w:color w:val="000000"/>
                <w:sz w:val="21"/>
                <w:szCs w:val="21"/>
                <w:highlight w:val="none"/>
                <w:u w:val="none"/>
                <w:lang w:val="en-US" w:eastAsia="zh-CN"/>
              </w:rPr>
              <w:t>GB15618</w:t>
            </w:r>
            <w:r>
              <w:rPr>
                <w:rFonts w:hint="default" w:ascii="Times New Roman" w:hAnsi="Times New Roman" w:cs="Times New Roman"/>
                <w:i w:val="0"/>
                <w:color w:val="000000"/>
                <w:sz w:val="21"/>
                <w:szCs w:val="21"/>
                <w:highlight w:val="none"/>
                <w:u w:val="none"/>
                <w:lang w:eastAsia="zh-CN"/>
              </w:rPr>
              <w:t>其它</w:t>
            </w:r>
          </w:p>
        </w:tc>
        <w:tc>
          <w:tcPr>
            <w:tcW w:w="341" w:type="pct"/>
            <w:tcBorders>
              <w:tl2br w:val="nil"/>
              <w:tr2bl w:val="nil"/>
            </w:tcBorders>
            <w:shd w:val="clear" w:color="auto" w:fill="auto"/>
            <w:noWrap/>
            <w:tcMar>
              <w:top w:w="15" w:type="dxa"/>
              <w:left w:w="15" w:type="dxa"/>
              <w:right w:w="15" w:type="dxa"/>
            </w:tcMar>
            <w:vAlign w:val="center"/>
          </w:tcPr>
          <w:p w14:paraId="654BA3D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w:t>
            </w:r>
          </w:p>
        </w:tc>
        <w:tc>
          <w:tcPr>
            <w:tcW w:w="341" w:type="pct"/>
            <w:tcBorders>
              <w:tl2br w:val="nil"/>
              <w:tr2bl w:val="nil"/>
            </w:tcBorders>
            <w:shd w:val="clear" w:color="auto" w:fill="auto"/>
            <w:noWrap/>
            <w:tcMar>
              <w:top w:w="15" w:type="dxa"/>
              <w:left w:w="15" w:type="dxa"/>
              <w:right w:w="15" w:type="dxa"/>
            </w:tcMar>
            <w:vAlign w:val="center"/>
          </w:tcPr>
          <w:p w14:paraId="7FFCCB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90</w:t>
            </w:r>
          </w:p>
        </w:tc>
        <w:tc>
          <w:tcPr>
            <w:tcW w:w="341" w:type="pct"/>
            <w:tcBorders>
              <w:tl2br w:val="nil"/>
              <w:tr2bl w:val="nil"/>
            </w:tcBorders>
            <w:shd w:val="clear" w:color="auto" w:fill="auto"/>
            <w:noWrap/>
            <w:tcMar>
              <w:top w:w="15" w:type="dxa"/>
              <w:left w:w="15" w:type="dxa"/>
              <w:right w:w="15" w:type="dxa"/>
            </w:tcMar>
            <w:vAlign w:val="center"/>
          </w:tcPr>
          <w:p w14:paraId="5C7A150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1.8</w:t>
            </w:r>
          </w:p>
        </w:tc>
        <w:tc>
          <w:tcPr>
            <w:tcW w:w="341" w:type="pct"/>
            <w:tcBorders>
              <w:tl2br w:val="nil"/>
              <w:tr2bl w:val="nil"/>
            </w:tcBorders>
            <w:shd w:val="clear" w:color="auto" w:fill="auto"/>
            <w:noWrap/>
            <w:tcMar>
              <w:top w:w="15" w:type="dxa"/>
              <w:left w:w="15" w:type="dxa"/>
              <w:right w:w="15" w:type="dxa"/>
            </w:tcMar>
            <w:vAlign w:val="center"/>
          </w:tcPr>
          <w:p w14:paraId="12547D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0.3</w:t>
            </w:r>
          </w:p>
        </w:tc>
        <w:tc>
          <w:tcPr>
            <w:tcW w:w="341" w:type="pct"/>
            <w:tcBorders>
              <w:tl2br w:val="nil"/>
              <w:tr2bl w:val="nil"/>
            </w:tcBorders>
            <w:shd w:val="clear" w:color="auto" w:fill="auto"/>
            <w:noWrap/>
            <w:tcMar>
              <w:top w:w="15" w:type="dxa"/>
              <w:left w:w="15" w:type="dxa"/>
              <w:right w:w="15" w:type="dxa"/>
            </w:tcMar>
            <w:vAlign w:val="center"/>
          </w:tcPr>
          <w:p w14:paraId="744453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50</w:t>
            </w:r>
          </w:p>
        </w:tc>
        <w:tc>
          <w:tcPr>
            <w:tcW w:w="341" w:type="pct"/>
            <w:tcBorders>
              <w:tl2br w:val="nil"/>
              <w:tr2bl w:val="nil"/>
            </w:tcBorders>
            <w:shd w:val="clear" w:color="auto" w:fill="auto"/>
            <w:noWrap/>
            <w:tcMar>
              <w:top w:w="15" w:type="dxa"/>
              <w:left w:w="15" w:type="dxa"/>
              <w:right w:w="15" w:type="dxa"/>
            </w:tcMar>
            <w:vAlign w:val="center"/>
          </w:tcPr>
          <w:p w14:paraId="39ECF6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70</w:t>
            </w:r>
          </w:p>
        </w:tc>
        <w:tc>
          <w:tcPr>
            <w:tcW w:w="341" w:type="pct"/>
            <w:tcBorders>
              <w:tl2br w:val="nil"/>
              <w:tr2bl w:val="nil"/>
            </w:tcBorders>
            <w:shd w:val="clear" w:color="auto" w:fill="auto"/>
            <w:noWrap/>
            <w:tcMar>
              <w:top w:w="15" w:type="dxa"/>
              <w:left w:w="15" w:type="dxa"/>
              <w:right w:w="15" w:type="dxa"/>
            </w:tcMar>
            <w:vAlign w:val="center"/>
          </w:tcPr>
          <w:p w14:paraId="315218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150</w:t>
            </w:r>
          </w:p>
        </w:tc>
        <w:tc>
          <w:tcPr>
            <w:tcW w:w="341" w:type="pct"/>
            <w:tcBorders>
              <w:tl2br w:val="nil"/>
              <w:tr2bl w:val="nil"/>
            </w:tcBorders>
            <w:shd w:val="clear" w:color="auto" w:fill="auto"/>
            <w:noWrap/>
            <w:tcMar>
              <w:top w:w="15" w:type="dxa"/>
              <w:left w:w="15" w:type="dxa"/>
              <w:right w:w="15" w:type="dxa"/>
            </w:tcMar>
            <w:vAlign w:val="center"/>
          </w:tcPr>
          <w:p w14:paraId="232CDF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200</w:t>
            </w:r>
          </w:p>
        </w:tc>
        <w:tc>
          <w:tcPr>
            <w:tcW w:w="341" w:type="pct"/>
            <w:tcBorders>
              <w:tl2br w:val="nil"/>
              <w:tr2bl w:val="nil"/>
            </w:tcBorders>
            <w:shd w:val="clear" w:color="auto" w:fill="auto"/>
            <w:noWrap/>
            <w:tcMar>
              <w:top w:w="15" w:type="dxa"/>
              <w:left w:w="15" w:type="dxa"/>
              <w:right w:w="15" w:type="dxa"/>
            </w:tcMar>
            <w:vAlign w:val="center"/>
          </w:tcPr>
          <w:p w14:paraId="4E3D50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40</w:t>
            </w:r>
          </w:p>
        </w:tc>
        <w:tc>
          <w:tcPr>
            <w:tcW w:w="540" w:type="pct"/>
            <w:tcBorders>
              <w:tl2br w:val="nil"/>
              <w:tr2bl w:val="nil"/>
            </w:tcBorders>
            <w:shd w:val="clear" w:color="auto" w:fill="auto"/>
            <w:noWrap/>
            <w:tcMar>
              <w:top w:w="15" w:type="dxa"/>
              <w:left w:w="15" w:type="dxa"/>
              <w:right w:w="15" w:type="dxa"/>
            </w:tcMar>
            <w:vAlign w:val="center"/>
          </w:tcPr>
          <w:p w14:paraId="7DEACA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w:t>
            </w:r>
          </w:p>
        </w:tc>
      </w:tr>
      <w:tr w14:paraId="79C696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376" w:type="pct"/>
            <w:vMerge w:val="restart"/>
            <w:tcBorders>
              <w:tl2br w:val="nil"/>
              <w:tr2bl w:val="nil"/>
            </w:tcBorders>
            <w:shd w:val="clear" w:color="auto" w:fill="auto"/>
            <w:noWrap/>
            <w:tcMar>
              <w:top w:w="15" w:type="dxa"/>
              <w:left w:w="15" w:type="dxa"/>
              <w:right w:w="15" w:type="dxa"/>
            </w:tcMar>
            <w:vAlign w:val="center"/>
          </w:tcPr>
          <w:p w14:paraId="50CF397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6.5＜pH≤7.5</w:t>
            </w:r>
          </w:p>
        </w:tc>
        <w:tc>
          <w:tcPr>
            <w:tcW w:w="667" w:type="pct"/>
            <w:tcBorders>
              <w:tl2br w:val="nil"/>
              <w:tr2bl w:val="nil"/>
            </w:tcBorders>
            <w:shd w:val="clear" w:color="auto" w:fill="auto"/>
            <w:noWrap/>
            <w:tcMar>
              <w:top w:w="15" w:type="dxa"/>
              <w:left w:w="15" w:type="dxa"/>
              <w:right w:w="15" w:type="dxa"/>
            </w:tcMar>
            <w:vAlign w:val="center"/>
          </w:tcPr>
          <w:p w14:paraId="5AC284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HR-5</w:t>
            </w:r>
          </w:p>
        </w:tc>
        <w:tc>
          <w:tcPr>
            <w:tcW w:w="341" w:type="pct"/>
            <w:tcBorders>
              <w:tl2br w:val="nil"/>
              <w:tr2bl w:val="nil"/>
            </w:tcBorders>
            <w:shd w:val="clear" w:color="auto" w:fill="auto"/>
            <w:noWrap/>
            <w:tcMar>
              <w:top w:w="15" w:type="dxa"/>
              <w:left w:w="15" w:type="dxa"/>
              <w:right w:w="15" w:type="dxa"/>
            </w:tcMar>
            <w:vAlign w:val="center"/>
          </w:tcPr>
          <w:p w14:paraId="24B9C8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园区边界北侧上风向20m</w:t>
            </w:r>
            <w:r>
              <w:rPr>
                <w:rFonts w:hint="eastAsia" w:cs="Times New Roman"/>
                <w:sz w:val="21"/>
                <w:szCs w:val="21"/>
                <w:highlight w:val="none"/>
                <w:lang w:val="en-US" w:eastAsia="zh-CN"/>
              </w:rPr>
              <w:t>外</w:t>
            </w:r>
          </w:p>
        </w:tc>
        <w:tc>
          <w:tcPr>
            <w:tcW w:w="341" w:type="pct"/>
            <w:tcBorders>
              <w:tl2br w:val="nil"/>
              <w:tr2bl w:val="nil"/>
            </w:tcBorders>
            <w:shd w:val="clear" w:color="auto" w:fill="auto"/>
            <w:noWrap/>
            <w:tcMar>
              <w:top w:w="15" w:type="dxa"/>
              <w:left w:w="15" w:type="dxa"/>
              <w:right w:w="15" w:type="dxa"/>
            </w:tcMar>
            <w:vAlign w:val="center"/>
          </w:tcPr>
          <w:p w14:paraId="3C2786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6.53</w:t>
            </w:r>
          </w:p>
        </w:tc>
        <w:tc>
          <w:tcPr>
            <w:tcW w:w="341" w:type="pct"/>
            <w:tcBorders>
              <w:tl2br w:val="nil"/>
              <w:tr2bl w:val="nil"/>
            </w:tcBorders>
            <w:shd w:val="clear" w:color="auto" w:fill="auto"/>
            <w:noWrap/>
            <w:tcMar>
              <w:top w:w="15" w:type="dxa"/>
              <w:left w:w="15" w:type="dxa"/>
              <w:right w:w="15" w:type="dxa"/>
            </w:tcMar>
            <w:vAlign w:val="center"/>
          </w:tcPr>
          <w:p w14:paraId="7F6327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20.2</w:t>
            </w:r>
          </w:p>
        </w:tc>
        <w:tc>
          <w:tcPr>
            <w:tcW w:w="341" w:type="pct"/>
            <w:tcBorders>
              <w:tl2br w:val="nil"/>
              <w:tr2bl w:val="nil"/>
            </w:tcBorders>
            <w:shd w:val="clear" w:color="auto" w:fill="auto"/>
            <w:noWrap/>
            <w:tcMar>
              <w:top w:w="15" w:type="dxa"/>
              <w:left w:w="15" w:type="dxa"/>
              <w:right w:w="15" w:type="dxa"/>
            </w:tcMar>
            <w:vAlign w:val="center"/>
          </w:tcPr>
          <w:p w14:paraId="7A0C5B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0.14</w:t>
            </w:r>
          </w:p>
        </w:tc>
        <w:tc>
          <w:tcPr>
            <w:tcW w:w="341" w:type="pct"/>
            <w:tcBorders>
              <w:tl2br w:val="nil"/>
              <w:tr2bl w:val="nil"/>
            </w:tcBorders>
            <w:shd w:val="clear" w:color="auto" w:fill="auto"/>
            <w:noWrap/>
            <w:tcMar>
              <w:top w:w="15" w:type="dxa"/>
              <w:left w:w="15" w:type="dxa"/>
              <w:right w:w="15" w:type="dxa"/>
            </w:tcMar>
            <w:vAlign w:val="center"/>
          </w:tcPr>
          <w:p w14:paraId="4A280D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0.08</w:t>
            </w:r>
          </w:p>
        </w:tc>
        <w:tc>
          <w:tcPr>
            <w:tcW w:w="341" w:type="pct"/>
            <w:tcBorders>
              <w:tl2br w:val="nil"/>
              <w:tr2bl w:val="nil"/>
            </w:tcBorders>
            <w:shd w:val="clear" w:color="auto" w:fill="auto"/>
            <w:noWrap/>
            <w:tcMar>
              <w:top w:w="15" w:type="dxa"/>
              <w:left w:w="15" w:type="dxa"/>
              <w:right w:w="15" w:type="dxa"/>
            </w:tcMar>
            <w:vAlign w:val="center"/>
          </w:tcPr>
          <w:p w14:paraId="761544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22</w:t>
            </w:r>
          </w:p>
        </w:tc>
        <w:tc>
          <w:tcPr>
            <w:tcW w:w="341" w:type="pct"/>
            <w:tcBorders>
              <w:tl2br w:val="nil"/>
              <w:tr2bl w:val="nil"/>
            </w:tcBorders>
            <w:shd w:val="clear" w:color="auto" w:fill="auto"/>
            <w:noWrap/>
            <w:tcMar>
              <w:top w:w="15" w:type="dxa"/>
              <w:left w:w="15" w:type="dxa"/>
              <w:right w:w="15" w:type="dxa"/>
            </w:tcMar>
            <w:vAlign w:val="center"/>
          </w:tcPr>
          <w:p w14:paraId="72F3FA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25</w:t>
            </w:r>
          </w:p>
        </w:tc>
        <w:tc>
          <w:tcPr>
            <w:tcW w:w="341" w:type="pct"/>
            <w:tcBorders>
              <w:tl2br w:val="nil"/>
              <w:tr2bl w:val="nil"/>
            </w:tcBorders>
            <w:shd w:val="clear" w:color="auto" w:fill="auto"/>
            <w:noWrap/>
            <w:tcMar>
              <w:top w:w="15" w:type="dxa"/>
              <w:left w:w="15" w:type="dxa"/>
              <w:right w:w="15" w:type="dxa"/>
            </w:tcMar>
            <w:vAlign w:val="center"/>
          </w:tcPr>
          <w:p w14:paraId="6C9E17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41</w:t>
            </w:r>
          </w:p>
        </w:tc>
        <w:tc>
          <w:tcPr>
            <w:tcW w:w="341" w:type="pct"/>
            <w:tcBorders>
              <w:tl2br w:val="nil"/>
              <w:tr2bl w:val="nil"/>
            </w:tcBorders>
            <w:shd w:val="clear" w:color="auto" w:fill="auto"/>
            <w:noWrap/>
            <w:tcMar>
              <w:top w:w="15" w:type="dxa"/>
              <w:left w:w="15" w:type="dxa"/>
              <w:right w:w="15" w:type="dxa"/>
            </w:tcMar>
            <w:vAlign w:val="center"/>
          </w:tcPr>
          <w:p w14:paraId="1716F0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51</w:t>
            </w:r>
          </w:p>
        </w:tc>
        <w:tc>
          <w:tcPr>
            <w:tcW w:w="341" w:type="pct"/>
            <w:tcBorders>
              <w:tl2br w:val="nil"/>
              <w:tr2bl w:val="nil"/>
            </w:tcBorders>
            <w:shd w:val="clear" w:color="auto" w:fill="auto"/>
            <w:noWrap/>
            <w:tcMar>
              <w:top w:w="15" w:type="dxa"/>
              <w:left w:w="15" w:type="dxa"/>
              <w:right w:w="15" w:type="dxa"/>
            </w:tcMar>
            <w:vAlign w:val="center"/>
          </w:tcPr>
          <w:p w14:paraId="76282A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7.2</w:t>
            </w:r>
          </w:p>
        </w:tc>
        <w:tc>
          <w:tcPr>
            <w:tcW w:w="540" w:type="pct"/>
            <w:tcBorders>
              <w:tl2br w:val="nil"/>
              <w:tr2bl w:val="nil"/>
            </w:tcBorders>
            <w:shd w:val="clear" w:color="auto" w:fill="auto"/>
            <w:noWrap/>
            <w:tcMar>
              <w:top w:w="15" w:type="dxa"/>
              <w:left w:w="15" w:type="dxa"/>
              <w:right w:w="15" w:type="dxa"/>
            </w:tcMar>
            <w:vAlign w:val="center"/>
          </w:tcPr>
          <w:p w14:paraId="66528C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达标</w:t>
            </w:r>
          </w:p>
        </w:tc>
      </w:tr>
      <w:tr w14:paraId="14B519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376" w:type="pct"/>
            <w:vMerge w:val="continue"/>
            <w:tcBorders>
              <w:tl2br w:val="nil"/>
              <w:tr2bl w:val="nil"/>
            </w:tcBorders>
            <w:shd w:val="clear" w:color="auto" w:fill="auto"/>
            <w:noWrap/>
            <w:tcMar>
              <w:top w:w="15" w:type="dxa"/>
              <w:left w:w="15" w:type="dxa"/>
              <w:right w:w="15" w:type="dxa"/>
            </w:tcMar>
            <w:vAlign w:val="center"/>
          </w:tcPr>
          <w:p w14:paraId="1E42023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i w:val="0"/>
                <w:color w:val="000000"/>
                <w:sz w:val="21"/>
                <w:szCs w:val="21"/>
                <w:highlight w:val="none"/>
                <w:u w:val="none"/>
              </w:rPr>
            </w:pPr>
          </w:p>
        </w:tc>
        <w:tc>
          <w:tcPr>
            <w:tcW w:w="667" w:type="pct"/>
            <w:tcBorders>
              <w:tl2br w:val="nil"/>
              <w:tr2bl w:val="nil"/>
            </w:tcBorders>
            <w:shd w:val="clear" w:color="auto" w:fill="auto"/>
            <w:noWrap/>
            <w:tcMar>
              <w:top w:w="15" w:type="dxa"/>
              <w:left w:w="15" w:type="dxa"/>
              <w:right w:w="15" w:type="dxa"/>
            </w:tcMar>
            <w:vAlign w:val="center"/>
          </w:tcPr>
          <w:p w14:paraId="4157A3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HR-4-200</w:t>
            </w:r>
          </w:p>
        </w:tc>
        <w:tc>
          <w:tcPr>
            <w:tcW w:w="341" w:type="pct"/>
            <w:tcBorders>
              <w:tl2br w:val="nil"/>
              <w:tr2bl w:val="nil"/>
            </w:tcBorders>
            <w:shd w:val="clear" w:color="auto" w:fill="auto"/>
            <w:noWrap/>
            <w:tcMar>
              <w:top w:w="15" w:type="dxa"/>
              <w:left w:w="15" w:type="dxa"/>
              <w:right w:w="15" w:type="dxa"/>
            </w:tcMar>
            <w:vAlign w:val="center"/>
          </w:tcPr>
          <w:p w14:paraId="02A8FC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园区边界南侧下风向200m</w:t>
            </w:r>
          </w:p>
        </w:tc>
        <w:tc>
          <w:tcPr>
            <w:tcW w:w="341" w:type="pct"/>
            <w:tcBorders>
              <w:tl2br w:val="nil"/>
              <w:tr2bl w:val="nil"/>
            </w:tcBorders>
            <w:shd w:val="clear" w:color="auto" w:fill="auto"/>
            <w:noWrap/>
            <w:tcMar>
              <w:top w:w="15" w:type="dxa"/>
              <w:left w:w="15" w:type="dxa"/>
              <w:right w:w="15" w:type="dxa"/>
            </w:tcMar>
            <w:vAlign w:val="center"/>
          </w:tcPr>
          <w:p w14:paraId="1F2300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7.15</w:t>
            </w:r>
          </w:p>
        </w:tc>
        <w:tc>
          <w:tcPr>
            <w:tcW w:w="341" w:type="pct"/>
            <w:tcBorders>
              <w:tl2br w:val="nil"/>
              <w:tr2bl w:val="nil"/>
            </w:tcBorders>
            <w:shd w:val="clear" w:color="auto" w:fill="auto"/>
            <w:noWrap/>
            <w:tcMar>
              <w:top w:w="15" w:type="dxa"/>
              <w:left w:w="15" w:type="dxa"/>
              <w:right w:w="15" w:type="dxa"/>
            </w:tcMar>
            <w:vAlign w:val="center"/>
          </w:tcPr>
          <w:p w14:paraId="628F09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16.4</w:t>
            </w:r>
          </w:p>
        </w:tc>
        <w:tc>
          <w:tcPr>
            <w:tcW w:w="341" w:type="pct"/>
            <w:tcBorders>
              <w:tl2br w:val="nil"/>
              <w:tr2bl w:val="nil"/>
            </w:tcBorders>
            <w:shd w:val="clear" w:color="auto" w:fill="auto"/>
            <w:noWrap/>
            <w:tcMar>
              <w:top w:w="15" w:type="dxa"/>
              <w:left w:w="15" w:type="dxa"/>
              <w:right w:w="15" w:type="dxa"/>
            </w:tcMar>
            <w:vAlign w:val="center"/>
          </w:tcPr>
          <w:p w14:paraId="16EBFB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0.09</w:t>
            </w:r>
          </w:p>
        </w:tc>
        <w:tc>
          <w:tcPr>
            <w:tcW w:w="341" w:type="pct"/>
            <w:tcBorders>
              <w:tl2br w:val="nil"/>
              <w:tr2bl w:val="nil"/>
            </w:tcBorders>
            <w:shd w:val="clear" w:color="auto" w:fill="auto"/>
            <w:noWrap/>
            <w:tcMar>
              <w:top w:w="15" w:type="dxa"/>
              <w:left w:w="15" w:type="dxa"/>
              <w:right w:w="15" w:type="dxa"/>
            </w:tcMar>
            <w:vAlign w:val="center"/>
          </w:tcPr>
          <w:p w14:paraId="44EACC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0.02</w:t>
            </w:r>
          </w:p>
        </w:tc>
        <w:tc>
          <w:tcPr>
            <w:tcW w:w="341" w:type="pct"/>
            <w:tcBorders>
              <w:tl2br w:val="nil"/>
              <w:tr2bl w:val="nil"/>
            </w:tcBorders>
            <w:shd w:val="clear" w:color="auto" w:fill="auto"/>
            <w:noWrap/>
            <w:tcMar>
              <w:top w:w="15" w:type="dxa"/>
              <w:left w:w="15" w:type="dxa"/>
              <w:right w:w="15" w:type="dxa"/>
            </w:tcMar>
            <w:vAlign w:val="center"/>
          </w:tcPr>
          <w:p w14:paraId="59DB9F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21</w:t>
            </w:r>
          </w:p>
        </w:tc>
        <w:tc>
          <w:tcPr>
            <w:tcW w:w="341" w:type="pct"/>
            <w:tcBorders>
              <w:tl2br w:val="nil"/>
              <w:tr2bl w:val="nil"/>
            </w:tcBorders>
            <w:shd w:val="clear" w:color="auto" w:fill="auto"/>
            <w:noWrap/>
            <w:tcMar>
              <w:top w:w="15" w:type="dxa"/>
              <w:left w:w="15" w:type="dxa"/>
              <w:right w:w="15" w:type="dxa"/>
            </w:tcMar>
            <w:vAlign w:val="center"/>
          </w:tcPr>
          <w:p w14:paraId="113ACD2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27</w:t>
            </w:r>
          </w:p>
        </w:tc>
        <w:tc>
          <w:tcPr>
            <w:tcW w:w="341" w:type="pct"/>
            <w:tcBorders>
              <w:tl2br w:val="nil"/>
              <w:tr2bl w:val="nil"/>
            </w:tcBorders>
            <w:shd w:val="clear" w:color="auto" w:fill="auto"/>
            <w:noWrap/>
            <w:tcMar>
              <w:top w:w="15" w:type="dxa"/>
              <w:left w:w="15" w:type="dxa"/>
              <w:right w:w="15" w:type="dxa"/>
            </w:tcMar>
            <w:vAlign w:val="center"/>
          </w:tcPr>
          <w:p w14:paraId="6EFD15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51</w:t>
            </w:r>
          </w:p>
        </w:tc>
        <w:tc>
          <w:tcPr>
            <w:tcW w:w="341" w:type="pct"/>
            <w:tcBorders>
              <w:tl2br w:val="nil"/>
              <w:tr2bl w:val="nil"/>
            </w:tcBorders>
            <w:shd w:val="clear" w:color="auto" w:fill="auto"/>
            <w:noWrap/>
            <w:tcMar>
              <w:top w:w="15" w:type="dxa"/>
              <w:left w:w="15" w:type="dxa"/>
              <w:right w:w="15" w:type="dxa"/>
            </w:tcMar>
            <w:vAlign w:val="center"/>
          </w:tcPr>
          <w:p w14:paraId="320868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41</w:t>
            </w:r>
          </w:p>
        </w:tc>
        <w:tc>
          <w:tcPr>
            <w:tcW w:w="341" w:type="pct"/>
            <w:tcBorders>
              <w:tl2br w:val="nil"/>
              <w:tr2bl w:val="nil"/>
            </w:tcBorders>
            <w:shd w:val="clear" w:color="auto" w:fill="auto"/>
            <w:noWrap/>
            <w:tcMar>
              <w:top w:w="15" w:type="dxa"/>
              <w:left w:w="15" w:type="dxa"/>
              <w:right w:w="15" w:type="dxa"/>
            </w:tcMar>
            <w:vAlign w:val="center"/>
          </w:tcPr>
          <w:p w14:paraId="5ADA73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5.8</w:t>
            </w:r>
          </w:p>
        </w:tc>
        <w:tc>
          <w:tcPr>
            <w:tcW w:w="540" w:type="pct"/>
            <w:tcBorders>
              <w:tl2br w:val="nil"/>
              <w:tr2bl w:val="nil"/>
            </w:tcBorders>
            <w:shd w:val="clear" w:color="auto" w:fill="auto"/>
            <w:noWrap/>
            <w:tcMar>
              <w:top w:w="15" w:type="dxa"/>
              <w:left w:w="15" w:type="dxa"/>
              <w:right w:w="15" w:type="dxa"/>
            </w:tcMar>
            <w:vAlign w:val="center"/>
          </w:tcPr>
          <w:p w14:paraId="63CE71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达标</w:t>
            </w:r>
          </w:p>
        </w:tc>
      </w:tr>
      <w:tr w14:paraId="5B2C0A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376" w:type="pct"/>
            <w:vMerge w:val="continue"/>
            <w:tcBorders>
              <w:tl2br w:val="nil"/>
              <w:tr2bl w:val="nil"/>
            </w:tcBorders>
            <w:shd w:val="clear" w:color="auto" w:fill="auto"/>
            <w:noWrap/>
            <w:tcMar>
              <w:top w:w="15" w:type="dxa"/>
              <w:left w:w="15" w:type="dxa"/>
              <w:right w:w="15" w:type="dxa"/>
            </w:tcMar>
            <w:vAlign w:val="center"/>
          </w:tcPr>
          <w:p w14:paraId="0C4194D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i w:val="0"/>
                <w:color w:val="000000"/>
                <w:sz w:val="21"/>
                <w:szCs w:val="21"/>
                <w:highlight w:val="none"/>
                <w:u w:val="none"/>
              </w:rPr>
            </w:pPr>
          </w:p>
        </w:tc>
        <w:tc>
          <w:tcPr>
            <w:tcW w:w="1008" w:type="pct"/>
            <w:gridSpan w:val="2"/>
            <w:tcBorders>
              <w:tl2br w:val="nil"/>
              <w:tr2bl w:val="nil"/>
            </w:tcBorders>
            <w:shd w:val="clear" w:color="auto" w:fill="auto"/>
            <w:noWrap/>
            <w:tcMar>
              <w:top w:w="15" w:type="dxa"/>
              <w:left w:w="15" w:type="dxa"/>
              <w:right w:w="15" w:type="dxa"/>
            </w:tcMar>
            <w:vAlign w:val="center"/>
          </w:tcPr>
          <w:p w14:paraId="0B0369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cs="Times New Roman"/>
                <w:i w:val="0"/>
                <w:color w:val="000000"/>
                <w:sz w:val="21"/>
                <w:szCs w:val="21"/>
                <w:highlight w:val="none"/>
                <w:u w:val="none"/>
                <w:lang w:val="en-US" w:eastAsia="zh-CN"/>
              </w:rPr>
              <w:t>GB15618</w:t>
            </w:r>
            <w:r>
              <w:rPr>
                <w:rFonts w:hint="default" w:ascii="Times New Roman" w:hAnsi="Times New Roman" w:cs="Times New Roman"/>
                <w:i w:val="0"/>
                <w:color w:val="000000"/>
                <w:sz w:val="21"/>
                <w:szCs w:val="21"/>
                <w:highlight w:val="none"/>
                <w:u w:val="none"/>
                <w:lang w:eastAsia="zh-CN"/>
              </w:rPr>
              <w:t>其它</w:t>
            </w:r>
          </w:p>
        </w:tc>
        <w:tc>
          <w:tcPr>
            <w:tcW w:w="341" w:type="pct"/>
            <w:tcBorders>
              <w:tl2br w:val="nil"/>
              <w:tr2bl w:val="nil"/>
            </w:tcBorders>
            <w:shd w:val="clear" w:color="auto" w:fill="auto"/>
            <w:noWrap/>
            <w:tcMar>
              <w:top w:w="15" w:type="dxa"/>
              <w:left w:w="15" w:type="dxa"/>
              <w:right w:w="15" w:type="dxa"/>
            </w:tcMar>
            <w:vAlign w:val="center"/>
          </w:tcPr>
          <w:p w14:paraId="779FB1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w:t>
            </w:r>
          </w:p>
        </w:tc>
        <w:tc>
          <w:tcPr>
            <w:tcW w:w="341" w:type="pct"/>
            <w:tcBorders>
              <w:tl2br w:val="nil"/>
              <w:tr2bl w:val="nil"/>
            </w:tcBorders>
            <w:shd w:val="clear" w:color="auto" w:fill="auto"/>
            <w:noWrap/>
            <w:tcMar>
              <w:top w:w="15" w:type="dxa"/>
              <w:left w:w="15" w:type="dxa"/>
              <w:right w:w="15" w:type="dxa"/>
            </w:tcMar>
            <w:vAlign w:val="center"/>
          </w:tcPr>
          <w:p w14:paraId="409A75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120</w:t>
            </w:r>
          </w:p>
        </w:tc>
        <w:tc>
          <w:tcPr>
            <w:tcW w:w="341" w:type="pct"/>
            <w:tcBorders>
              <w:tl2br w:val="nil"/>
              <w:tr2bl w:val="nil"/>
            </w:tcBorders>
            <w:shd w:val="clear" w:color="auto" w:fill="auto"/>
            <w:noWrap/>
            <w:tcMar>
              <w:top w:w="15" w:type="dxa"/>
              <w:left w:w="15" w:type="dxa"/>
              <w:right w:w="15" w:type="dxa"/>
            </w:tcMar>
            <w:vAlign w:val="center"/>
          </w:tcPr>
          <w:p w14:paraId="36151A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2.4</w:t>
            </w:r>
          </w:p>
        </w:tc>
        <w:tc>
          <w:tcPr>
            <w:tcW w:w="341" w:type="pct"/>
            <w:tcBorders>
              <w:tl2br w:val="nil"/>
              <w:tr2bl w:val="nil"/>
            </w:tcBorders>
            <w:shd w:val="clear" w:color="auto" w:fill="auto"/>
            <w:noWrap/>
            <w:tcMar>
              <w:top w:w="15" w:type="dxa"/>
              <w:left w:w="15" w:type="dxa"/>
              <w:right w:w="15" w:type="dxa"/>
            </w:tcMar>
            <w:vAlign w:val="center"/>
          </w:tcPr>
          <w:p w14:paraId="3DB94A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lang w:val="en-US"/>
              </w:rPr>
            </w:pPr>
            <w:r>
              <w:rPr>
                <w:rFonts w:hint="default" w:ascii="Times New Roman" w:hAnsi="Times New Roman" w:eastAsia="宋体" w:cs="Times New Roman"/>
                <w:b w:val="0"/>
                <w:bCs w:val="0"/>
                <w:i w:val="0"/>
                <w:color w:val="000000"/>
                <w:kern w:val="0"/>
                <w:sz w:val="21"/>
                <w:szCs w:val="21"/>
                <w:highlight w:val="none"/>
                <w:u w:val="none"/>
                <w:lang w:val="en-US" w:eastAsia="zh-CN" w:bidi="ar"/>
              </w:rPr>
              <w:t>0.3</w:t>
            </w:r>
            <w:r>
              <w:rPr>
                <w:rFonts w:hint="default" w:ascii="Times New Roman" w:hAnsi="Times New Roman" w:cs="Times New Roman"/>
                <w:b w:val="0"/>
                <w:bCs w:val="0"/>
                <w:i w:val="0"/>
                <w:color w:val="000000"/>
                <w:kern w:val="0"/>
                <w:sz w:val="21"/>
                <w:szCs w:val="21"/>
                <w:highlight w:val="none"/>
                <w:u w:val="none"/>
                <w:lang w:val="en-US" w:eastAsia="zh-CN" w:bidi="ar"/>
              </w:rPr>
              <w:t>0</w:t>
            </w:r>
          </w:p>
        </w:tc>
        <w:tc>
          <w:tcPr>
            <w:tcW w:w="341" w:type="pct"/>
            <w:tcBorders>
              <w:tl2br w:val="nil"/>
              <w:tr2bl w:val="nil"/>
            </w:tcBorders>
            <w:shd w:val="clear" w:color="auto" w:fill="auto"/>
            <w:noWrap/>
            <w:tcMar>
              <w:top w:w="15" w:type="dxa"/>
              <w:left w:w="15" w:type="dxa"/>
              <w:right w:w="15" w:type="dxa"/>
            </w:tcMar>
            <w:vAlign w:val="center"/>
          </w:tcPr>
          <w:p w14:paraId="5E5C98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100</w:t>
            </w:r>
          </w:p>
        </w:tc>
        <w:tc>
          <w:tcPr>
            <w:tcW w:w="341" w:type="pct"/>
            <w:tcBorders>
              <w:tl2br w:val="nil"/>
              <w:tr2bl w:val="nil"/>
            </w:tcBorders>
            <w:shd w:val="clear" w:color="auto" w:fill="auto"/>
            <w:noWrap/>
            <w:tcMar>
              <w:top w:w="15" w:type="dxa"/>
              <w:left w:w="15" w:type="dxa"/>
              <w:right w:w="15" w:type="dxa"/>
            </w:tcMar>
            <w:vAlign w:val="center"/>
          </w:tcPr>
          <w:p w14:paraId="7B53E2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100</w:t>
            </w:r>
          </w:p>
        </w:tc>
        <w:tc>
          <w:tcPr>
            <w:tcW w:w="341" w:type="pct"/>
            <w:tcBorders>
              <w:tl2br w:val="nil"/>
              <w:tr2bl w:val="nil"/>
            </w:tcBorders>
            <w:shd w:val="clear" w:color="auto" w:fill="auto"/>
            <w:noWrap/>
            <w:tcMar>
              <w:top w:w="15" w:type="dxa"/>
              <w:left w:w="15" w:type="dxa"/>
              <w:right w:w="15" w:type="dxa"/>
            </w:tcMar>
            <w:vAlign w:val="center"/>
          </w:tcPr>
          <w:p w14:paraId="2B9830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200</w:t>
            </w:r>
          </w:p>
        </w:tc>
        <w:tc>
          <w:tcPr>
            <w:tcW w:w="341" w:type="pct"/>
            <w:tcBorders>
              <w:tl2br w:val="nil"/>
              <w:tr2bl w:val="nil"/>
            </w:tcBorders>
            <w:shd w:val="clear" w:color="auto" w:fill="auto"/>
            <w:noWrap/>
            <w:tcMar>
              <w:top w:w="15" w:type="dxa"/>
              <w:left w:w="15" w:type="dxa"/>
              <w:right w:w="15" w:type="dxa"/>
            </w:tcMar>
            <w:vAlign w:val="center"/>
          </w:tcPr>
          <w:p w14:paraId="08A481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250</w:t>
            </w:r>
          </w:p>
        </w:tc>
        <w:tc>
          <w:tcPr>
            <w:tcW w:w="341" w:type="pct"/>
            <w:tcBorders>
              <w:tl2br w:val="nil"/>
              <w:tr2bl w:val="nil"/>
            </w:tcBorders>
            <w:shd w:val="clear" w:color="auto" w:fill="auto"/>
            <w:noWrap/>
            <w:tcMar>
              <w:top w:w="15" w:type="dxa"/>
              <w:left w:w="15" w:type="dxa"/>
              <w:right w:w="15" w:type="dxa"/>
            </w:tcMar>
            <w:vAlign w:val="center"/>
          </w:tcPr>
          <w:p w14:paraId="33C6A9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30</w:t>
            </w:r>
          </w:p>
        </w:tc>
        <w:tc>
          <w:tcPr>
            <w:tcW w:w="540" w:type="pct"/>
            <w:tcBorders>
              <w:tl2br w:val="nil"/>
              <w:tr2bl w:val="nil"/>
            </w:tcBorders>
            <w:shd w:val="clear" w:color="auto" w:fill="auto"/>
            <w:noWrap/>
            <w:tcMar>
              <w:top w:w="15" w:type="dxa"/>
              <w:left w:w="15" w:type="dxa"/>
              <w:right w:w="15" w:type="dxa"/>
            </w:tcMar>
            <w:vAlign w:val="center"/>
          </w:tcPr>
          <w:p w14:paraId="04F4D6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w:t>
            </w:r>
          </w:p>
        </w:tc>
      </w:tr>
      <w:tr w14:paraId="10D8FE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376" w:type="pct"/>
            <w:vMerge w:val="restart"/>
            <w:tcBorders>
              <w:tl2br w:val="nil"/>
              <w:tr2bl w:val="nil"/>
            </w:tcBorders>
            <w:shd w:val="clear" w:color="auto" w:fill="auto"/>
            <w:noWrap/>
            <w:tcMar>
              <w:top w:w="15" w:type="dxa"/>
              <w:left w:w="15" w:type="dxa"/>
              <w:right w:w="15" w:type="dxa"/>
            </w:tcMar>
            <w:vAlign w:val="center"/>
          </w:tcPr>
          <w:p w14:paraId="7A3D18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pH＞7.5</w:t>
            </w:r>
          </w:p>
        </w:tc>
        <w:tc>
          <w:tcPr>
            <w:tcW w:w="667" w:type="pct"/>
            <w:tcBorders>
              <w:tl2br w:val="nil"/>
              <w:tr2bl w:val="nil"/>
            </w:tcBorders>
            <w:shd w:val="clear" w:color="auto" w:fill="auto"/>
            <w:noWrap/>
            <w:tcMar>
              <w:top w:w="15" w:type="dxa"/>
              <w:left w:w="15" w:type="dxa"/>
              <w:right w:w="15" w:type="dxa"/>
            </w:tcMar>
            <w:vAlign w:val="center"/>
          </w:tcPr>
          <w:p w14:paraId="4D3C9E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HR-4-400</w:t>
            </w:r>
          </w:p>
        </w:tc>
        <w:tc>
          <w:tcPr>
            <w:tcW w:w="341" w:type="pct"/>
            <w:tcBorders>
              <w:tl2br w:val="nil"/>
              <w:tr2bl w:val="nil"/>
            </w:tcBorders>
            <w:shd w:val="clear" w:color="auto" w:fill="auto"/>
            <w:noWrap/>
            <w:tcMar>
              <w:top w:w="15" w:type="dxa"/>
              <w:left w:w="15" w:type="dxa"/>
              <w:right w:w="15" w:type="dxa"/>
            </w:tcMar>
            <w:vAlign w:val="center"/>
          </w:tcPr>
          <w:p w14:paraId="2355BAF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园区边界南侧下风向400m</w:t>
            </w:r>
          </w:p>
        </w:tc>
        <w:tc>
          <w:tcPr>
            <w:tcW w:w="341" w:type="pct"/>
            <w:tcBorders>
              <w:tl2br w:val="nil"/>
              <w:tr2bl w:val="nil"/>
            </w:tcBorders>
            <w:shd w:val="clear" w:color="auto" w:fill="auto"/>
            <w:noWrap/>
            <w:tcMar>
              <w:top w:w="15" w:type="dxa"/>
              <w:left w:w="15" w:type="dxa"/>
              <w:right w:w="15" w:type="dxa"/>
            </w:tcMar>
            <w:vAlign w:val="center"/>
          </w:tcPr>
          <w:p w14:paraId="51902F8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7.56</w:t>
            </w:r>
          </w:p>
        </w:tc>
        <w:tc>
          <w:tcPr>
            <w:tcW w:w="341" w:type="pct"/>
            <w:tcBorders>
              <w:tl2br w:val="nil"/>
              <w:tr2bl w:val="nil"/>
            </w:tcBorders>
            <w:shd w:val="clear" w:color="auto" w:fill="auto"/>
            <w:noWrap/>
            <w:tcMar>
              <w:top w:w="15" w:type="dxa"/>
              <w:left w:w="15" w:type="dxa"/>
              <w:right w:w="15" w:type="dxa"/>
            </w:tcMar>
            <w:vAlign w:val="center"/>
          </w:tcPr>
          <w:p w14:paraId="70BEAF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29.3</w:t>
            </w:r>
          </w:p>
        </w:tc>
        <w:tc>
          <w:tcPr>
            <w:tcW w:w="341" w:type="pct"/>
            <w:tcBorders>
              <w:tl2br w:val="nil"/>
              <w:tr2bl w:val="nil"/>
            </w:tcBorders>
            <w:shd w:val="clear" w:color="auto" w:fill="auto"/>
            <w:noWrap/>
            <w:tcMar>
              <w:top w:w="15" w:type="dxa"/>
              <w:left w:w="15" w:type="dxa"/>
              <w:right w:w="15" w:type="dxa"/>
            </w:tcMar>
            <w:vAlign w:val="center"/>
          </w:tcPr>
          <w:p w14:paraId="2EEA0D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0.23</w:t>
            </w:r>
          </w:p>
        </w:tc>
        <w:tc>
          <w:tcPr>
            <w:tcW w:w="341" w:type="pct"/>
            <w:tcBorders>
              <w:tl2br w:val="nil"/>
              <w:tr2bl w:val="nil"/>
            </w:tcBorders>
            <w:shd w:val="clear" w:color="auto" w:fill="auto"/>
            <w:noWrap/>
            <w:tcMar>
              <w:top w:w="15" w:type="dxa"/>
              <w:left w:w="15" w:type="dxa"/>
              <w:right w:w="15" w:type="dxa"/>
            </w:tcMar>
            <w:vAlign w:val="center"/>
          </w:tcPr>
          <w:p w14:paraId="5FE4009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0.09</w:t>
            </w:r>
          </w:p>
        </w:tc>
        <w:tc>
          <w:tcPr>
            <w:tcW w:w="341" w:type="pct"/>
            <w:tcBorders>
              <w:tl2br w:val="nil"/>
              <w:tr2bl w:val="nil"/>
            </w:tcBorders>
            <w:shd w:val="clear" w:color="auto" w:fill="auto"/>
            <w:noWrap/>
            <w:tcMar>
              <w:top w:w="15" w:type="dxa"/>
              <w:left w:w="15" w:type="dxa"/>
              <w:right w:w="15" w:type="dxa"/>
            </w:tcMar>
            <w:vAlign w:val="center"/>
          </w:tcPr>
          <w:p w14:paraId="295940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31</w:t>
            </w:r>
          </w:p>
        </w:tc>
        <w:tc>
          <w:tcPr>
            <w:tcW w:w="341" w:type="pct"/>
            <w:tcBorders>
              <w:tl2br w:val="nil"/>
              <w:tr2bl w:val="nil"/>
            </w:tcBorders>
            <w:shd w:val="clear" w:color="auto" w:fill="auto"/>
            <w:noWrap/>
            <w:tcMar>
              <w:top w:w="15" w:type="dxa"/>
              <w:left w:w="15" w:type="dxa"/>
              <w:right w:w="15" w:type="dxa"/>
            </w:tcMar>
            <w:vAlign w:val="center"/>
          </w:tcPr>
          <w:p w14:paraId="2B1935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71</w:t>
            </w:r>
          </w:p>
        </w:tc>
        <w:tc>
          <w:tcPr>
            <w:tcW w:w="341" w:type="pct"/>
            <w:tcBorders>
              <w:tl2br w:val="nil"/>
              <w:tr2bl w:val="nil"/>
            </w:tcBorders>
            <w:shd w:val="clear" w:color="auto" w:fill="auto"/>
            <w:noWrap/>
            <w:tcMar>
              <w:top w:w="15" w:type="dxa"/>
              <w:left w:w="15" w:type="dxa"/>
              <w:right w:w="15" w:type="dxa"/>
            </w:tcMar>
            <w:vAlign w:val="center"/>
          </w:tcPr>
          <w:p w14:paraId="6BEB30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172</w:t>
            </w:r>
          </w:p>
        </w:tc>
        <w:tc>
          <w:tcPr>
            <w:tcW w:w="341" w:type="pct"/>
            <w:tcBorders>
              <w:tl2br w:val="nil"/>
              <w:tr2bl w:val="nil"/>
            </w:tcBorders>
            <w:shd w:val="clear" w:color="auto" w:fill="auto"/>
            <w:noWrap/>
            <w:tcMar>
              <w:top w:w="15" w:type="dxa"/>
              <w:left w:w="15" w:type="dxa"/>
              <w:right w:w="15" w:type="dxa"/>
            </w:tcMar>
            <w:vAlign w:val="center"/>
          </w:tcPr>
          <w:p w14:paraId="2FC905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91</w:t>
            </w:r>
          </w:p>
        </w:tc>
        <w:tc>
          <w:tcPr>
            <w:tcW w:w="341" w:type="pct"/>
            <w:tcBorders>
              <w:tl2br w:val="nil"/>
              <w:tr2bl w:val="nil"/>
            </w:tcBorders>
            <w:shd w:val="clear" w:color="auto" w:fill="auto"/>
            <w:noWrap/>
            <w:tcMar>
              <w:top w:w="15" w:type="dxa"/>
              <w:left w:w="15" w:type="dxa"/>
              <w:right w:w="15" w:type="dxa"/>
            </w:tcMar>
            <w:vAlign w:val="center"/>
          </w:tcPr>
          <w:p w14:paraId="0E41C0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8.4</w:t>
            </w:r>
          </w:p>
        </w:tc>
        <w:tc>
          <w:tcPr>
            <w:tcW w:w="540" w:type="pct"/>
            <w:tcBorders>
              <w:tl2br w:val="nil"/>
              <w:tr2bl w:val="nil"/>
            </w:tcBorders>
            <w:shd w:val="clear" w:color="auto" w:fill="auto"/>
            <w:noWrap/>
            <w:tcMar>
              <w:top w:w="15" w:type="dxa"/>
              <w:left w:w="15" w:type="dxa"/>
              <w:right w:w="15" w:type="dxa"/>
            </w:tcMar>
            <w:vAlign w:val="center"/>
          </w:tcPr>
          <w:p w14:paraId="7B4625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达标</w:t>
            </w:r>
          </w:p>
        </w:tc>
      </w:tr>
      <w:tr w14:paraId="291A07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85" w:hRule="atLeast"/>
          <w:jc w:val="center"/>
        </w:trPr>
        <w:tc>
          <w:tcPr>
            <w:tcW w:w="376" w:type="pct"/>
            <w:vMerge w:val="continue"/>
            <w:tcBorders>
              <w:tl2br w:val="nil"/>
              <w:tr2bl w:val="nil"/>
            </w:tcBorders>
            <w:shd w:val="clear" w:color="auto" w:fill="auto"/>
            <w:noWrap/>
            <w:tcMar>
              <w:top w:w="15" w:type="dxa"/>
              <w:left w:w="15" w:type="dxa"/>
              <w:right w:w="15" w:type="dxa"/>
            </w:tcMar>
            <w:vAlign w:val="center"/>
          </w:tcPr>
          <w:p w14:paraId="65F30E6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i w:val="0"/>
                <w:color w:val="000000"/>
                <w:sz w:val="21"/>
                <w:szCs w:val="21"/>
                <w:highlight w:val="none"/>
                <w:u w:val="none"/>
              </w:rPr>
            </w:pPr>
          </w:p>
        </w:tc>
        <w:tc>
          <w:tcPr>
            <w:tcW w:w="667" w:type="pct"/>
            <w:tcBorders>
              <w:tl2br w:val="nil"/>
              <w:tr2bl w:val="nil"/>
            </w:tcBorders>
            <w:shd w:val="clear" w:color="auto" w:fill="auto"/>
            <w:noWrap/>
            <w:tcMar>
              <w:top w:w="15" w:type="dxa"/>
              <w:left w:w="15" w:type="dxa"/>
              <w:right w:w="15" w:type="dxa"/>
            </w:tcMar>
            <w:vAlign w:val="center"/>
          </w:tcPr>
          <w:p w14:paraId="7B6165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HR-3-200</w:t>
            </w:r>
          </w:p>
        </w:tc>
        <w:tc>
          <w:tcPr>
            <w:tcW w:w="341" w:type="pct"/>
            <w:tcBorders>
              <w:tl2br w:val="nil"/>
              <w:tr2bl w:val="nil"/>
            </w:tcBorders>
            <w:shd w:val="clear" w:color="auto" w:fill="auto"/>
            <w:noWrap/>
            <w:tcMar>
              <w:top w:w="15" w:type="dxa"/>
              <w:left w:w="15" w:type="dxa"/>
              <w:right w:w="15" w:type="dxa"/>
            </w:tcMar>
            <w:vAlign w:val="center"/>
          </w:tcPr>
          <w:p w14:paraId="52F01C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园区边界南侧下风向200m</w:t>
            </w:r>
          </w:p>
        </w:tc>
        <w:tc>
          <w:tcPr>
            <w:tcW w:w="341" w:type="pct"/>
            <w:tcBorders>
              <w:tl2br w:val="nil"/>
              <w:tr2bl w:val="nil"/>
            </w:tcBorders>
            <w:shd w:val="clear" w:color="auto" w:fill="auto"/>
            <w:noWrap/>
            <w:tcMar>
              <w:top w:w="15" w:type="dxa"/>
              <w:left w:w="15" w:type="dxa"/>
              <w:right w:w="15" w:type="dxa"/>
            </w:tcMar>
            <w:vAlign w:val="center"/>
          </w:tcPr>
          <w:p w14:paraId="16B7A5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7.63</w:t>
            </w:r>
          </w:p>
        </w:tc>
        <w:tc>
          <w:tcPr>
            <w:tcW w:w="341" w:type="pct"/>
            <w:tcBorders>
              <w:tl2br w:val="nil"/>
              <w:tr2bl w:val="nil"/>
            </w:tcBorders>
            <w:shd w:val="clear" w:color="auto" w:fill="auto"/>
            <w:noWrap/>
            <w:tcMar>
              <w:top w:w="15" w:type="dxa"/>
              <w:left w:w="15" w:type="dxa"/>
              <w:right w:w="15" w:type="dxa"/>
            </w:tcMar>
            <w:vAlign w:val="center"/>
          </w:tcPr>
          <w:p w14:paraId="2E7A1E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lang w:val="en-US"/>
              </w:rPr>
            </w:pPr>
            <w:r>
              <w:rPr>
                <w:rFonts w:hint="default" w:ascii="Times New Roman" w:hAnsi="Times New Roman" w:eastAsia="宋体" w:cs="Times New Roman"/>
                <w:b w:val="0"/>
                <w:bCs w:val="0"/>
                <w:i w:val="0"/>
                <w:color w:val="000000"/>
                <w:kern w:val="0"/>
                <w:sz w:val="21"/>
                <w:szCs w:val="21"/>
                <w:highlight w:val="none"/>
                <w:u w:val="none"/>
                <w:lang w:val="en-US" w:eastAsia="zh-CN" w:bidi="ar"/>
              </w:rPr>
              <w:t>36</w:t>
            </w:r>
            <w:r>
              <w:rPr>
                <w:rFonts w:hint="default" w:ascii="Times New Roman" w:hAnsi="Times New Roman" w:cs="Times New Roman"/>
                <w:b w:val="0"/>
                <w:bCs w:val="0"/>
                <w:i w:val="0"/>
                <w:color w:val="000000"/>
                <w:kern w:val="0"/>
                <w:sz w:val="21"/>
                <w:szCs w:val="21"/>
                <w:highlight w:val="none"/>
                <w:u w:val="none"/>
                <w:lang w:val="en-US" w:eastAsia="zh-CN" w:bidi="ar"/>
              </w:rPr>
              <w:t>.0</w:t>
            </w:r>
          </w:p>
        </w:tc>
        <w:tc>
          <w:tcPr>
            <w:tcW w:w="341" w:type="pct"/>
            <w:tcBorders>
              <w:tl2br w:val="nil"/>
              <w:tr2bl w:val="nil"/>
            </w:tcBorders>
            <w:shd w:val="clear" w:color="auto" w:fill="auto"/>
            <w:noWrap/>
            <w:tcMar>
              <w:top w:w="15" w:type="dxa"/>
              <w:left w:w="15" w:type="dxa"/>
              <w:right w:w="15" w:type="dxa"/>
            </w:tcMar>
            <w:vAlign w:val="center"/>
          </w:tcPr>
          <w:p w14:paraId="4631006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0.16</w:t>
            </w:r>
          </w:p>
        </w:tc>
        <w:tc>
          <w:tcPr>
            <w:tcW w:w="341" w:type="pct"/>
            <w:tcBorders>
              <w:tl2br w:val="nil"/>
              <w:tr2bl w:val="nil"/>
            </w:tcBorders>
            <w:shd w:val="clear" w:color="auto" w:fill="auto"/>
            <w:noWrap/>
            <w:tcMar>
              <w:top w:w="15" w:type="dxa"/>
              <w:left w:w="15" w:type="dxa"/>
              <w:right w:w="15" w:type="dxa"/>
            </w:tcMar>
            <w:vAlign w:val="center"/>
          </w:tcPr>
          <w:p w14:paraId="31AD5C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0.05</w:t>
            </w:r>
          </w:p>
        </w:tc>
        <w:tc>
          <w:tcPr>
            <w:tcW w:w="341" w:type="pct"/>
            <w:tcBorders>
              <w:tl2br w:val="nil"/>
              <w:tr2bl w:val="nil"/>
            </w:tcBorders>
            <w:shd w:val="clear" w:color="auto" w:fill="auto"/>
            <w:noWrap/>
            <w:tcMar>
              <w:top w:w="15" w:type="dxa"/>
              <w:left w:w="15" w:type="dxa"/>
              <w:right w:w="15" w:type="dxa"/>
            </w:tcMar>
            <w:vAlign w:val="center"/>
          </w:tcPr>
          <w:p w14:paraId="4709D6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28</w:t>
            </w:r>
          </w:p>
        </w:tc>
        <w:tc>
          <w:tcPr>
            <w:tcW w:w="341" w:type="pct"/>
            <w:tcBorders>
              <w:tl2br w:val="nil"/>
              <w:tr2bl w:val="nil"/>
            </w:tcBorders>
            <w:shd w:val="clear" w:color="auto" w:fill="auto"/>
            <w:noWrap/>
            <w:tcMar>
              <w:top w:w="15" w:type="dxa"/>
              <w:left w:w="15" w:type="dxa"/>
              <w:right w:w="15" w:type="dxa"/>
            </w:tcMar>
            <w:vAlign w:val="center"/>
          </w:tcPr>
          <w:p w14:paraId="74DCA4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68</w:t>
            </w:r>
          </w:p>
        </w:tc>
        <w:tc>
          <w:tcPr>
            <w:tcW w:w="341" w:type="pct"/>
            <w:tcBorders>
              <w:tl2br w:val="nil"/>
              <w:tr2bl w:val="nil"/>
            </w:tcBorders>
            <w:shd w:val="clear" w:color="auto" w:fill="auto"/>
            <w:noWrap/>
            <w:tcMar>
              <w:top w:w="15" w:type="dxa"/>
              <w:left w:w="15" w:type="dxa"/>
              <w:right w:w="15" w:type="dxa"/>
            </w:tcMar>
            <w:vAlign w:val="center"/>
          </w:tcPr>
          <w:p w14:paraId="4455CF5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132</w:t>
            </w:r>
          </w:p>
        </w:tc>
        <w:tc>
          <w:tcPr>
            <w:tcW w:w="341" w:type="pct"/>
            <w:tcBorders>
              <w:tl2br w:val="nil"/>
              <w:tr2bl w:val="nil"/>
            </w:tcBorders>
            <w:shd w:val="clear" w:color="auto" w:fill="auto"/>
            <w:noWrap/>
            <w:tcMar>
              <w:top w:w="15" w:type="dxa"/>
              <w:left w:w="15" w:type="dxa"/>
              <w:right w:w="15" w:type="dxa"/>
            </w:tcMar>
            <w:vAlign w:val="center"/>
          </w:tcPr>
          <w:p w14:paraId="7DAD2CF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77</w:t>
            </w:r>
          </w:p>
        </w:tc>
        <w:tc>
          <w:tcPr>
            <w:tcW w:w="341" w:type="pct"/>
            <w:tcBorders>
              <w:tl2br w:val="nil"/>
              <w:tr2bl w:val="nil"/>
            </w:tcBorders>
            <w:shd w:val="clear" w:color="auto" w:fill="auto"/>
            <w:noWrap/>
            <w:tcMar>
              <w:top w:w="15" w:type="dxa"/>
              <w:left w:w="15" w:type="dxa"/>
              <w:right w:w="15" w:type="dxa"/>
            </w:tcMar>
            <w:vAlign w:val="center"/>
          </w:tcPr>
          <w:p w14:paraId="665922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9.8</w:t>
            </w:r>
          </w:p>
        </w:tc>
        <w:tc>
          <w:tcPr>
            <w:tcW w:w="540" w:type="pct"/>
            <w:tcBorders>
              <w:tl2br w:val="nil"/>
              <w:tr2bl w:val="nil"/>
            </w:tcBorders>
            <w:shd w:val="clear" w:color="auto" w:fill="auto"/>
            <w:noWrap/>
            <w:tcMar>
              <w:top w:w="15" w:type="dxa"/>
              <w:left w:w="15" w:type="dxa"/>
              <w:right w:w="15" w:type="dxa"/>
            </w:tcMar>
            <w:vAlign w:val="center"/>
          </w:tcPr>
          <w:p w14:paraId="3155E7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达标</w:t>
            </w:r>
          </w:p>
        </w:tc>
      </w:tr>
      <w:tr w14:paraId="47B88E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jc w:val="center"/>
        </w:trPr>
        <w:tc>
          <w:tcPr>
            <w:tcW w:w="376" w:type="pct"/>
            <w:vMerge w:val="continue"/>
            <w:tcBorders>
              <w:tl2br w:val="nil"/>
              <w:tr2bl w:val="nil"/>
            </w:tcBorders>
            <w:shd w:val="clear" w:color="auto" w:fill="auto"/>
            <w:noWrap/>
            <w:tcMar>
              <w:top w:w="15" w:type="dxa"/>
              <w:left w:w="15" w:type="dxa"/>
              <w:right w:w="15" w:type="dxa"/>
            </w:tcMar>
            <w:vAlign w:val="center"/>
          </w:tcPr>
          <w:p w14:paraId="4447FE3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i w:val="0"/>
                <w:color w:val="000000"/>
                <w:sz w:val="21"/>
                <w:szCs w:val="21"/>
                <w:highlight w:val="none"/>
                <w:u w:val="none"/>
              </w:rPr>
            </w:pPr>
          </w:p>
        </w:tc>
        <w:tc>
          <w:tcPr>
            <w:tcW w:w="667" w:type="pct"/>
            <w:tcBorders>
              <w:tl2br w:val="nil"/>
              <w:tr2bl w:val="nil"/>
            </w:tcBorders>
            <w:shd w:val="clear" w:color="auto" w:fill="auto"/>
            <w:noWrap/>
            <w:tcMar>
              <w:top w:w="15" w:type="dxa"/>
              <w:left w:w="15" w:type="dxa"/>
              <w:right w:w="15" w:type="dxa"/>
            </w:tcMar>
            <w:vAlign w:val="center"/>
          </w:tcPr>
          <w:p w14:paraId="59452C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HR-3-75</w:t>
            </w:r>
          </w:p>
        </w:tc>
        <w:tc>
          <w:tcPr>
            <w:tcW w:w="341" w:type="pct"/>
            <w:tcBorders>
              <w:tl2br w:val="nil"/>
              <w:tr2bl w:val="nil"/>
            </w:tcBorders>
            <w:shd w:val="clear" w:color="auto" w:fill="auto"/>
            <w:noWrap/>
            <w:tcMar>
              <w:top w:w="15" w:type="dxa"/>
              <w:left w:w="15" w:type="dxa"/>
              <w:right w:w="15" w:type="dxa"/>
            </w:tcMar>
            <w:vAlign w:val="center"/>
          </w:tcPr>
          <w:p w14:paraId="0F9F2B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cs="Times New Roman"/>
                <w:sz w:val="21"/>
                <w:szCs w:val="21"/>
                <w:highlight w:val="none"/>
                <w:lang w:val="en-US" w:eastAsia="zh-CN"/>
              </w:rPr>
              <w:t>园区边界南侧下风向75m</w:t>
            </w:r>
          </w:p>
        </w:tc>
        <w:tc>
          <w:tcPr>
            <w:tcW w:w="341" w:type="pct"/>
            <w:tcBorders>
              <w:tl2br w:val="nil"/>
              <w:tr2bl w:val="nil"/>
            </w:tcBorders>
            <w:shd w:val="clear" w:color="auto" w:fill="auto"/>
            <w:noWrap/>
            <w:tcMar>
              <w:top w:w="15" w:type="dxa"/>
              <w:left w:w="15" w:type="dxa"/>
              <w:right w:w="15" w:type="dxa"/>
            </w:tcMar>
            <w:vAlign w:val="center"/>
          </w:tcPr>
          <w:p w14:paraId="57A33A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7.7</w:t>
            </w:r>
          </w:p>
        </w:tc>
        <w:tc>
          <w:tcPr>
            <w:tcW w:w="341" w:type="pct"/>
            <w:tcBorders>
              <w:tl2br w:val="nil"/>
              <w:tr2bl w:val="nil"/>
            </w:tcBorders>
            <w:shd w:val="clear" w:color="auto" w:fill="auto"/>
            <w:noWrap/>
            <w:tcMar>
              <w:top w:w="15" w:type="dxa"/>
              <w:left w:w="15" w:type="dxa"/>
              <w:right w:w="15" w:type="dxa"/>
            </w:tcMar>
            <w:vAlign w:val="center"/>
          </w:tcPr>
          <w:p w14:paraId="449530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23.5</w:t>
            </w:r>
          </w:p>
        </w:tc>
        <w:tc>
          <w:tcPr>
            <w:tcW w:w="341" w:type="pct"/>
            <w:tcBorders>
              <w:tl2br w:val="nil"/>
              <w:tr2bl w:val="nil"/>
            </w:tcBorders>
            <w:shd w:val="clear" w:color="auto" w:fill="auto"/>
            <w:noWrap/>
            <w:tcMar>
              <w:top w:w="15" w:type="dxa"/>
              <w:left w:w="15" w:type="dxa"/>
              <w:right w:w="15" w:type="dxa"/>
            </w:tcMar>
            <w:vAlign w:val="center"/>
          </w:tcPr>
          <w:p w14:paraId="7E7458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0.23</w:t>
            </w:r>
          </w:p>
        </w:tc>
        <w:tc>
          <w:tcPr>
            <w:tcW w:w="341" w:type="pct"/>
            <w:tcBorders>
              <w:tl2br w:val="nil"/>
              <w:tr2bl w:val="nil"/>
            </w:tcBorders>
            <w:shd w:val="clear" w:color="auto" w:fill="auto"/>
            <w:noWrap/>
            <w:tcMar>
              <w:top w:w="15" w:type="dxa"/>
              <w:left w:w="15" w:type="dxa"/>
              <w:right w:w="15" w:type="dxa"/>
            </w:tcMar>
            <w:vAlign w:val="center"/>
          </w:tcPr>
          <w:p w14:paraId="32DC3B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0.07</w:t>
            </w:r>
          </w:p>
        </w:tc>
        <w:tc>
          <w:tcPr>
            <w:tcW w:w="341" w:type="pct"/>
            <w:tcBorders>
              <w:tl2br w:val="nil"/>
              <w:tr2bl w:val="nil"/>
            </w:tcBorders>
            <w:shd w:val="clear" w:color="auto" w:fill="auto"/>
            <w:noWrap/>
            <w:tcMar>
              <w:top w:w="15" w:type="dxa"/>
              <w:left w:w="15" w:type="dxa"/>
              <w:right w:w="15" w:type="dxa"/>
            </w:tcMar>
            <w:vAlign w:val="center"/>
          </w:tcPr>
          <w:p w14:paraId="4EA4CB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26</w:t>
            </w:r>
          </w:p>
        </w:tc>
        <w:tc>
          <w:tcPr>
            <w:tcW w:w="341" w:type="pct"/>
            <w:tcBorders>
              <w:tl2br w:val="nil"/>
              <w:tr2bl w:val="nil"/>
            </w:tcBorders>
            <w:shd w:val="clear" w:color="auto" w:fill="auto"/>
            <w:noWrap/>
            <w:tcMar>
              <w:top w:w="15" w:type="dxa"/>
              <w:left w:w="15" w:type="dxa"/>
              <w:right w:w="15" w:type="dxa"/>
            </w:tcMar>
            <w:vAlign w:val="center"/>
          </w:tcPr>
          <w:p w14:paraId="21EAD1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26</w:t>
            </w:r>
          </w:p>
        </w:tc>
        <w:tc>
          <w:tcPr>
            <w:tcW w:w="341" w:type="pct"/>
            <w:tcBorders>
              <w:tl2br w:val="nil"/>
              <w:tr2bl w:val="nil"/>
            </w:tcBorders>
            <w:shd w:val="clear" w:color="auto" w:fill="auto"/>
            <w:noWrap/>
            <w:tcMar>
              <w:top w:w="15" w:type="dxa"/>
              <w:left w:w="15" w:type="dxa"/>
              <w:right w:w="15" w:type="dxa"/>
            </w:tcMar>
            <w:vAlign w:val="center"/>
          </w:tcPr>
          <w:p w14:paraId="773A3B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55</w:t>
            </w:r>
          </w:p>
        </w:tc>
        <w:tc>
          <w:tcPr>
            <w:tcW w:w="341" w:type="pct"/>
            <w:tcBorders>
              <w:tl2br w:val="nil"/>
              <w:tr2bl w:val="nil"/>
            </w:tcBorders>
            <w:shd w:val="clear" w:color="auto" w:fill="auto"/>
            <w:noWrap/>
            <w:tcMar>
              <w:top w:w="15" w:type="dxa"/>
              <w:left w:w="15" w:type="dxa"/>
              <w:right w:w="15" w:type="dxa"/>
            </w:tcMar>
            <w:vAlign w:val="center"/>
          </w:tcPr>
          <w:p w14:paraId="126C4B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61</w:t>
            </w:r>
          </w:p>
        </w:tc>
        <w:tc>
          <w:tcPr>
            <w:tcW w:w="341" w:type="pct"/>
            <w:tcBorders>
              <w:tl2br w:val="nil"/>
              <w:tr2bl w:val="nil"/>
            </w:tcBorders>
            <w:shd w:val="clear" w:color="auto" w:fill="auto"/>
            <w:noWrap/>
            <w:tcMar>
              <w:top w:w="15" w:type="dxa"/>
              <w:left w:w="15" w:type="dxa"/>
              <w:right w:w="15" w:type="dxa"/>
            </w:tcMar>
            <w:vAlign w:val="center"/>
          </w:tcPr>
          <w:p w14:paraId="4E434D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9.3</w:t>
            </w:r>
          </w:p>
        </w:tc>
        <w:tc>
          <w:tcPr>
            <w:tcW w:w="540" w:type="pct"/>
            <w:tcBorders>
              <w:tl2br w:val="nil"/>
              <w:tr2bl w:val="nil"/>
            </w:tcBorders>
            <w:shd w:val="clear" w:color="auto" w:fill="auto"/>
            <w:noWrap/>
            <w:tcMar>
              <w:top w:w="15" w:type="dxa"/>
              <w:left w:w="15" w:type="dxa"/>
              <w:right w:w="15" w:type="dxa"/>
            </w:tcMar>
            <w:vAlign w:val="center"/>
          </w:tcPr>
          <w:p w14:paraId="371F11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达标</w:t>
            </w:r>
          </w:p>
        </w:tc>
      </w:tr>
      <w:tr w14:paraId="13B5F9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376" w:type="pct"/>
            <w:vMerge w:val="continue"/>
            <w:tcBorders>
              <w:tl2br w:val="nil"/>
              <w:tr2bl w:val="nil"/>
            </w:tcBorders>
            <w:shd w:val="clear" w:color="auto" w:fill="auto"/>
            <w:noWrap/>
            <w:tcMar>
              <w:top w:w="15" w:type="dxa"/>
              <w:left w:w="15" w:type="dxa"/>
              <w:right w:w="15" w:type="dxa"/>
            </w:tcMar>
            <w:vAlign w:val="center"/>
          </w:tcPr>
          <w:p w14:paraId="40FBD18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i w:val="0"/>
                <w:color w:val="000000"/>
                <w:sz w:val="21"/>
                <w:szCs w:val="21"/>
                <w:highlight w:val="none"/>
                <w:u w:val="none"/>
              </w:rPr>
            </w:pPr>
          </w:p>
        </w:tc>
        <w:tc>
          <w:tcPr>
            <w:tcW w:w="1008" w:type="pct"/>
            <w:gridSpan w:val="2"/>
            <w:tcBorders>
              <w:tl2br w:val="nil"/>
              <w:tr2bl w:val="nil"/>
            </w:tcBorders>
            <w:shd w:val="clear" w:color="auto" w:fill="auto"/>
            <w:noWrap/>
            <w:tcMar>
              <w:top w:w="15" w:type="dxa"/>
              <w:left w:w="15" w:type="dxa"/>
              <w:right w:w="15" w:type="dxa"/>
            </w:tcMar>
            <w:vAlign w:val="center"/>
          </w:tcPr>
          <w:p w14:paraId="260F83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kern w:val="0"/>
                <w:sz w:val="21"/>
                <w:szCs w:val="21"/>
                <w:highlight w:val="none"/>
                <w:u w:val="none"/>
                <w:lang w:val="en-US" w:eastAsia="zh-CN" w:bidi="ar"/>
              </w:rPr>
            </w:pPr>
            <w:r>
              <w:rPr>
                <w:rFonts w:hint="default" w:ascii="Times New Roman" w:hAnsi="Times New Roman" w:cs="Times New Roman"/>
                <w:i w:val="0"/>
                <w:color w:val="000000"/>
                <w:sz w:val="21"/>
                <w:szCs w:val="21"/>
                <w:highlight w:val="none"/>
                <w:u w:val="none"/>
                <w:lang w:val="en-US" w:eastAsia="zh-CN"/>
              </w:rPr>
              <w:t>GB15618</w:t>
            </w:r>
            <w:r>
              <w:rPr>
                <w:rFonts w:hint="default" w:ascii="Times New Roman" w:hAnsi="Times New Roman" w:cs="Times New Roman"/>
                <w:i w:val="0"/>
                <w:color w:val="000000"/>
                <w:sz w:val="21"/>
                <w:szCs w:val="21"/>
                <w:highlight w:val="none"/>
                <w:u w:val="none"/>
                <w:lang w:eastAsia="zh-CN"/>
              </w:rPr>
              <w:t>其它</w:t>
            </w:r>
          </w:p>
        </w:tc>
        <w:tc>
          <w:tcPr>
            <w:tcW w:w="341" w:type="pct"/>
            <w:tcBorders>
              <w:tl2br w:val="nil"/>
              <w:tr2bl w:val="nil"/>
            </w:tcBorders>
            <w:shd w:val="clear" w:color="auto" w:fill="auto"/>
            <w:noWrap/>
            <w:tcMar>
              <w:top w:w="15" w:type="dxa"/>
              <w:left w:w="15" w:type="dxa"/>
              <w:right w:w="15" w:type="dxa"/>
            </w:tcMar>
            <w:vAlign w:val="center"/>
          </w:tcPr>
          <w:p w14:paraId="31E3787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w:t>
            </w:r>
          </w:p>
        </w:tc>
        <w:tc>
          <w:tcPr>
            <w:tcW w:w="341" w:type="pct"/>
            <w:tcBorders>
              <w:tl2br w:val="nil"/>
              <w:tr2bl w:val="nil"/>
            </w:tcBorders>
            <w:shd w:val="clear" w:color="auto" w:fill="auto"/>
            <w:noWrap/>
            <w:tcMar>
              <w:top w:w="15" w:type="dxa"/>
              <w:left w:w="15" w:type="dxa"/>
              <w:right w:w="15" w:type="dxa"/>
            </w:tcMar>
            <w:vAlign w:val="center"/>
          </w:tcPr>
          <w:p w14:paraId="2CA0D6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170</w:t>
            </w:r>
          </w:p>
        </w:tc>
        <w:tc>
          <w:tcPr>
            <w:tcW w:w="341" w:type="pct"/>
            <w:tcBorders>
              <w:tl2br w:val="nil"/>
              <w:tr2bl w:val="nil"/>
            </w:tcBorders>
            <w:shd w:val="clear" w:color="auto" w:fill="auto"/>
            <w:noWrap/>
            <w:tcMar>
              <w:top w:w="15" w:type="dxa"/>
              <w:left w:w="15" w:type="dxa"/>
              <w:right w:w="15" w:type="dxa"/>
            </w:tcMar>
            <w:vAlign w:val="center"/>
          </w:tcPr>
          <w:p w14:paraId="069738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3.4</w:t>
            </w:r>
          </w:p>
        </w:tc>
        <w:tc>
          <w:tcPr>
            <w:tcW w:w="341" w:type="pct"/>
            <w:tcBorders>
              <w:tl2br w:val="nil"/>
              <w:tr2bl w:val="nil"/>
            </w:tcBorders>
            <w:shd w:val="clear" w:color="auto" w:fill="auto"/>
            <w:noWrap/>
            <w:tcMar>
              <w:top w:w="15" w:type="dxa"/>
              <w:left w:w="15" w:type="dxa"/>
              <w:right w:w="15" w:type="dxa"/>
            </w:tcMar>
            <w:vAlign w:val="center"/>
          </w:tcPr>
          <w:p w14:paraId="0D2B9E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lang w:val="en-US"/>
              </w:rPr>
            </w:pPr>
            <w:r>
              <w:rPr>
                <w:rFonts w:hint="default" w:ascii="Times New Roman" w:hAnsi="Times New Roman" w:eastAsia="宋体" w:cs="Times New Roman"/>
                <w:b w:val="0"/>
                <w:bCs w:val="0"/>
                <w:i w:val="0"/>
                <w:color w:val="000000"/>
                <w:kern w:val="0"/>
                <w:sz w:val="21"/>
                <w:szCs w:val="21"/>
                <w:highlight w:val="none"/>
                <w:u w:val="none"/>
                <w:lang w:val="en-US" w:eastAsia="zh-CN" w:bidi="ar"/>
              </w:rPr>
              <w:t>0.6</w:t>
            </w:r>
            <w:r>
              <w:rPr>
                <w:rFonts w:hint="default" w:ascii="Times New Roman" w:hAnsi="Times New Roman" w:cs="Times New Roman"/>
                <w:b w:val="0"/>
                <w:bCs w:val="0"/>
                <w:i w:val="0"/>
                <w:color w:val="000000"/>
                <w:kern w:val="0"/>
                <w:sz w:val="21"/>
                <w:szCs w:val="21"/>
                <w:highlight w:val="none"/>
                <w:u w:val="none"/>
                <w:lang w:val="en-US" w:eastAsia="zh-CN" w:bidi="ar"/>
              </w:rPr>
              <w:t>0</w:t>
            </w:r>
          </w:p>
        </w:tc>
        <w:tc>
          <w:tcPr>
            <w:tcW w:w="341" w:type="pct"/>
            <w:tcBorders>
              <w:tl2br w:val="nil"/>
              <w:tr2bl w:val="nil"/>
            </w:tcBorders>
            <w:shd w:val="clear" w:color="auto" w:fill="auto"/>
            <w:noWrap/>
            <w:tcMar>
              <w:top w:w="15" w:type="dxa"/>
              <w:left w:w="15" w:type="dxa"/>
              <w:right w:w="15" w:type="dxa"/>
            </w:tcMar>
            <w:vAlign w:val="center"/>
          </w:tcPr>
          <w:p w14:paraId="1B2DF3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100</w:t>
            </w:r>
          </w:p>
        </w:tc>
        <w:tc>
          <w:tcPr>
            <w:tcW w:w="341" w:type="pct"/>
            <w:tcBorders>
              <w:tl2br w:val="nil"/>
              <w:tr2bl w:val="nil"/>
            </w:tcBorders>
            <w:shd w:val="clear" w:color="auto" w:fill="auto"/>
            <w:noWrap/>
            <w:tcMar>
              <w:top w:w="15" w:type="dxa"/>
              <w:left w:w="15" w:type="dxa"/>
              <w:right w:w="15" w:type="dxa"/>
            </w:tcMar>
            <w:vAlign w:val="center"/>
          </w:tcPr>
          <w:p w14:paraId="198FA2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190</w:t>
            </w:r>
          </w:p>
        </w:tc>
        <w:tc>
          <w:tcPr>
            <w:tcW w:w="341" w:type="pct"/>
            <w:tcBorders>
              <w:tl2br w:val="nil"/>
              <w:tr2bl w:val="nil"/>
            </w:tcBorders>
            <w:shd w:val="clear" w:color="auto" w:fill="auto"/>
            <w:noWrap/>
            <w:tcMar>
              <w:top w:w="15" w:type="dxa"/>
              <w:left w:w="15" w:type="dxa"/>
              <w:right w:w="15" w:type="dxa"/>
            </w:tcMar>
            <w:vAlign w:val="center"/>
          </w:tcPr>
          <w:p w14:paraId="614087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250</w:t>
            </w:r>
          </w:p>
        </w:tc>
        <w:tc>
          <w:tcPr>
            <w:tcW w:w="341" w:type="pct"/>
            <w:tcBorders>
              <w:tl2br w:val="nil"/>
              <w:tr2bl w:val="nil"/>
            </w:tcBorders>
            <w:shd w:val="clear" w:color="auto" w:fill="auto"/>
            <w:noWrap/>
            <w:tcMar>
              <w:top w:w="15" w:type="dxa"/>
              <w:left w:w="15" w:type="dxa"/>
              <w:right w:w="15" w:type="dxa"/>
            </w:tcMar>
            <w:vAlign w:val="center"/>
          </w:tcPr>
          <w:p w14:paraId="1B39C4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300</w:t>
            </w:r>
          </w:p>
        </w:tc>
        <w:tc>
          <w:tcPr>
            <w:tcW w:w="341" w:type="pct"/>
            <w:tcBorders>
              <w:tl2br w:val="nil"/>
              <w:tr2bl w:val="nil"/>
            </w:tcBorders>
            <w:shd w:val="clear" w:color="auto" w:fill="auto"/>
            <w:noWrap/>
            <w:tcMar>
              <w:top w:w="15" w:type="dxa"/>
              <w:left w:w="15" w:type="dxa"/>
              <w:right w:w="15" w:type="dxa"/>
            </w:tcMar>
            <w:vAlign w:val="center"/>
          </w:tcPr>
          <w:p w14:paraId="231D17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25</w:t>
            </w:r>
          </w:p>
        </w:tc>
        <w:tc>
          <w:tcPr>
            <w:tcW w:w="540" w:type="pct"/>
            <w:tcBorders>
              <w:tl2br w:val="nil"/>
              <w:tr2bl w:val="nil"/>
            </w:tcBorders>
            <w:shd w:val="clear" w:color="auto" w:fill="auto"/>
            <w:noWrap/>
            <w:tcMar>
              <w:top w:w="15" w:type="dxa"/>
              <w:left w:w="15" w:type="dxa"/>
              <w:right w:w="15" w:type="dxa"/>
            </w:tcMar>
            <w:vAlign w:val="center"/>
          </w:tcPr>
          <w:p w14:paraId="387357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000000"/>
                <w:sz w:val="21"/>
                <w:szCs w:val="21"/>
                <w:highlight w:val="none"/>
                <w:u w:val="none"/>
              </w:rPr>
            </w:pPr>
            <w:r>
              <w:rPr>
                <w:rFonts w:hint="default" w:ascii="Times New Roman" w:hAnsi="Times New Roman" w:eastAsia="宋体" w:cs="Times New Roman"/>
                <w:b w:val="0"/>
                <w:bCs w:val="0"/>
                <w:i w:val="0"/>
                <w:color w:val="000000"/>
                <w:kern w:val="0"/>
                <w:sz w:val="21"/>
                <w:szCs w:val="21"/>
                <w:highlight w:val="none"/>
                <w:u w:val="none"/>
                <w:lang w:val="en-US" w:eastAsia="zh-CN" w:bidi="ar"/>
              </w:rPr>
              <w:t>/</w:t>
            </w:r>
          </w:p>
        </w:tc>
      </w:tr>
    </w:tbl>
    <w:p w14:paraId="1F8F404E">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cs="Times New Roman"/>
          <w:b/>
          <w:bCs/>
          <w:color w:val="auto"/>
          <w:sz w:val="18"/>
          <w:szCs w:val="18"/>
          <w:highlight w:val="none"/>
          <w:lang w:eastAsia="zh-CN"/>
        </w:rPr>
      </w:pPr>
      <w:r>
        <w:rPr>
          <w:rFonts w:hint="default" w:ascii="Times New Roman" w:hAnsi="Times New Roman" w:cs="Times New Roman"/>
          <w:b/>
          <w:bCs/>
          <w:color w:val="auto"/>
          <w:sz w:val="18"/>
          <w:szCs w:val="18"/>
          <w:highlight w:val="none"/>
          <w:lang w:eastAsia="zh-CN"/>
        </w:rPr>
        <w:t>注：①达标情况中“达标”指该点位所有污染物指标均达到对应</w:t>
      </w:r>
      <w:r>
        <w:rPr>
          <w:rFonts w:hint="default" w:ascii="Times New Roman" w:hAnsi="Times New Roman" w:cs="Times New Roman"/>
          <w:b/>
          <w:bCs/>
          <w:color w:val="auto"/>
          <w:sz w:val="18"/>
          <w:szCs w:val="18"/>
          <w:highlight w:val="none"/>
          <w:lang w:val="en-US" w:eastAsia="zh-CN"/>
        </w:rPr>
        <w:t>pH值的</w:t>
      </w:r>
      <w:r>
        <w:rPr>
          <w:rFonts w:hint="default" w:ascii="Times New Roman" w:hAnsi="Times New Roman" w:cs="Times New Roman"/>
          <w:b/>
          <w:bCs/>
          <w:color w:val="auto"/>
          <w:sz w:val="18"/>
          <w:szCs w:val="18"/>
          <w:highlight w:val="none"/>
          <w:lang w:eastAsia="zh-CN"/>
        </w:rPr>
        <w:t>农用地标准</w:t>
      </w:r>
    </w:p>
    <w:p w14:paraId="71846E4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w:hAnsi="Times New Roman" w:cs="Times New Roman"/>
          <w:highlight w:val="none"/>
          <w:lang w:eastAsia="zh-CN"/>
        </w:rPr>
        <w:sectPr>
          <w:pgSz w:w="16781" w:h="11849" w:orient="landscape"/>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0" w:charSpace="0"/>
        </w:sectPr>
      </w:pPr>
    </w:p>
    <w:p w14:paraId="5FB2EBD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w:hAnsi="Times New Roman" w:cs="Times New Roman"/>
          <w:highlight w:val="none"/>
          <w:lang w:eastAsia="zh-CN"/>
        </w:rPr>
      </w:pPr>
      <w:r>
        <w:rPr>
          <w:rFonts w:hint="default" w:ascii="Times New Roman" w:hAnsi="Times New Roman" w:cs="Times New Roman"/>
          <w:highlight w:val="none"/>
          <w:lang w:eastAsia="zh-CN"/>
        </w:rPr>
        <w:t>各点位重金属监测浓度散点分布图如下：</w:t>
      </w:r>
    </w:p>
    <w:tbl>
      <w:tblPr>
        <w:tblStyle w:val="22"/>
        <w:tblW w:w="88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26"/>
      </w:tblGrid>
      <w:tr w14:paraId="5B087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5B3844F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highlight w:val="none"/>
              </w:rPr>
            </w:pPr>
            <w:r>
              <w:rPr>
                <w:rFonts w:hint="default"/>
                <w:highlight w:val="none"/>
              </w:rPr>
              <w:drawing>
                <wp:inline distT="0" distB="0" distL="114300" distR="114300">
                  <wp:extent cx="5400040" cy="3599815"/>
                  <wp:effectExtent l="9525" t="0" r="15875" b="63500"/>
                  <wp:docPr id="2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F9651A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highlight w:val="none"/>
                <w:lang w:val="en-US" w:eastAsia="zh-CN"/>
              </w:rPr>
            </w:pPr>
            <w:r>
              <w:rPr>
                <w:rFonts w:hint="default" w:ascii="Times New Roman" w:hAnsi="Times New Roman" w:eastAsia="宋体" w:cs="Times New Roman"/>
                <w:b/>
                <w:bCs/>
                <w:highlight w:val="none"/>
                <w:lang w:eastAsia="zh-CN"/>
              </w:rPr>
              <w:t>图</w:t>
            </w:r>
            <w:r>
              <w:rPr>
                <w:rFonts w:hint="default" w:ascii="Times New Roman" w:hAnsi="Times New Roman" w:eastAsia="宋体" w:cs="Times New Roman"/>
                <w:b/>
                <w:bCs/>
                <w:highlight w:val="none"/>
                <w:lang w:val="en-US" w:eastAsia="zh-CN"/>
              </w:rPr>
              <w:t>5-</w:t>
            </w:r>
            <w:r>
              <w:rPr>
                <w:rFonts w:hint="default" w:ascii="Times New Roman" w:hAnsi="Times New Roman" w:cs="Times New Roman"/>
                <w:b/>
                <w:bCs/>
                <w:highlight w:val="none"/>
                <w:lang w:val="en-US" w:eastAsia="zh-CN"/>
              </w:rPr>
              <w:t>3-3</w:t>
            </w:r>
            <w:r>
              <w:rPr>
                <w:rFonts w:hint="default" w:ascii="Times New Roman" w:hAnsi="Times New Roman" w:eastAsia="宋体" w:cs="Times New Roman"/>
                <w:b/>
                <w:bCs/>
                <w:highlight w:val="none"/>
                <w:lang w:val="en-US" w:eastAsia="zh-CN"/>
              </w:rPr>
              <w:t>钴指标</w:t>
            </w:r>
            <w:r>
              <w:rPr>
                <w:rFonts w:hint="eastAsia" w:cs="Times New Roman"/>
                <w:b/>
                <w:bCs/>
                <w:highlight w:val="none"/>
                <w:lang w:val="en-US" w:eastAsia="zh-CN"/>
              </w:rPr>
              <w:t>监测浓度</w:t>
            </w:r>
            <w:r>
              <w:rPr>
                <w:rFonts w:hint="default" w:ascii="Times New Roman" w:hAnsi="Times New Roman" w:eastAsia="宋体" w:cs="Times New Roman"/>
                <w:b/>
                <w:bCs/>
                <w:highlight w:val="none"/>
                <w:lang w:val="en-US" w:eastAsia="zh-CN"/>
              </w:rPr>
              <w:t>分布情况图</w:t>
            </w:r>
          </w:p>
        </w:tc>
      </w:tr>
      <w:tr w14:paraId="624C6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53" w:hRule="atLeast"/>
          <w:jc w:val="center"/>
        </w:trPr>
        <w:tc>
          <w:tcPr>
            <w:tcW w:w="8826" w:type="dxa"/>
            <w:tcBorders>
              <w:tl2br w:val="nil"/>
              <w:tr2bl w:val="nil"/>
            </w:tcBorders>
            <w:vAlign w:val="center"/>
          </w:tcPr>
          <w:p w14:paraId="0915001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highlight w:val="none"/>
              </w:rPr>
            </w:pPr>
            <w:r>
              <w:rPr>
                <w:rFonts w:hint="default"/>
                <w:highlight w:val="none"/>
              </w:rPr>
              <w:drawing>
                <wp:inline distT="0" distB="0" distL="114300" distR="114300">
                  <wp:extent cx="5400040" cy="3599815"/>
                  <wp:effectExtent l="9525" t="0" r="15875" b="63500"/>
                  <wp:docPr id="2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3DF353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b/>
                <w:bCs/>
                <w:highlight w:val="none"/>
                <w:lang w:eastAsia="zh-CN"/>
              </w:rPr>
              <w:t>图</w:t>
            </w:r>
            <w:r>
              <w:rPr>
                <w:rFonts w:hint="default" w:ascii="Times New Roman" w:hAnsi="Times New Roman" w:eastAsia="宋体" w:cs="Times New Roman"/>
                <w:b/>
                <w:bCs/>
                <w:highlight w:val="none"/>
                <w:lang w:val="en-US" w:eastAsia="zh-CN"/>
              </w:rPr>
              <w:t>5-3-4汞指标</w:t>
            </w:r>
            <w:r>
              <w:rPr>
                <w:rFonts w:hint="eastAsia" w:cs="Times New Roman"/>
                <w:b/>
                <w:bCs/>
                <w:highlight w:val="none"/>
                <w:lang w:val="en-US" w:eastAsia="zh-CN"/>
              </w:rPr>
              <w:t>监测浓度</w:t>
            </w:r>
            <w:r>
              <w:rPr>
                <w:rFonts w:hint="default" w:ascii="Times New Roman" w:hAnsi="Times New Roman" w:eastAsia="宋体" w:cs="Times New Roman"/>
                <w:b/>
                <w:bCs/>
                <w:highlight w:val="none"/>
                <w:lang w:val="en-US" w:eastAsia="zh-CN"/>
              </w:rPr>
              <w:t>分布图</w:t>
            </w:r>
          </w:p>
        </w:tc>
      </w:tr>
      <w:tr w14:paraId="51216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495B8A2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highlight w:val="none"/>
              </w:rPr>
            </w:pPr>
            <w:r>
              <w:rPr>
                <w:rFonts w:hint="default"/>
                <w:highlight w:val="none"/>
              </w:rPr>
              <w:drawing>
                <wp:inline distT="0" distB="0" distL="114300" distR="114300">
                  <wp:extent cx="5400040" cy="3599815"/>
                  <wp:effectExtent l="9525" t="0" r="15875" b="63500"/>
                  <wp:docPr id="25"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04E538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b/>
                <w:bCs/>
                <w:highlight w:val="none"/>
                <w:lang w:eastAsia="zh-CN"/>
              </w:rPr>
              <w:t>图</w:t>
            </w:r>
            <w:r>
              <w:rPr>
                <w:rFonts w:hint="default" w:ascii="Times New Roman" w:hAnsi="Times New Roman" w:eastAsia="宋体" w:cs="Times New Roman"/>
                <w:b/>
                <w:bCs/>
                <w:highlight w:val="none"/>
                <w:lang w:val="en-US" w:eastAsia="zh-CN"/>
              </w:rPr>
              <w:t>5-</w:t>
            </w:r>
            <w:r>
              <w:rPr>
                <w:rFonts w:hint="default" w:ascii="Times New Roman" w:hAnsi="Times New Roman" w:cs="Times New Roman"/>
                <w:b/>
                <w:bCs/>
                <w:highlight w:val="none"/>
                <w:lang w:val="en-US" w:eastAsia="zh-CN"/>
              </w:rPr>
              <w:t>3-5</w:t>
            </w:r>
            <w:r>
              <w:rPr>
                <w:rFonts w:hint="default" w:ascii="Times New Roman" w:hAnsi="Times New Roman" w:eastAsia="宋体" w:cs="Times New Roman"/>
                <w:b/>
                <w:bCs/>
                <w:highlight w:val="none"/>
                <w:lang w:val="en-US" w:eastAsia="zh-CN"/>
              </w:rPr>
              <w:t xml:space="preserve"> 铅指标</w:t>
            </w:r>
            <w:r>
              <w:rPr>
                <w:rFonts w:hint="eastAsia" w:cs="Times New Roman"/>
                <w:b/>
                <w:bCs/>
                <w:highlight w:val="none"/>
                <w:lang w:val="en-US" w:eastAsia="zh-CN"/>
              </w:rPr>
              <w:t>监测浓度</w:t>
            </w:r>
            <w:r>
              <w:rPr>
                <w:rFonts w:hint="default" w:ascii="Times New Roman" w:hAnsi="Times New Roman" w:eastAsia="宋体" w:cs="Times New Roman"/>
                <w:b/>
                <w:bCs/>
                <w:highlight w:val="none"/>
                <w:lang w:val="en-US" w:eastAsia="zh-CN"/>
              </w:rPr>
              <w:t>分布图</w:t>
            </w:r>
          </w:p>
        </w:tc>
      </w:tr>
      <w:tr w14:paraId="074DB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424AE62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highlight w:val="none"/>
              </w:rPr>
            </w:pPr>
            <w:r>
              <w:rPr>
                <w:rFonts w:hint="default"/>
                <w:highlight w:val="none"/>
              </w:rPr>
              <w:drawing>
                <wp:inline distT="0" distB="0" distL="114300" distR="114300">
                  <wp:extent cx="5400040" cy="3599815"/>
                  <wp:effectExtent l="9525" t="0" r="15875" b="63500"/>
                  <wp:docPr id="21"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6FF368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b/>
                <w:bCs/>
                <w:highlight w:val="none"/>
                <w:lang w:eastAsia="zh-CN"/>
              </w:rPr>
              <w:t>图</w:t>
            </w:r>
            <w:r>
              <w:rPr>
                <w:rFonts w:hint="default" w:ascii="Times New Roman" w:hAnsi="Times New Roman" w:eastAsia="宋体" w:cs="Times New Roman"/>
                <w:b/>
                <w:bCs/>
                <w:highlight w:val="none"/>
                <w:lang w:val="en-US" w:eastAsia="zh-CN"/>
              </w:rPr>
              <w:t>5-</w:t>
            </w:r>
            <w:r>
              <w:rPr>
                <w:rFonts w:hint="default" w:ascii="Times New Roman" w:hAnsi="Times New Roman" w:cs="Times New Roman"/>
                <w:b/>
                <w:bCs/>
                <w:highlight w:val="none"/>
                <w:lang w:val="en-US" w:eastAsia="zh-CN"/>
              </w:rPr>
              <w:t>3-6</w:t>
            </w:r>
            <w:r>
              <w:rPr>
                <w:rFonts w:hint="default" w:ascii="Times New Roman" w:hAnsi="Times New Roman" w:eastAsia="宋体" w:cs="Times New Roman"/>
                <w:b/>
                <w:bCs/>
                <w:highlight w:val="none"/>
                <w:lang w:val="en-US" w:eastAsia="zh-CN"/>
              </w:rPr>
              <w:t xml:space="preserve"> 镉指标</w:t>
            </w:r>
            <w:r>
              <w:rPr>
                <w:rFonts w:hint="eastAsia" w:cs="Times New Roman"/>
                <w:b/>
                <w:bCs/>
                <w:highlight w:val="none"/>
                <w:lang w:val="en-US" w:eastAsia="zh-CN"/>
              </w:rPr>
              <w:t>监测浓度</w:t>
            </w:r>
            <w:r>
              <w:rPr>
                <w:rFonts w:hint="default" w:ascii="Times New Roman" w:hAnsi="Times New Roman" w:eastAsia="宋体" w:cs="Times New Roman"/>
                <w:b/>
                <w:bCs/>
                <w:highlight w:val="none"/>
                <w:lang w:val="en-US" w:eastAsia="zh-CN"/>
              </w:rPr>
              <w:t>分布图</w:t>
            </w:r>
          </w:p>
        </w:tc>
      </w:tr>
      <w:tr w14:paraId="266E2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4BF7342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highlight w:val="none"/>
              </w:rPr>
            </w:pPr>
            <w:r>
              <w:rPr>
                <w:rFonts w:hint="default"/>
                <w:highlight w:val="none"/>
              </w:rPr>
              <w:drawing>
                <wp:inline distT="0" distB="0" distL="114300" distR="114300">
                  <wp:extent cx="5400040" cy="3599815"/>
                  <wp:effectExtent l="9525" t="0" r="15875" b="63500"/>
                  <wp:docPr id="19"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455AC9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b/>
                <w:bCs/>
                <w:highlight w:val="none"/>
                <w:lang w:eastAsia="zh-CN"/>
              </w:rPr>
              <w:t>图</w:t>
            </w:r>
            <w:r>
              <w:rPr>
                <w:rFonts w:hint="default" w:ascii="Times New Roman" w:hAnsi="Times New Roman" w:eastAsia="宋体" w:cs="Times New Roman"/>
                <w:b/>
                <w:bCs/>
                <w:highlight w:val="none"/>
                <w:lang w:val="en-US" w:eastAsia="zh-CN"/>
              </w:rPr>
              <w:t>5-</w:t>
            </w:r>
            <w:r>
              <w:rPr>
                <w:rFonts w:hint="default" w:ascii="Times New Roman" w:hAnsi="Times New Roman" w:cs="Times New Roman"/>
                <w:b/>
                <w:bCs/>
                <w:highlight w:val="none"/>
                <w:lang w:val="en-US" w:eastAsia="zh-CN"/>
              </w:rPr>
              <w:t>3-7</w:t>
            </w:r>
            <w:r>
              <w:rPr>
                <w:rFonts w:hint="default" w:ascii="Times New Roman" w:hAnsi="Times New Roman" w:eastAsia="宋体" w:cs="Times New Roman"/>
                <w:b/>
                <w:bCs/>
                <w:highlight w:val="none"/>
                <w:lang w:val="en-US" w:eastAsia="zh-CN"/>
              </w:rPr>
              <w:t xml:space="preserve"> 镍指标</w:t>
            </w:r>
            <w:r>
              <w:rPr>
                <w:rFonts w:hint="eastAsia" w:cs="Times New Roman"/>
                <w:b/>
                <w:bCs/>
                <w:highlight w:val="none"/>
                <w:lang w:val="en-US" w:eastAsia="zh-CN"/>
              </w:rPr>
              <w:t>监测浓度</w:t>
            </w:r>
            <w:r>
              <w:rPr>
                <w:rFonts w:hint="default" w:ascii="Times New Roman" w:hAnsi="Times New Roman" w:eastAsia="宋体" w:cs="Times New Roman"/>
                <w:b/>
                <w:bCs/>
                <w:highlight w:val="none"/>
                <w:lang w:val="en-US" w:eastAsia="zh-CN"/>
              </w:rPr>
              <w:t>分布图</w:t>
            </w:r>
          </w:p>
        </w:tc>
      </w:tr>
      <w:tr w14:paraId="0C8F5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39DDA80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highlight w:val="none"/>
              </w:rPr>
            </w:pPr>
            <w:r>
              <w:rPr>
                <w:rFonts w:hint="default"/>
                <w:highlight w:val="none"/>
              </w:rPr>
              <w:drawing>
                <wp:inline distT="0" distB="0" distL="114300" distR="114300">
                  <wp:extent cx="5400040" cy="3599815"/>
                  <wp:effectExtent l="9525" t="0" r="15875" b="63500"/>
                  <wp:docPr id="1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0A9BE0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b/>
                <w:bCs/>
                <w:highlight w:val="none"/>
                <w:lang w:eastAsia="zh-CN"/>
              </w:rPr>
              <w:t>图</w:t>
            </w:r>
            <w:r>
              <w:rPr>
                <w:rFonts w:hint="default" w:ascii="Times New Roman" w:hAnsi="Times New Roman" w:eastAsia="宋体" w:cs="Times New Roman"/>
                <w:b/>
                <w:bCs/>
                <w:highlight w:val="none"/>
                <w:lang w:val="en-US" w:eastAsia="zh-CN"/>
              </w:rPr>
              <w:t>5-</w:t>
            </w:r>
            <w:r>
              <w:rPr>
                <w:rFonts w:hint="default" w:ascii="Times New Roman" w:hAnsi="Times New Roman" w:cs="Times New Roman"/>
                <w:b/>
                <w:bCs/>
                <w:highlight w:val="none"/>
                <w:lang w:val="en-US" w:eastAsia="zh-CN"/>
              </w:rPr>
              <w:t>3-8</w:t>
            </w:r>
            <w:r>
              <w:rPr>
                <w:rFonts w:hint="default" w:ascii="Times New Roman" w:hAnsi="Times New Roman" w:eastAsia="宋体" w:cs="Times New Roman"/>
                <w:b/>
                <w:bCs/>
                <w:highlight w:val="none"/>
                <w:lang w:val="en-US" w:eastAsia="zh-CN"/>
              </w:rPr>
              <w:t xml:space="preserve"> 铬指标</w:t>
            </w:r>
            <w:r>
              <w:rPr>
                <w:rFonts w:hint="eastAsia" w:cs="Times New Roman"/>
                <w:b/>
                <w:bCs/>
                <w:highlight w:val="none"/>
                <w:lang w:val="en-US" w:eastAsia="zh-CN"/>
              </w:rPr>
              <w:t>监测浓度</w:t>
            </w:r>
            <w:r>
              <w:rPr>
                <w:rFonts w:hint="default" w:ascii="Times New Roman" w:hAnsi="Times New Roman" w:eastAsia="宋体" w:cs="Times New Roman"/>
                <w:b/>
                <w:bCs/>
                <w:highlight w:val="none"/>
                <w:lang w:val="en-US" w:eastAsia="zh-CN"/>
              </w:rPr>
              <w:t>分布图</w:t>
            </w:r>
          </w:p>
        </w:tc>
      </w:tr>
      <w:tr w14:paraId="16CBF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64D0CAF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highlight w:val="none"/>
              </w:rPr>
            </w:pPr>
            <w:r>
              <w:rPr>
                <w:rFonts w:hint="default"/>
                <w:highlight w:val="none"/>
              </w:rPr>
              <w:drawing>
                <wp:inline distT="0" distB="0" distL="114300" distR="114300">
                  <wp:extent cx="5400040" cy="3599815"/>
                  <wp:effectExtent l="9525" t="0" r="15875" b="63500"/>
                  <wp:docPr id="20"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381E6E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b/>
                <w:bCs/>
                <w:highlight w:val="none"/>
                <w:lang w:eastAsia="zh-CN"/>
              </w:rPr>
              <w:t>图</w:t>
            </w:r>
            <w:r>
              <w:rPr>
                <w:rFonts w:hint="default" w:ascii="Times New Roman" w:hAnsi="Times New Roman" w:eastAsia="宋体" w:cs="Times New Roman"/>
                <w:b/>
                <w:bCs/>
                <w:highlight w:val="none"/>
                <w:lang w:val="en-US" w:eastAsia="zh-CN"/>
              </w:rPr>
              <w:t>5-</w:t>
            </w:r>
            <w:r>
              <w:rPr>
                <w:rFonts w:hint="default" w:ascii="Times New Roman" w:hAnsi="Times New Roman" w:cs="Times New Roman"/>
                <w:b/>
                <w:bCs/>
                <w:highlight w:val="none"/>
                <w:lang w:val="en-US" w:eastAsia="zh-CN"/>
              </w:rPr>
              <w:t>3-9</w:t>
            </w:r>
            <w:r>
              <w:rPr>
                <w:rFonts w:hint="default" w:ascii="Times New Roman" w:hAnsi="Times New Roman" w:eastAsia="宋体" w:cs="Times New Roman"/>
                <w:b/>
                <w:bCs/>
                <w:highlight w:val="none"/>
                <w:lang w:val="en-US" w:eastAsia="zh-CN"/>
              </w:rPr>
              <w:t>铜指标</w:t>
            </w:r>
            <w:r>
              <w:rPr>
                <w:rFonts w:hint="eastAsia" w:cs="Times New Roman"/>
                <w:b/>
                <w:bCs/>
                <w:highlight w:val="none"/>
                <w:lang w:val="en-US" w:eastAsia="zh-CN"/>
              </w:rPr>
              <w:t>监测浓度</w:t>
            </w:r>
            <w:r>
              <w:rPr>
                <w:rFonts w:hint="default" w:ascii="Times New Roman" w:hAnsi="Times New Roman" w:eastAsia="宋体" w:cs="Times New Roman"/>
                <w:b/>
                <w:bCs/>
                <w:highlight w:val="none"/>
                <w:lang w:val="en-US" w:eastAsia="zh-CN"/>
              </w:rPr>
              <w:t>分布图</w:t>
            </w:r>
          </w:p>
        </w:tc>
      </w:tr>
      <w:tr w14:paraId="5D6E3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2B2605C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highlight w:val="none"/>
              </w:rPr>
            </w:pPr>
            <w:r>
              <w:rPr>
                <w:rFonts w:hint="default"/>
                <w:highlight w:val="none"/>
              </w:rPr>
              <w:drawing>
                <wp:inline distT="0" distB="0" distL="114300" distR="114300">
                  <wp:extent cx="5400040" cy="3599815"/>
                  <wp:effectExtent l="9525" t="0" r="15875" b="63500"/>
                  <wp:docPr id="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FA89F8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eastAsia="宋体" w:cs="Times New Roman"/>
                <w:highlight w:val="none"/>
              </w:rPr>
            </w:pPr>
            <w:r>
              <w:rPr>
                <w:rFonts w:hint="default" w:ascii="Times New Roman" w:hAnsi="Times New Roman" w:cs="Times New Roman"/>
                <w:b/>
                <w:bCs/>
                <w:sz w:val="18"/>
                <w:szCs w:val="18"/>
                <w:highlight w:val="none"/>
                <w:lang w:eastAsia="zh-CN"/>
              </w:rPr>
              <w:t>②指标“锌”为农用地特有的污染物项目指标，故图中只展现参考</w:t>
            </w:r>
            <w:r>
              <w:rPr>
                <w:rFonts w:hint="default" w:ascii="Times New Roman" w:hAnsi="Times New Roman" w:cs="Times New Roman"/>
                <w:b/>
                <w:bCs/>
                <w:sz w:val="18"/>
                <w:szCs w:val="18"/>
                <w:highlight w:val="none"/>
                <w:lang w:val="en-US" w:eastAsia="zh-CN"/>
              </w:rPr>
              <w:t>G15618的点位的检测值分布情况。</w:t>
            </w:r>
          </w:p>
          <w:p w14:paraId="606E2CD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b/>
                <w:bCs/>
                <w:highlight w:val="none"/>
                <w:lang w:eastAsia="zh-CN"/>
              </w:rPr>
              <w:t>图</w:t>
            </w:r>
            <w:r>
              <w:rPr>
                <w:rFonts w:hint="default" w:ascii="Times New Roman" w:hAnsi="Times New Roman" w:eastAsia="宋体" w:cs="Times New Roman"/>
                <w:b/>
                <w:bCs/>
                <w:highlight w:val="none"/>
                <w:lang w:val="en-US" w:eastAsia="zh-CN"/>
              </w:rPr>
              <w:t>5-</w:t>
            </w:r>
            <w:r>
              <w:rPr>
                <w:rFonts w:hint="default" w:ascii="Times New Roman" w:hAnsi="Times New Roman" w:cs="Times New Roman"/>
                <w:b/>
                <w:bCs/>
                <w:highlight w:val="none"/>
                <w:lang w:val="en-US" w:eastAsia="zh-CN"/>
              </w:rPr>
              <w:t>3-10</w:t>
            </w:r>
            <w:r>
              <w:rPr>
                <w:rFonts w:hint="default" w:ascii="Times New Roman" w:hAnsi="Times New Roman" w:eastAsia="宋体" w:cs="Times New Roman"/>
                <w:b/>
                <w:bCs/>
                <w:highlight w:val="none"/>
                <w:lang w:val="en-US" w:eastAsia="zh-CN"/>
              </w:rPr>
              <w:t xml:space="preserve"> 锌指标</w:t>
            </w:r>
            <w:r>
              <w:rPr>
                <w:rFonts w:hint="eastAsia" w:cs="Times New Roman"/>
                <w:b/>
                <w:bCs/>
                <w:highlight w:val="none"/>
                <w:lang w:val="en-US" w:eastAsia="zh-CN"/>
              </w:rPr>
              <w:t>监测浓度</w:t>
            </w:r>
            <w:r>
              <w:rPr>
                <w:rFonts w:hint="default" w:ascii="Times New Roman" w:hAnsi="Times New Roman" w:eastAsia="宋体" w:cs="Times New Roman"/>
                <w:b/>
                <w:bCs/>
                <w:highlight w:val="none"/>
                <w:lang w:val="en-US" w:eastAsia="zh-CN"/>
              </w:rPr>
              <w:t>分布图</w:t>
            </w:r>
          </w:p>
        </w:tc>
      </w:tr>
      <w:tr w14:paraId="093A5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26" w:type="dxa"/>
            <w:tcBorders>
              <w:tl2br w:val="nil"/>
              <w:tr2bl w:val="nil"/>
            </w:tcBorders>
            <w:vAlign w:val="center"/>
          </w:tcPr>
          <w:p w14:paraId="5B893C2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highlight w:val="none"/>
              </w:rPr>
            </w:pPr>
            <w:r>
              <w:rPr>
                <w:rFonts w:hint="default"/>
                <w:highlight w:val="none"/>
              </w:rPr>
              <w:drawing>
                <wp:inline distT="0" distB="0" distL="114300" distR="114300">
                  <wp:extent cx="5400040" cy="3599815"/>
                  <wp:effectExtent l="9525" t="9525" r="19685" b="48260"/>
                  <wp:docPr id="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0E7BA8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highlight w:val="none"/>
                <w:lang w:eastAsia="zh-CN"/>
              </w:rPr>
            </w:pPr>
            <w:r>
              <w:rPr>
                <w:rFonts w:hint="default" w:ascii="Times New Roman" w:hAnsi="Times New Roman" w:eastAsia="宋体" w:cs="Times New Roman"/>
                <w:b/>
                <w:bCs/>
                <w:highlight w:val="none"/>
                <w:lang w:eastAsia="zh-CN"/>
              </w:rPr>
              <w:t>图</w:t>
            </w:r>
            <w:r>
              <w:rPr>
                <w:rFonts w:hint="default" w:ascii="Times New Roman" w:hAnsi="Times New Roman" w:eastAsia="宋体" w:cs="Times New Roman"/>
                <w:b/>
                <w:bCs/>
                <w:highlight w:val="none"/>
                <w:lang w:val="en-US" w:eastAsia="zh-CN"/>
              </w:rPr>
              <w:t>5-</w:t>
            </w:r>
            <w:r>
              <w:rPr>
                <w:rFonts w:hint="default" w:ascii="Times New Roman" w:hAnsi="Times New Roman" w:cs="Times New Roman"/>
                <w:b/>
                <w:bCs/>
                <w:highlight w:val="none"/>
                <w:lang w:val="en-US" w:eastAsia="zh-CN"/>
              </w:rPr>
              <w:t>3-11</w:t>
            </w:r>
            <w:r>
              <w:rPr>
                <w:rFonts w:hint="default" w:ascii="Times New Roman" w:hAnsi="Times New Roman" w:eastAsia="宋体" w:cs="Times New Roman"/>
                <w:b/>
                <w:bCs/>
                <w:highlight w:val="none"/>
                <w:lang w:val="en-US" w:eastAsia="zh-CN"/>
              </w:rPr>
              <w:t>砷指标</w:t>
            </w:r>
            <w:r>
              <w:rPr>
                <w:rFonts w:hint="eastAsia" w:cs="Times New Roman"/>
                <w:b/>
                <w:bCs/>
                <w:highlight w:val="none"/>
                <w:lang w:val="en-US" w:eastAsia="zh-CN"/>
              </w:rPr>
              <w:t>监测浓度</w:t>
            </w:r>
            <w:r>
              <w:rPr>
                <w:rFonts w:hint="default" w:ascii="Times New Roman" w:hAnsi="Times New Roman" w:eastAsia="宋体" w:cs="Times New Roman"/>
                <w:b/>
                <w:bCs/>
                <w:highlight w:val="none"/>
                <w:lang w:val="en-US" w:eastAsia="zh-CN"/>
              </w:rPr>
              <w:t>分布图</w:t>
            </w:r>
          </w:p>
        </w:tc>
      </w:tr>
    </w:tbl>
    <w:p w14:paraId="7C7AC31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cs="Times New Roman"/>
          <w:highlight w:val="none"/>
          <w:lang w:eastAsia="zh-CN"/>
        </w:rPr>
        <w:t>由各点位重金属监测浓度散点分布图可知，</w:t>
      </w:r>
      <w:r>
        <w:rPr>
          <w:rFonts w:hint="default" w:ascii="Times New Roman" w:hAnsi="Times New Roman" w:cs="Times New Roman"/>
          <w:sz w:val="24"/>
          <w:szCs w:val="24"/>
          <w:highlight w:val="none"/>
          <w:lang w:eastAsia="zh-CN"/>
        </w:rPr>
        <w:t>园区内上风向点位和下风向点位</w:t>
      </w:r>
      <w:r>
        <w:rPr>
          <w:rFonts w:hint="default" w:ascii="Times New Roman" w:hAnsi="Times New Roman" w:cs="Times New Roman"/>
          <w:sz w:val="24"/>
          <w:szCs w:val="24"/>
          <w:highlight w:val="none"/>
        </w:rPr>
        <w:t>各测试项目检测值</w:t>
      </w:r>
      <w:r>
        <w:rPr>
          <w:rFonts w:hint="default" w:ascii="Times New Roman" w:hAnsi="Times New Roman" w:cs="Times New Roman"/>
          <w:sz w:val="24"/>
          <w:szCs w:val="24"/>
          <w:highlight w:val="none"/>
          <w:lang w:eastAsia="zh-CN"/>
        </w:rPr>
        <w:t>中，下列点位的对应污染物项目指标值高于该指标平均值：</w:t>
      </w:r>
      <w:r>
        <w:rPr>
          <w:rFonts w:hint="default" w:ascii="Times New Roman" w:hAnsi="Times New Roman" w:cs="Times New Roman"/>
          <w:highlight w:val="none"/>
          <w:lang w:val="en-US" w:eastAsia="zh-CN"/>
        </w:rPr>
        <w:t>①HR-4-400：汞、镍、锌；②HR-3-200：铬、镍、铅；③HR-3-75：汞；④HR-2-400：镉；⑤HR-2-75：铜。</w:t>
      </w:r>
      <w:r>
        <w:rPr>
          <w:rFonts w:hint="default" w:ascii="Times New Roman" w:hAnsi="Times New Roman" w:eastAsia="宋体" w:cs="Times New Roman"/>
          <w:kern w:val="2"/>
          <w:sz w:val="24"/>
          <w:szCs w:val="24"/>
          <w:highlight w:val="none"/>
          <w:lang w:val="en-US" w:eastAsia="zh-CN" w:bidi="ar-SA"/>
        </w:rPr>
        <w:t>上述点位均位于园区的下风向，根据表5-3-3，除</w:t>
      </w:r>
      <w:r>
        <w:rPr>
          <w:rFonts w:hint="default" w:ascii="Times New Roman" w:hAnsi="Times New Roman" w:cs="Times New Roman"/>
          <w:kern w:val="2"/>
          <w:sz w:val="24"/>
          <w:szCs w:val="24"/>
          <w:highlight w:val="none"/>
          <w:lang w:val="en-US" w:eastAsia="zh-CN" w:bidi="ar-SA"/>
        </w:rPr>
        <w:t>①</w:t>
      </w:r>
      <w:r>
        <w:rPr>
          <w:rFonts w:hint="default" w:ascii="Times New Roman" w:hAnsi="Times New Roman" w:eastAsia="宋体" w:cs="Times New Roman"/>
          <w:kern w:val="2"/>
          <w:sz w:val="24"/>
          <w:szCs w:val="24"/>
          <w:highlight w:val="none"/>
          <w:lang w:val="en-US" w:eastAsia="zh-CN" w:bidi="ar-SA"/>
        </w:rPr>
        <w:t>HR-4-400</w:t>
      </w:r>
      <w:r>
        <w:rPr>
          <w:rFonts w:hint="default" w:ascii="Times New Roman" w:hAnsi="Times New Roman" w:cs="Times New Roman"/>
          <w:highlight w:val="none"/>
          <w:lang w:val="en-US" w:eastAsia="zh-CN"/>
        </w:rPr>
        <w:t>：汞、镍、</w:t>
      </w:r>
      <w:r>
        <w:rPr>
          <w:rFonts w:hint="eastAsia" w:cs="Times New Roman"/>
          <w:highlight w:val="none"/>
          <w:lang w:val="en-US" w:eastAsia="zh-CN"/>
        </w:rPr>
        <w:t>铬</w:t>
      </w:r>
      <w:r>
        <w:rPr>
          <w:rFonts w:hint="default" w:ascii="Times New Roman" w:hAnsi="Times New Roman" w:cs="Times New Roman"/>
          <w:highlight w:val="none"/>
          <w:lang w:val="en-US" w:eastAsia="zh-CN"/>
        </w:rPr>
        <w:t>；②HR-3-200：镍；③HR-3-75：汞</w:t>
      </w:r>
      <w:r>
        <w:rPr>
          <w:rFonts w:hint="default" w:ascii="Times New Roman" w:hAnsi="Times New Roman" w:eastAsia="宋体" w:cs="Times New Roman"/>
          <w:kern w:val="2"/>
          <w:sz w:val="24"/>
          <w:szCs w:val="24"/>
          <w:highlight w:val="none"/>
          <w:lang w:val="en-US" w:eastAsia="zh-CN" w:bidi="ar-SA"/>
        </w:rPr>
        <w:t>高于调查区域背景值外，其余高于平均值较多的点位的污染项目指标均低于调查区域背景值。其余点位各项污染项目监测值差别较小。</w:t>
      </w:r>
    </w:p>
    <w:p w14:paraId="524151E6">
      <w:pPr>
        <w:numPr>
          <w:ilvl w:val="0"/>
          <w:numId w:val="0"/>
        </w:numPr>
        <w:spacing w:line="360" w:lineRule="auto"/>
        <w:ind w:leftChars="0" w:firstLine="420" w:firstLineChars="0"/>
        <w:rPr>
          <w:rFonts w:hint="default" w:ascii="Times New Roman" w:hAnsi="Times New Roman" w:cs="Times New Roman"/>
          <w:b/>
          <w:bCs/>
          <w:sz w:val="24"/>
          <w:highlight w:val="none"/>
        </w:rPr>
      </w:pPr>
      <w:r>
        <w:rPr>
          <w:rFonts w:hint="default" w:ascii="Times New Roman" w:hAnsi="Times New Roman" w:cs="Times New Roman"/>
          <w:b/>
          <w:bCs/>
          <w:sz w:val="24"/>
          <w:highlight w:val="none"/>
          <w:lang w:eastAsia="zh-CN"/>
        </w:rPr>
        <w:t>（</w:t>
      </w:r>
      <w:r>
        <w:rPr>
          <w:rFonts w:hint="default" w:ascii="Times New Roman" w:hAnsi="Times New Roman" w:cs="Times New Roman"/>
          <w:b/>
          <w:bCs/>
          <w:sz w:val="24"/>
          <w:highlight w:val="none"/>
          <w:lang w:val="en-US" w:eastAsia="zh-CN"/>
        </w:rPr>
        <w:t>4</w:t>
      </w:r>
      <w:r>
        <w:rPr>
          <w:rFonts w:hint="default" w:ascii="Times New Roman" w:hAnsi="Times New Roman" w:cs="Times New Roman"/>
          <w:b/>
          <w:bCs/>
          <w:sz w:val="24"/>
          <w:highlight w:val="none"/>
          <w:lang w:eastAsia="zh-CN"/>
        </w:rPr>
        <w:t>）</w:t>
      </w:r>
      <w:r>
        <w:rPr>
          <w:rFonts w:hint="default" w:ascii="Times New Roman" w:hAnsi="Times New Roman" w:cs="Times New Roman"/>
          <w:b/>
          <w:bCs/>
          <w:sz w:val="24"/>
          <w:highlight w:val="none"/>
        </w:rPr>
        <w:t>挥发性有机物和半挥发性有机物</w:t>
      </w:r>
    </w:p>
    <w:p w14:paraId="3E438E74">
      <w:pPr>
        <w:spacing w:line="360" w:lineRule="auto"/>
        <w:ind w:firstLine="482"/>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rPr>
        <w:t>基于《土壤环境质量建设用地土壤污染风险管控标准（试行）》的基本项目要求，送检的土壤样品均进行</w:t>
      </w:r>
      <w:r>
        <w:rPr>
          <w:rFonts w:hint="default" w:ascii="Times New Roman" w:hAnsi="Times New Roman" w:cs="Times New Roman"/>
          <w:kern w:val="0"/>
          <w:sz w:val="24"/>
          <w:highlight w:val="none"/>
        </w:rPr>
        <w:t>了</w:t>
      </w:r>
      <w:r>
        <w:rPr>
          <w:rFonts w:hint="default" w:ascii="Times New Roman" w:hAnsi="Times New Roman" w:cs="Times New Roman"/>
          <w:kern w:val="0"/>
          <w:sz w:val="24"/>
          <w:highlight w:val="none"/>
          <w:lang w:val="en-US" w:eastAsia="zh-CN"/>
        </w:rPr>
        <w:t>GB36600</w:t>
      </w:r>
      <w:r>
        <w:rPr>
          <w:rFonts w:hint="default" w:ascii="Times New Roman" w:hAnsi="Times New Roman" w:cs="Times New Roman"/>
          <w:kern w:val="0"/>
          <w:sz w:val="24"/>
          <w:highlight w:val="none"/>
          <w:lang w:eastAsia="zh-CN"/>
        </w:rPr>
        <w:t>基本项目中</w:t>
      </w:r>
      <w:r>
        <w:rPr>
          <w:rFonts w:hint="default" w:ascii="Times New Roman" w:hAnsi="Times New Roman" w:cs="Times New Roman"/>
          <w:kern w:val="0"/>
          <w:sz w:val="24"/>
          <w:highlight w:val="none"/>
        </w:rPr>
        <w:t>27项挥发性有机物和11项半挥发性有</w:t>
      </w:r>
      <w:r>
        <w:rPr>
          <w:rFonts w:hint="default" w:ascii="Times New Roman" w:hAnsi="Times New Roman" w:cs="Times New Roman"/>
          <w:sz w:val="24"/>
          <w:highlight w:val="none"/>
        </w:rPr>
        <w:t>机物的检测</w:t>
      </w:r>
      <w:r>
        <w:rPr>
          <w:rFonts w:hint="default" w:ascii="Times New Roman" w:hAnsi="Times New Roman" w:cs="Times New Roman"/>
          <w:sz w:val="24"/>
          <w:highlight w:val="none"/>
          <w:lang w:eastAsia="zh-CN"/>
        </w:rPr>
        <w:t>，并根据园区特点增测了特征污染物：多氯联苯（总量）、苯酚、</w:t>
      </w:r>
      <w:r>
        <w:rPr>
          <w:rFonts w:hint="default" w:ascii="Times New Roman" w:hAnsi="Times New Roman" w:cs="Times New Roman"/>
          <w:sz w:val="24"/>
          <w:highlight w:val="none"/>
          <w:lang w:val="en-US" w:eastAsia="zh-CN"/>
        </w:rPr>
        <w:t>2-甲基苯酚、4-甲基苯酚。</w:t>
      </w:r>
    </w:p>
    <w:p w14:paraId="4446F5C7">
      <w:pPr>
        <w:spacing w:line="360" w:lineRule="auto"/>
        <w:ind w:firstLine="482"/>
        <w:rPr>
          <w:rFonts w:hint="default" w:ascii="Times New Roman" w:hAnsi="Times New Roman" w:cs="Times New Roman"/>
          <w:highlight w:val="none"/>
          <w:lang w:val="en-US" w:eastAsia="zh-CN"/>
        </w:rPr>
      </w:pPr>
      <w:r>
        <w:rPr>
          <w:rFonts w:hint="default" w:ascii="Times New Roman" w:hAnsi="Times New Roman" w:cs="Times New Roman"/>
          <w:sz w:val="24"/>
          <w:highlight w:val="none"/>
          <w:lang w:val="en-US" w:eastAsia="zh-CN"/>
        </w:rPr>
        <w:t>监测报告显示：</w:t>
      </w:r>
      <w:r>
        <w:rPr>
          <w:rFonts w:hint="default" w:ascii="Times New Roman" w:hAnsi="Times New Roman" w:cs="Times New Roman"/>
          <w:sz w:val="24"/>
          <w:highlight w:val="none"/>
          <w:lang w:eastAsia="zh-CN"/>
        </w:rPr>
        <w:t>园区</w:t>
      </w:r>
      <w:r>
        <w:rPr>
          <w:rFonts w:hint="default" w:ascii="Times New Roman" w:hAnsi="Times New Roman" w:cs="Times New Roman"/>
          <w:sz w:val="24"/>
          <w:highlight w:val="none"/>
        </w:rPr>
        <w:t>内所有送检样品的挥发性有机物、半挥发性有机物均未检出，可满足《土壤环境质量建设用地土壤污染风险管控标准（试行）》（GB36600-2018）中“第一类用地筛选值”要求。</w:t>
      </w:r>
    </w:p>
    <w:p w14:paraId="102EDF7B">
      <w:pPr>
        <w:numPr>
          <w:ilvl w:val="0"/>
          <w:numId w:val="0"/>
        </w:numPr>
        <w:spacing w:line="360" w:lineRule="auto"/>
        <w:ind w:leftChars="0" w:firstLine="420" w:firstLineChars="0"/>
        <w:rPr>
          <w:rFonts w:hint="default" w:ascii="Times New Roman" w:hAnsi="Times New Roman" w:cs="Times New Roman"/>
          <w:b/>
          <w:bCs/>
          <w:sz w:val="24"/>
          <w:highlight w:val="none"/>
          <w:lang w:val="en-US" w:eastAsia="zh-CN"/>
        </w:rPr>
      </w:pPr>
      <w:r>
        <w:rPr>
          <w:rFonts w:hint="default" w:ascii="Times New Roman" w:hAnsi="Times New Roman" w:cs="Times New Roman"/>
          <w:b/>
          <w:bCs/>
          <w:sz w:val="24"/>
          <w:highlight w:val="none"/>
          <w:lang w:eastAsia="zh-CN"/>
        </w:rPr>
        <w:t>（</w:t>
      </w:r>
      <w:r>
        <w:rPr>
          <w:rFonts w:hint="default" w:ascii="Times New Roman" w:hAnsi="Times New Roman" w:cs="Times New Roman"/>
          <w:b/>
          <w:bCs/>
          <w:sz w:val="24"/>
          <w:highlight w:val="none"/>
          <w:lang w:val="en-US" w:eastAsia="zh-CN"/>
        </w:rPr>
        <w:t>5</w:t>
      </w:r>
      <w:r>
        <w:rPr>
          <w:rFonts w:hint="default" w:ascii="Times New Roman" w:hAnsi="Times New Roman" w:cs="Times New Roman"/>
          <w:b/>
          <w:bCs/>
          <w:sz w:val="24"/>
          <w:highlight w:val="none"/>
          <w:lang w:eastAsia="zh-CN"/>
        </w:rPr>
        <w:t>）氰化物、</w:t>
      </w:r>
      <w:r>
        <w:rPr>
          <w:rFonts w:hint="default" w:ascii="Times New Roman" w:hAnsi="Times New Roman" w:cs="Times New Roman"/>
          <w:b/>
          <w:bCs/>
          <w:sz w:val="24"/>
          <w:highlight w:val="none"/>
          <w:lang w:val="en-US" w:eastAsia="zh-CN"/>
        </w:rPr>
        <w:t>二噁英</w:t>
      </w:r>
    </w:p>
    <w:p w14:paraId="514F3BD9">
      <w:pPr>
        <w:pStyle w:val="2"/>
        <w:keepNext w:val="0"/>
        <w:keepLines w:val="0"/>
        <w:pageBreakBefore w:val="0"/>
        <w:widowControl w:val="0"/>
        <w:kinsoku/>
        <w:wordWrap/>
        <w:overflowPunct/>
        <w:topLinePunct w:val="0"/>
        <w:autoSpaceDE/>
        <w:autoSpaceDN/>
        <w:bidi w:val="0"/>
        <w:adjustRightInd/>
        <w:snapToGrid/>
        <w:spacing w:after="0"/>
        <w:ind w:firstLine="420" w:firstLineChars="0"/>
        <w:textAlignment w:val="auto"/>
        <w:rPr>
          <w:rFonts w:hint="default" w:ascii="Times New Roman" w:hAnsi="Times New Roman" w:eastAsia="黑体" w:cs="Times New Roman"/>
          <w:b/>
          <w:bCs/>
          <w:color w:val="000000"/>
          <w:sz w:val="24"/>
          <w:highlight w:val="none"/>
        </w:rPr>
      </w:pPr>
      <w:r>
        <w:rPr>
          <w:rFonts w:hint="default" w:ascii="Times New Roman" w:hAnsi="Times New Roman" w:cs="Times New Roman"/>
          <w:sz w:val="24"/>
          <w:highlight w:val="none"/>
          <w:lang w:val="en-US" w:eastAsia="zh-CN"/>
        </w:rPr>
        <w:t>点位HR-1-75、HR-1-200、HR-1-400、HR-2-75、HR-2-200、HR-4-400、HR-JJ-1、HR-JJ-2、HR-JJ-4增测污染物项目氰化物，监测值范围为0.01~0.1mg/kg；在点位HR-JJ-1、HR-JJ-2增测污染物项目二噁英，毒性当量范围为0.87~2.1ng/kg。各点位2项污染物指标均对应的参考标准。具体监测值见表5-3-4。</w:t>
      </w:r>
    </w:p>
    <w:p w14:paraId="4E6B56F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jc w:val="center"/>
        <w:textAlignment w:val="auto"/>
        <w:rPr>
          <w:rFonts w:hint="default" w:ascii="Times New Roman" w:hAnsi="Times New Roman" w:eastAsia="黑体" w:cs="Times New Roman"/>
          <w:highlight w:val="none"/>
        </w:rPr>
      </w:pPr>
      <w:r>
        <w:rPr>
          <w:rFonts w:hint="default" w:ascii="Times New Roman" w:hAnsi="Times New Roman" w:eastAsia="黑体" w:cs="Times New Roman"/>
          <w:b/>
          <w:bCs/>
          <w:color w:val="000000"/>
          <w:sz w:val="24"/>
          <w:highlight w:val="none"/>
        </w:rPr>
        <w:t>表5-</w:t>
      </w:r>
      <w:r>
        <w:rPr>
          <w:rFonts w:hint="default" w:ascii="Times New Roman" w:hAnsi="Times New Roman" w:eastAsia="黑体" w:cs="Times New Roman"/>
          <w:b/>
          <w:bCs/>
          <w:color w:val="000000"/>
          <w:sz w:val="24"/>
          <w:highlight w:val="none"/>
          <w:lang w:val="en-US" w:eastAsia="zh-CN"/>
        </w:rPr>
        <w:t>3-4</w:t>
      </w:r>
      <w:r>
        <w:rPr>
          <w:rFonts w:hint="default" w:ascii="Times New Roman" w:hAnsi="Times New Roman" w:eastAsia="黑体" w:cs="Times New Roman"/>
          <w:b/>
          <w:bCs/>
          <w:color w:val="000000"/>
          <w:sz w:val="24"/>
          <w:highlight w:val="none"/>
        </w:rPr>
        <w:t xml:space="preserve"> 土壤样品</w:t>
      </w:r>
      <w:r>
        <w:rPr>
          <w:rFonts w:hint="default" w:ascii="Times New Roman" w:hAnsi="Times New Roman" w:eastAsia="黑体" w:cs="Times New Roman"/>
          <w:b/>
          <w:bCs/>
          <w:sz w:val="24"/>
          <w:highlight w:val="none"/>
          <w:lang w:eastAsia="zh-CN"/>
        </w:rPr>
        <w:t>氰化物、</w:t>
      </w:r>
      <w:r>
        <w:rPr>
          <w:rFonts w:hint="default" w:ascii="Times New Roman" w:hAnsi="Times New Roman" w:eastAsia="黑体" w:cs="Times New Roman"/>
          <w:b/>
          <w:bCs/>
          <w:sz w:val="24"/>
          <w:highlight w:val="none"/>
          <w:lang w:val="en-US" w:eastAsia="zh-CN"/>
        </w:rPr>
        <w:t>二噁英</w:t>
      </w:r>
      <w:r>
        <w:rPr>
          <w:rFonts w:hint="default" w:ascii="Times New Roman" w:hAnsi="Times New Roman" w:eastAsia="黑体" w:cs="Times New Roman"/>
          <w:b/>
          <w:bCs/>
          <w:color w:val="000000"/>
          <w:sz w:val="24"/>
          <w:highlight w:val="none"/>
        </w:rPr>
        <w:t>监测值</w:t>
      </w:r>
    </w:p>
    <w:tbl>
      <w:tblPr>
        <w:tblStyle w:val="21"/>
        <w:tblW w:w="961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680"/>
        <w:gridCol w:w="920"/>
        <w:gridCol w:w="2640"/>
        <w:gridCol w:w="2720"/>
        <w:gridCol w:w="853"/>
        <w:gridCol w:w="1799"/>
      </w:tblGrid>
      <w:tr w14:paraId="6134AC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jc w:val="center"/>
        </w:trPr>
        <w:tc>
          <w:tcPr>
            <w:tcW w:w="680" w:type="dxa"/>
            <w:tcBorders>
              <w:bottom w:val="single" w:color="auto" w:sz="12" w:space="0"/>
            </w:tcBorders>
            <w:shd w:val="clear" w:color="auto" w:fill="auto"/>
            <w:noWrap/>
            <w:tcMar>
              <w:top w:w="15" w:type="dxa"/>
              <w:left w:w="15" w:type="dxa"/>
              <w:right w:w="15" w:type="dxa"/>
            </w:tcMar>
            <w:vAlign w:val="center"/>
          </w:tcPr>
          <w:p w14:paraId="3E39BE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序号</w:t>
            </w:r>
          </w:p>
        </w:tc>
        <w:tc>
          <w:tcPr>
            <w:tcW w:w="920" w:type="dxa"/>
            <w:tcBorders>
              <w:bottom w:val="single" w:color="auto" w:sz="12" w:space="0"/>
            </w:tcBorders>
            <w:shd w:val="clear" w:color="auto" w:fill="auto"/>
            <w:noWrap/>
            <w:tcMar>
              <w:top w:w="15" w:type="dxa"/>
              <w:left w:w="15" w:type="dxa"/>
              <w:right w:w="15" w:type="dxa"/>
            </w:tcMar>
            <w:vAlign w:val="center"/>
          </w:tcPr>
          <w:p w14:paraId="514B76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样品编号</w:t>
            </w:r>
          </w:p>
        </w:tc>
        <w:tc>
          <w:tcPr>
            <w:tcW w:w="2640" w:type="dxa"/>
            <w:tcBorders>
              <w:bottom w:val="single" w:color="auto" w:sz="12" w:space="0"/>
            </w:tcBorders>
            <w:shd w:val="clear" w:color="auto" w:fill="auto"/>
            <w:noWrap/>
            <w:tcMar>
              <w:top w:w="15" w:type="dxa"/>
              <w:left w:w="15" w:type="dxa"/>
              <w:right w:w="15" w:type="dxa"/>
            </w:tcMar>
            <w:vAlign w:val="center"/>
          </w:tcPr>
          <w:p w14:paraId="2C527E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kern w:val="0"/>
                <w:sz w:val="21"/>
                <w:szCs w:val="21"/>
                <w:highlight w:val="none"/>
                <w:u w:val="none"/>
                <w:lang w:val="en-US" w:eastAsia="zh-CN" w:bidi="ar"/>
              </w:rPr>
            </w:pPr>
            <w:r>
              <w:rPr>
                <w:rFonts w:hint="eastAsia"/>
                <w:b/>
                <w:color w:val="000000"/>
                <w:kern w:val="0"/>
                <w:sz w:val="21"/>
                <w:szCs w:val="21"/>
                <w:highlight w:val="none"/>
                <w:lang w:val="en-US" w:eastAsia="zh-CN" w:bidi="ar"/>
              </w:rPr>
              <w:t>点位位置</w:t>
            </w:r>
          </w:p>
        </w:tc>
        <w:tc>
          <w:tcPr>
            <w:tcW w:w="2720" w:type="dxa"/>
            <w:tcBorders>
              <w:bottom w:val="single" w:color="auto" w:sz="12" w:space="0"/>
            </w:tcBorders>
            <w:shd w:val="clear" w:color="auto" w:fill="auto"/>
            <w:noWrap/>
            <w:tcMar>
              <w:top w:w="15" w:type="dxa"/>
              <w:left w:w="15" w:type="dxa"/>
              <w:right w:w="15" w:type="dxa"/>
            </w:tcMar>
            <w:vAlign w:val="center"/>
          </w:tcPr>
          <w:p w14:paraId="43150F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kern w:val="0"/>
                <w:sz w:val="21"/>
                <w:szCs w:val="21"/>
                <w:highlight w:val="none"/>
                <w:u w:val="none"/>
                <w:lang w:val="en-US" w:eastAsia="zh-CN" w:bidi="ar"/>
              </w:rPr>
            </w:pPr>
            <w:r>
              <w:rPr>
                <w:rFonts w:hint="eastAsia"/>
                <w:b/>
                <w:bCs/>
                <w:color w:val="000000"/>
                <w:kern w:val="0"/>
                <w:sz w:val="21"/>
                <w:szCs w:val="21"/>
                <w:highlight w:val="none"/>
                <w:lang w:val="en-US" w:eastAsia="zh-CN" w:bidi="ar"/>
              </w:rPr>
              <w:t>参考标准</w:t>
            </w:r>
          </w:p>
        </w:tc>
        <w:tc>
          <w:tcPr>
            <w:tcW w:w="853" w:type="dxa"/>
            <w:tcBorders>
              <w:bottom w:val="single" w:color="auto" w:sz="12" w:space="0"/>
            </w:tcBorders>
            <w:shd w:val="clear" w:color="auto" w:fill="auto"/>
            <w:noWrap/>
            <w:tcMar>
              <w:top w:w="15" w:type="dxa"/>
              <w:left w:w="15" w:type="dxa"/>
              <w:right w:w="15" w:type="dxa"/>
            </w:tcMar>
            <w:vAlign w:val="center"/>
          </w:tcPr>
          <w:p w14:paraId="119D2C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黑体" w:cs="Times New Roman"/>
                <w:b/>
                <w:i w:val="0"/>
                <w:color w:val="000000"/>
                <w:sz w:val="21"/>
                <w:szCs w:val="21"/>
                <w:highlight w:val="none"/>
                <w:u w:val="none"/>
                <w:lang w:val="en-US" w:eastAsia="zh-CN"/>
              </w:rPr>
            </w:pPr>
            <w:r>
              <w:rPr>
                <w:rFonts w:hint="default" w:ascii="Times New Roman" w:hAnsi="Times New Roman" w:eastAsia="宋体" w:cs="Times New Roman"/>
                <w:b/>
                <w:i w:val="0"/>
                <w:color w:val="000000"/>
                <w:kern w:val="0"/>
                <w:sz w:val="21"/>
                <w:szCs w:val="21"/>
                <w:highlight w:val="none"/>
                <w:u w:val="none"/>
                <w:lang w:val="en-US" w:eastAsia="zh-CN" w:bidi="ar"/>
              </w:rPr>
              <w:t>氰化物</w:t>
            </w:r>
            <w:r>
              <w:rPr>
                <w:rFonts w:hint="default" w:ascii="Times New Roman" w:hAnsi="Times New Roman" w:cs="Times New Roman"/>
                <w:b/>
                <w:i w:val="0"/>
                <w:color w:val="000000"/>
                <w:kern w:val="0"/>
                <w:sz w:val="21"/>
                <w:szCs w:val="21"/>
                <w:highlight w:val="none"/>
                <w:u w:val="none"/>
                <w:lang w:val="en-US" w:eastAsia="zh-CN" w:bidi="ar"/>
              </w:rPr>
              <w:t>(</w:t>
            </w:r>
            <w:r>
              <w:rPr>
                <w:rFonts w:hint="default" w:ascii="Times New Roman" w:hAnsi="Times New Roman" w:eastAsia="黑体" w:cs="Times New Roman"/>
                <w:b/>
                <w:bCs/>
                <w:color w:val="000000"/>
                <w:sz w:val="21"/>
                <w:szCs w:val="21"/>
                <w:highlight w:val="none"/>
              </w:rPr>
              <w:t>mg/kg</w:t>
            </w:r>
            <w:r>
              <w:rPr>
                <w:rFonts w:hint="default" w:ascii="Times New Roman" w:hAnsi="Times New Roman" w:eastAsia="黑体" w:cs="Times New Roman"/>
                <w:b/>
                <w:bCs/>
                <w:color w:val="000000"/>
                <w:sz w:val="21"/>
                <w:szCs w:val="21"/>
                <w:highlight w:val="none"/>
                <w:lang w:val="en-US" w:eastAsia="zh-CN"/>
              </w:rPr>
              <w:t>)</w:t>
            </w:r>
          </w:p>
        </w:tc>
        <w:tc>
          <w:tcPr>
            <w:tcW w:w="1799" w:type="dxa"/>
            <w:tcBorders>
              <w:bottom w:val="single" w:color="auto" w:sz="12" w:space="0"/>
            </w:tcBorders>
            <w:shd w:val="clear" w:color="auto" w:fill="auto"/>
            <w:noWrap/>
            <w:tcMar>
              <w:top w:w="15" w:type="dxa"/>
              <w:left w:w="15" w:type="dxa"/>
              <w:right w:w="15" w:type="dxa"/>
            </w:tcMar>
            <w:vAlign w:val="center"/>
          </w:tcPr>
          <w:p w14:paraId="6264FA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lang w:val="en-US"/>
              </w:rPr>
            </w:pPr>
            <w:r>
              <w:rPr>
                <w:rFonts w:hint="default" w:ascii="Times New Roman" w:hAnsi="Times New Roman" w:eastAsia="宋体" w:cs="Times New Roman"/>
                <w:b/>
                <w:i w:val="0"/>
                <w:color w:val="000000"/>
                <w:kern w:val="0"/>
                <w:sz w:val="21"/>
                <w:szCs w:val="21"/>
                <w:highlight w:val="none"/>
                <w:u w:val="none"/>
                <w:lang w:val="en-US" w:eastAsia="zh-CN" w:bidi="ar"/>
              </w:rPr>
              <w:t>二噁英（I-TEQ2)(ng/kg)</w:t>
            </w:r>
            <w:r>
              <w:rPr>
                <w:rFonts w:hint="default" w:ascii="Times New Roman" w:hAnsi="Times New Roman" w:cs="Times New Roman"/>
                <w:b/>
                <w:i w:val="0"/>
                <w:color w:val="000000"/>
                <w:kern w:val="0"/>
                <w:sz w:val="21"/>
                <w:szCs w:val="21"/>
                <w:highlight w:val="none"/>
                <w:u w:val="none"/>
                <w:vertAlign w:val="superscript"/>
                <w:lang w:val="en-US" w:eastAsia="zh-CN" w:bidi="ar"/>
              </w:rPr>
              <w:t>①</w:t>
            </w:r>
          </w:p>
        </w:tc>
      </w:tr>
      <w:tr w14:paraId="225907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jc w:val="center"/>
        </w:trPr>
        <w:tc>
          <w:tcPr>
            <w:tcW w:w="680" w:type="dxa"/>
            <w:tcBorders>
              <w:top w:val="single" w:color="auto" w:sz="12" w:space="0"/>
              <w:tl2br w:val="nil"/>
              <w:tr2bl w:val="nil"/>
            </w:tcBorders>
            <w:shd w:val="clear" w:color="auto" w:fill="auto"/>
            <w:noWrap/>
            <w:tcMar>
              <w:top w:w="15" w:type="dxa"/>
              <w:left w:w="15" w:type="dxa"/>
              <w:right w:w="15" w:type="dxa"/>
            </w:tcMar>
            <w:vAlign w:val="center"/>
          </w:tcPr>
          <w:p w14:paraId="577358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w:t>
            </w:r>
          </w:p>
        </w:tc>
        <w:tc>
          <w:tcPr>
            <w:tcW w:w="920" w:type="dxa"/>
            <w:tcBorders>
              <w:top w:val="single" w:color="auto" w:sz="12" w:space="0"/>
              <w:tl2br w:val="nil"/>
              <w:tr2bl w:val="nil"/>
            </w:tcBorders>
            <w:shd w:val="clear" w:color="auto" w:fill="auto"/>
            <w:noWrap/>
            <w:tcMar>
              <w:top w:w="15" w:type="dxa"/>
              <w:left w:w="15" w:type="dxa"/>
              <w:right w:w="15" w:type="dxa"/>
            </w:tcMar>
            <w:vAlign w:val="center"/>
          </w:tcPr>
          <w:p w14:paraId="4CF5A5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HR-1-75</w:t>
            </w:r>
          </w:p>
        </w:tc>
        <w:tc>
          <w:tcPr>
            <w:tcW w:w="2640" w:type="dxa"/>
            <w:tcBorders>
              <w:top w:val="single" w:color="auto" w:sz="12" w:space="0"/>
              <w:tl2br w:val="nil"/>
              <w:tr2bl w:val="nil"/>
            </w:tcBorders>
            <w:shd w:val="clear" w:color="auto" w:fill="auto"/>
            <w:noWrap/>
            <w:tcMar>
              <w:top w:w="15" w:type="dxa"/>
              <w:left w:w="15" w:type="dxa"/>
              <w:right w:w="15" w:type="dxa"/>
            </w:tcMar>
            <w:vAlign w:val="center"/>
          </w:tcPr>
          <w:p w14:paraId="2B4DBF80">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园区边界西侧下风向75m</w:t>
            </w:r>
          </w:p>
        </w:tc>
        <w:tc>
          <w:tcPr>
            <w:tcW w:w="2720" w:type="dxa"/>
            <w:tcBorders>
              <w:top w:val="single" w:color="auto" w:sz="12" w:space="0"/>
              <w:tl2br w:val="nil"/>
              <w:tr2bl w:val="nil"/>
            </w:tcBorders>
            <w:shd w:val="clear" w:color="auto" w:fill="auto"/>
            <w:noWrap/>
            <w:tcMar>
              <w:top w:w="15" w:type="dxa"/>
              <w:left w:w="15" w:type="dxa"/>
              <w:right w:w="15" w:type="dxa"/>
            </w:tcMar>
            <w:vAlign w:val="center"/>
          </w:tcPr>
          <w:p w14:paraId="501EC1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kern w:val="2"/>
                <w:sz w:val="21"/>
                <w:szCs w:val="21"/>
                <w:highlight w:val="none"/>
                <w:u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GB36600第二类用地筛选值</w:t>
            </w:r>
          </w:p>
        </w:tc>
        <w:tc>
          <w:tcPr>
            <w:tcW w:w="853" w:type="dxa"/>
            <w:tcBorders>
              <w:top w:val="single" w:color="auto" w:sz="12" w:space="0"/>
              <w:tl2br w:val="nil"/>
              <w:tr2bl w:val="nil"/>
            </w:tcBorders>
            <w:shd w:val="clear" w:color="auto" w:fill="auto"/>
            <w:noWrap/>
            <w:tcMar>
              <w:top w:w="15" w:type="dxa"/>
              <w:left w:w="15" w:type="dxa"/>
              <w:right w:w="15" w:type="dxa"/>
            </w:tcMar>
            <w:vAlign w:val="center"/>
          </w:tcPr>
          <w:p w14:paraId="0BA515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w:t>
            </w:r>
          </w:p>
        </w:tc>
        <w:tc>
          <w:tcPr>
            <w:tcW w:w="1799" w:type="dxa"/>
            <w:tcBorders>
              <w:top w:val="single" w:color="auto" w:sz="12" w:space="0"/>
              <w:tl2br w:val="nil"/>
              <w:tr2bl w:val="nil"/>
            </w:tcBorders>
            <w:shd w:val="clear" w:color="auto" w:fill="auto"/>
            <w:noWrap/>
            <w:tcMar>
              <w:top w:w="15" w:type="dxa"/>
              <w:left w:w="15" w:type="dxa"/>
              <w:right w:w="15" w:type="dxa"/>
            </w:tcMar>
            <w:vAlign w:val="center"/>
          </w:tcPr>
          <w:p w14:paraId="39F0BA7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r>
      <w:tr w14:paraId="3F10EF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jc w:val="center"/>
        </w:trPr>
        <w:tc>
          <w:tcPr>
            <w:tcW w:w="680" w:type="dxa"/>
            <w:tcBorders>
              <w:tl2br w:val="nil"/>
              <w:tr2bl w:val="nil"/>
            </w:tcBorders>
            <w:shd w:val="clear" w:color="auto" w:fill="auto"/>
            <w:noWrap/>
            <w:tcMar>
              <w:top w:w="15" w:type="dxa"/>
              <w:left w:w="15" w:type="dxa"/>
              <w:right w:w="15" w:type="dxa"/>
            </w:tcMar>
            <w:vAlign w:val="center"/>
          </w:tcPr>
          <w:p w14:paraId="1F97175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w:t>
            </w:r>
          </w:p>
        </w:tc>
        <w:tc>
          <w:tcPr>
            <w:tcW w:w="920" w:type="dxa"/>
            <w:tcBorders>
              <w:tl2br w:val="nil"/>
              <w:tr2bl w:val="nil"/>
            </w:tcBorders>
            <w:shd w:val="clear" w:color="auto" w:fill="auto"/>
            <w:noWrap/>
            <w:tcMar>
              <w:top w:w="15" w:type="dxa"/>
              <w:left w:w="15" w:type="dxa"/>
              <w:right w:w="15" w:type="dxa"/>
            </w:tcMar>
            <w:vAlign w:val="center"/>
          </w:tcPr>
          <w:p w14:paraId="0AC648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HR-1-200</w:t>
            </w:r>
          </w:p>
        </w:tc>
        <w:tc>
          <w:tcPr>
            <w:tcW w:w="2640" w:type="dxa"/>
            <w:tcBorders>
              <w:tl2br w:val="nil"/>
              <w:tr2bl w:val="nil"/>
            </w:tcBorders>
            <w:shd w:val="clear" w:color="auto" w:fill="auto"/>
            <w:noWrap/>
            <w:tcMar>
              <w:top w:w="15" w:type="dxa"/>
              <w:left w:w="15" w:type="dxa"/>
              <w:right w:w="15" w:type="dxa"/>
            </w:tcMar>
            <w:vAlign w:val="center"/>
          </w:tcPr>
          <w:p w14:paraId="74D148D9">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园区边界西侧下风向200m</w:t>
            </w:r>
          </w:p>
        </w:tc>
        <w:tc>
          <w:tcPr>
            <w:tcW w:w="2720" w:type="dxa"/>
            <w:tcBorders>
              <w:tl2br w:val="nil"/>
              <w:tr2bl w:val="nil"/>
            </w:tcBorders>
            <w:shd w:val="clear" w:color="auto" w:fill="auto"/>
            <w:noWrap/>
            <w:tcMar>
              <w:top w:w="15" w:type="dxa"/>
              <w:left w:w="15" w:type="dxa"/>
              <w:right w:w="15" w:type="dxa"/>
            </w:tcMar>
            <w:vAlign w:val="center"/>
          </w:tcPr>
          <w:p w14:paraId="076110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GB36600第二类用地筛选值</w:t>
            </w:r>
          </w:p>
        </w:tc>
        <w:tc>
          <w:tcPr>
            <w:tcW w:w="853" w:type="dxa"/>
            <w:tcBorders>
              <w:tl2br w:val="nil"/>
              <w:tr2bl w:val="nil"/>
            </w:tcBorders>
            <w:shd w:val="clear" w:color="auto" w:fill="auto"/>
            <w:noWrap/>
            <w:tcMar>
              <w:top w:w="15" w:type="dxa"/>
              <w:left w:w="15" w:type="dxa"/>
              <w:right w:w="15" w:type="dxa"/>
            </w:tcMar>
            <w:vAlign w:val="center"/>
          </w:tcPr>
          <w:p w14:paraId="49CE52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0.09</w:t>
            </w:r>
          </w:p>
        </w:tc>
        <w:tc>
          <w:tcPr>
            <w:tcW w:w="1799" w:type="dxa"/>
            <w:tcBorders>
              <w:tl2br w:val="nil"/>
              <w:tr2bl w:val="nil"/>
            </w:tcBorders>
            <w:shd w:val="clear" w:color="auto" w:fill="auto"/>
            <w:noWrap/>
            <w:tcMar>
              <w:top w:w="15" w:type="dxa"/>
              <w:left w:w="15" w:type="dxa"/>
              <w:right w:w="15" w:type="dxa"/>
            </w:tcMar>
            <w:vAlign w:val="center"/>
          </w:tcPr>
          <w:p w14:paraId="610C70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r>
      <w:tr w14:paraId="27E89A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jc w:val="center"/>
        </w:trPr>
        <w:tc>
          <w:tcPr>
            <w:tcW w:w="680" w:type="dxa"/>
            <w:tcBorders>
              <w:tl2br w:val="nil"/>
              <w:tr2bl w:val="nil"/>
            </w:tcBorders>
            <w:shd w:val="clear" w:color="auto" w:fill="auto"/>
            <w:noWrap/>
            <w:tcMar>
              <w:top w:w="15" w:type="dxa"/>
              <w:left w:w="15" w:type="dxa"/>
              <w:right w:w="15" w:type="dxa"/>
            </w:tcMar>
            <w:vAlign w:val="center"/>
          </w:tcPr>
          <w:p w14:paraId="1E94CF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w:t>
            </w:r>
          </w:p>
        </w:tc>
        <w:tc>
          <w:tcPr>
            <w:tcW w:w="920" w:type="dxa"/>
            <w:tcBorders>
              <w:tl2br w:val="nil"/>
              <w:tr2bl w:val="nil"/>
            </w:tcBorders>
            <w:shd w:val="clear" w:color="auto" w:fill="auto"/>
            <w:noWrap/>
            <w:tcMar>
              <w:top w:w="15" w:type="dxa"/>
              <w:left w:w="15" w:type="dxa"/>
              <w:right w:w="15" w:type="dxa"/>
            </w:tcMar>
            <w:vAlign w:val="center"/>
          </w:tcPr>
          <w:p w14:paraId="38D0BF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HR-1-400</w:t>
            </w:r>
          </w:p>
        </w:tc>
        <w:tc>
          <w:tcPr>
            <w:tcW w:w="2640" w:type="dxa"/>
            <w:tcBorders>
              <w:tl2br w:val="nil"/>
              <w:tr2bl w:val="nil"/>
            </w:tcBorders>
            <w:shd w:val="clear" w:color="auto" w:fill="auto"/>
            <w:noWrap/>
            <w:tcMar>
              <w:top w:w="15" w:type="dxa"/>
              <w:left w:w="15" w:type="dxa"/>
              <w:right w:w="15" w:type="dxa"/>
            </w:tcMar>
            <w:vAlign w:val="center"/>
          </w:tcPr>
          <w:p w14:paraId="78D167CF">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园区边界西侧下风向400m</w:t>
            </w:r>
          </w:p>
        </w:tc>
        <w:tc>
          <w:tcPr>
            <w:tcW w:w="2720" w:type="dxa"/>
            <w:tcBorders>
              <w:tl2br w:val="nil"/>
              <w:tr2bl w:val="nil"/>
            </w:tcBorders>
            <w:shd w:val="clear" w:color="auto" w:fill="auto"/>
            <w:noWrap/>
            <w:tcMar>
              <w:top w:w="15" w:type="dxa"/>
              <w:left w:w="15" w:type="dxa"/>
              <w:right w:w="15" w:type="dxa"/>
            </w:tcMar>
            <w:vAlign w:val="center"/>
          </w:tcPr>
          <w:p w14:paraId="5DA968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GB36600第二类用地筛选值</w:t>
            </w:r>
          </w:p>
        </w:tc>
        <w:tc>
          <w:tcPr>
            <w:tcW w:w="853" w:type="dxa"/>
            <w:tcBorders>
              <w:tl2br w:val="nil"/>
              <w:tr2bl w:val="nil"/>
            </w:tcBorders>
            <w:shd w:val="clear" w:color="auto" w:fill="auto"/>
            <w:noWrap/>
            <w:tcMar>
              <w:top w:w="15" w:type="dxa"/>
              <w:left w:w="15" w:type="dxa"/>
              <w:right w:w="15" w:type="dxa"/>
            </w:tcMar>
            <w:vAlign w:val="center"/>
          </w:tcPr>
          <w:p w14:paraId="7AE390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w:t>
            </w:r>
          </w:p>
        </w:tc>
        <w:tc>
          <w:tcPr>
            <w:tcW w:w="1799" w:type="dxa"/>
            <w:tcBorders>
              <w:tl2br w:val="nil"/>
              <w:tr2bl w:val="nil"/>
            </w:tcBorders>
            <w:shd w:val="clear" w:color="auto" w:fill="auto"/>
            <w:noWrap/>
            <w:tcMar>
              <w:top w:w="15" w:type="dxa"/>
              <w:left w:w="15" w:type="dxa"/>
              <w:right w:w="15" w:type="dxa"/>
            </w:tcMar>
            <w:vAlign w:val="center"/>
          </w:tcPr>
          <w:p w14:paraId="388F9F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r>
      <w:tr w14:paraId="773D82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jc w:val="center"/>
        </w:trPr>
        <w:tc>
          <w:tcPr>
            <w:tcW w:w="680" w:type="dxa"/>
            <w:tcBorders>
              <w:tl2br w:val="nil"/>
              <w:tr2bl w:val="nil"/>
            </w:tcBorders>
            <w:shd w:val="clear" w:color="auto" w:fill="auto"/>
            <w:noWrap/>
            <w:tcMar>
              <w:top w:w="15" w:type="dxa"/>
              <w:left w:w="15" w:type="dxa"/>
              <w:right w:w="15" w:type="dxa"/>
            </w:tcMar>
            <w:vAlign w:val="center"/>
          </w:tcPr>
          <w:p w14:paraId="603E1C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w:t>
            </w:r>
          </w:p>
        </w:tc>
        <w:tc>
          <w:tcPr>
            <w:tcW w:w="920" w:type="dxa"/>
            <w:tcBorders>
              <w:tl2br w:val="nil"/>
              <w:tr2bl w:val="nil"/>
            </w:tcBorders>
            <w:shd w:val="clear" w:color="auto" w:fill="auto"/>
            <w:noWrap/>
            <w:tcMar>
              <w:top w:w="15" w:type="dxa"/>
              <w:left w:w="15" w:type="dxa"/>
              <w:right w:w="15" w:type="dxa"/>
            </w:tcMar>
            <w:vAlign w:val="center"/>
          </w:tcPr>
          <w:p w14:paraId="73BE7E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HR-2-75</w:t>
            </w:r>
          </w:p>
        </w:tc>
        <w:tc>
          <w:tcPr>
            <w:tcW w:w="2640" w:type="dxa"/>
            <w:tcBorders>
              <w:tl2br w:val="nil"/>
              <w:tr2bl w:val="nil"/>
            </w:tcBorders>
            <w:shd w:val="clear" w:color="auto" w:fill="auto"/>
            <w:noWrap/>
            <w:tcMar>
              <w:top w:w="15" w:type="dxa"/>
              <w:left w:w="15" w:type="dxa"/>
              <w:right w:w="15" w:type="dxa"/>
            </w:tcMar>
            <w:vAlign w:val="center"/>
          </w:tcPr>
          <w:p w14:paraId="65D7BCE1">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园区边界西侧下风向75m</w:t>
            </w:r>
          </w:p>
        </w:tc>
        <w:tc>
          <w:tcPr>
            <w:tcW w:w="2720" w:type="dxa"/>
            <w:tcBorders>
              <w:tl2br w:val="nil"/>
              <w:tr2bl w:val="nil"/>
            </w:tcBorders>
            <w:shd w:val="clear" w:color="auto" w:fill="auto"/>
            <w:noWrap/>
            <w:tcMar>
              <w:top w:w="15" w:type="dxa"/>
              <w:left w:w="15" w:type="dxa"/>
              <w:right w:w="15" w:type="dxa"/>
            </w:tcMar>
            <w:vAlign w:val="center"/>
          </w:tcPr>
          <w:p w14:paraId="52A530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GB36600第二类用地筛选值</w:t>
            </w:r>
          </w:p>
        </w:tc>
        <w:tc>
          <w:tcPr>
            <w:tcW w:w="853" w:type="dxa"/>
            <w:tcBorders>
              <w:tl2br w:val="nil"/>
              <w:tr2bl w:val="nil"/>
            </w:tcBorders>
            <w:shd w:val="clear" w:color="auto" w:fill="auto"/>
            <w:noWrap/>
            <w:tcMar>
              <w:top w:w="15" w:type="dxa"/>
              <w:left w:w="15" w:type="dxa"/>
              <w:right w:w="15" w:type="dxa"/>
            </w:tcMar>
            <w:vAlign w:val="center"/>
          </w:tcPr>
          <w:p w14:paraId="072023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w:t>
            </w:r>
          </w:p>
        </w:tc>
        <w:tc>
          <w:tcPr>
            <w:tcW w:w="1799" w:type="dxa"/>
            <w:tcBorders>
              <w:tl2br w:val="nil"/>
              <w:tr2bl w:val="nil"/>
            </w:tcBorders>
            <w:shd w:val="clear" w:color="auto" w:fill="auto"/>
            <w:noWrap/>
            <w:tcMar>
              <w:top w:w="15" w:type="dxa"/>
              <w:left w:w="15" w:type="dxa"/>
              <w:right w:w="15" w:type="dxa"/>
            </w:tcMar>
            <w:vAlign w:val="center"/>
          </w:tcPr>
          <w:p w14:paraId="4B10AB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r>
      <w:tr w14:paraId="6F9978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jc w:val="center"/>
        </w:trPr>
        <w:tc>
          <w:tcPr>
            <w:tcW w:w="680" w:type="dxa"/>
            <w:tcBorders>
              <w:tl2br w:val="nil"/>
              <w:tr2bl w:val="nil"/>
            </w:tcBorders>
            <w:shd w:val="clear" w:color="auto" w:fill="auto"/>
            <w:noWrap/>
            <w:tcMar>
              <w:top w:w="15" w:type="dxa"/>
              <w:left w:w="15" w:type="dxa"/>
              <w:right w:w="15" w:type="dxa"/>
            </w:tcMar>
            <w:vAlign w:val="center"/>
          </w:tcPr>
          <w:p w14:paraId="6AD208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w:t>
            </w:r>
          </w:p>
        </w:tc>
        <w:tc>
          <w:tcPr>
            <w:tcW w:w="920" w:type="dxa"/>
            <w:tcBorders>
              <w:tl2br w:val="nil"/>
              <w:tr2bl w:val="nil"/>
            </w:tcBorders>
            <w:shd w:val="clear" w:color="auto" w:fill="auto"/>
            <w:noWrap/>
            <w:tcMar>
              <w:top w:w="15" w:type="dxa"/>
              <w:left w:w="15" w:type="dxa"/>
              <w:right w:w="15" w:type="dxa"/>
            </w:tcMar>
            <w:vAlign w:val="center"/>
          </w:tcPr>
          <w:p w14:paraId="09F15F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HR-2-200</w:t>
            </w:r>
          </w:p>
        </w:tc>
        <w:tc>
          <w:tcPr>
            <w:tcW w:w="2640" w:type="dxa"/>
            <w:tcBorders>
              <w:tl2br w:val="nil"/>
              <w:tr2bl w:val="nil"/>
            </w:tcBorders>
            <w:shd w:val="clear" w:color="auto" w:fill="auto"/>
            <w:noWrap/>
            <w:tcMar>
              <w:top w:w="15" w:type="dxa"/>
              <w:left w:w="15" w:type="dxa"/>
              <w:right w:w="15" w:type="dxa"/>
            </w:tcMar>
            <w:vAlign w:val="center"/>
          </w:tcPr>
          <w:p w14:paraId="511176E3">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园区边界西侧下风向200m</w:t>
            </w:r>
          </w:p>
        </w:tc>
        <w:tc>
          <w:tcPr>
            <w:tcW w:w="2720" w:type="dxa"/>
            <w:tcBorders>
              <w:tl2br w:val="nil"/>
              <w:tr2bl w:val="nil"/>
            </w:tcBorders>
            <w:shd w:val="clear" w:color="auto" w:fill="auto"/>
            <w:noWrap/>
            <w:tcMar>
              <w:top w:w="15" w:type="dxa"/>
              <w:left w:w="15" w:type="dxa"/>
              <w:right w:w="15" w:type="dxa"/>
            </w:tcMar>
            <w:vAlign w:val="center"/>
          </w:tcPr>
          <w:p w14:paraId="36C558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GB36600第二类用地筛选值</w:t>
            </w:r>
          </w:p>
        </w:tc>
        <w:tc>
          <w:tcPr>
            <w:tcW w:w="853" w:type="dxa"/>
            <w:tcBorders>
              <w:tl2br w:val="nil"/>
              <w:tr2bl w:val="nil"/>
            </w:tcBorders>
            <w:shd w:val="clear" w:color="auto" w:fill="auto"/>
            <w:noWrap/>
            <w:tcMar>
              <w:top w:w="15" w:type="dxa"/>
              <w:left w:w="15" w:type="dxa"/>
              <w:right w:w="15" w:type="dxa"/>
            </w:tcMar>
            <w:vAlign w:val="center"/>
          </w:tcPr>
          <w:p w14:paraId="61D7D4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eastAsia="宋体" w:cs="Times New Roman"/>
                <w:i w:val="0"/>
                <w:color w:val="000000"/>
                <w:kern w:val="0"/>
                <w:sz w:val="21"/>
                <w:szCs w:val="21"/>
                <w:highlight w:val="none"/>
                <w:u w:val="none"/>
                <w:lang w:val="en-US" w:eastAsia="zh-CN" w:bidi="ar"/>
              </w:rPr>
              <w:t>0.1</w:t>
            </w:r>
            <w:r>
              <w:rPr>
                <w:rFonts w:hint="default" w:ascii="Times New Roman" w:hAnsi="Times New Roman" w:cs="Times New Roman"/>
                <w:i w:val="0"/>
                <w:color w:val="000000"/>
                <w:kern w:val="0"/>
                <w:sz w:val="21"/>
                <w:szCs w:val="21"/>
                <w:highlight w:val="none"/>
                <w:u w:val="none"/>
                <w:lang w:val="en-US" w:eastAsia="zh-CN" w:bidi="ar"/>
              </w:rPr>
              <w:t>0</w:t>
            </w:r>
          </w:p>
        </w:tc>
        <w:tc>
          <w:tcPr>
            <w:tcW w:w="1799" w:type="dxa"/>
            <w:tcBorders>
              <w:tl2br w:val="nil"/>
              <w:tr2bl w:val="nil"/>
            </w:tcBorders>
            <w:shd w:val="clear" w:color="auto" w:fill="auto"/>
            <w:noWrap/>
            <w:tcMar>
              <w:top w:w="15" w:type="dxa"/>
              <w:left w:w="15" w:type="dxa"/>
              <w:right w:w="15" w:type="dxa"/>
            </w:tcMar>
            <w:vAlign w:val="center"/>
          </w:tcPr>
          <w:p w14:paraId="46C26D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r>
      <w:tr w14:paraId="043E46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jc w:val="center"/>
        </w:trPr>
        <w:tc>
          <w:tcPr>
            <w:tcW w:w="680" w:type="dxa"/>
            <w:tcBorders>
              <w:tl2br w:val="nil"/>
              <w:tr2bl w:val="nil"/>
            </w:tcBorders>
            <w:shd w:val="clear" w:color="auto" w:fill="auto"/>
            <w:noWrap/>
            <w:tcMar>
              <w:top w:w="15" w:type="dxa"/>
              <w:left w:w="15" w:type="dxa"/>
              <w:right w:w="15" w:type="dxa"/>
            </w:tcMar>
            <w:vAlign w:val="center"/>
          </w:tcPr>
          <w:p w14:paraId="168FC0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w:t>
            </w:r>
          </w:p>
        </w:tc>
        <w:tc>
          <w:tcPr>
            <w:tcW w:w="920" w:type="dxa"/>
            <w:tcBorders>
              <w:tl2br w:val="nil"/>
              <w:tr2bl w:val="nil"/>
            </w:tcBorders>
            <w:shd w:val="clear" w:color="auto" w:fill="auto"/>
            <w:noWrap/>
            <w:tcMar>
              <w:top w:w="15" w:type="dxa"/>
              <w:left w:w="15" w:type="dxa"/>
              <w:right w:w="15" w:type="dxa"/>
            </w:tcMar>
            <w:vAlign w:val="center"/>
          </w:tcPr>
          <w:p w14:paraId="080847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HR-2-400</w:t>
            </w:r>
          </w:p>
        </w:tc>
        <w:tc>
          <w:tcPr>
            <w:tcW w:w="2640" w:type="dxa"/>
            <w:tcBorders>
              <w:tl2br w:val="nil"/>
              <w:tr2bl w:val="nil"/>
            </w:tcBorders>
            <w:shd w:val="clear" w:color="auto" w:fill="auto"/>
            <w:noWrap/>
            <w:tcMar>
              <w:top w:w="15" w:type="dxa"/>
              <w:left w:w="15" w:type="dxa"/>
              <w:right w:w="15" w:type="dxa"/>
            </w:tcMar>
            <w:vAlign w:val="center"/>
          </w:tcPr>
          <w:p w14:paraId="1209FB6E">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园区边界西侧下风向400m</w:t>
            </w:r>
          </w:p>
        </w:tc>
        <w:tc>
          <w:tcPr>
            <w:tcW w:w="2720" w:type="dxa"/>
            <w:tcBorders>
              <w:tl2br w:val="nil"/>
              <w:tr2bl w:val="nil"/>
            </w:tcBorders>
            <w:shd w:val="clear" w:color="auto" w:fill="auto"/>
            <w:noWrap/>
            <w:tcMar>
              <w:top w:w="15" w:type="dxa"/>
              <w:left w:w="15" w:type="dxa"/>
              <w:right w:w="15" w:type="dxa"/>
            </w:tcMar>
            <w:vAlign w:val="center"/>
          </w:tcPr>
          <w:p w14:paraId="05884D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GB36600第二类用地筛选值</w:t>
            </w:r>
          </w:p>
        </w:tc>
        <w:tc>
          <w:tcPr>
            <w:tcW w:w="853" w:type="dxa"/>
            <w:tcBorders>
              <w:tl2br w:val="nil"/>
              <w:tr2bl w:val="nil"/>
            </w:tcBorders>
            <w:shd w:val="clear" w:color="auto" w:fill="auto"/>
            <w:noWrap/>
            <w:tcMar>
              <w:top w:w="15" w:type="dxa"/>
              <w:left w:w="15" w:type="dxa"/>
              <w:right w:w="15" w:type="dxa"/>
            </w:tcMar>
            <w:vAlign w:val="center"/>
          </w:tcPr>
          <w:p w14:paraId="2CE8DE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0.04</w:t>
            </w:r>
          </w:p>
        </w:tc>
        <w:tc>
          <w:tcPr>
            <w:tcW w:w="1799" w:type="dxa"/>
            <w:tcBorders>
              <w:tl2br w:val="nil"/>
              <w:tr2bl w:val="nil"/>
            </w:tcBorders>
            <w:shd w:val="clear" w:color="auto" w:fill="auto"/>
            <w:noWrap/>
            <w:tcMar>
              <w:top w:w="15" w:type="dxa"/>
              <w:left w:w="15" w:type="dxa"/>
              <w:right w:w="15" w:type="dxa"/>
            </w:tcMar>
            <w:vAlign w:val="center"/>
          </w:tcPr>
          <w:p w14:paraId="0A9BB7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r>
      <w:tr w14:paraId="7B42D4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jc w:val="center"/>
        </w:trPr>
        <w:tc>
          <w:tcPr>
            <w:tcW w:w="680" w:type="dxa"/>
            <w:tcBorders>
              <w:tl2br w:val="nil"/>
              <w:tr2bl w:val="nil"/>
            </w:tcBorders>
            <w:shd w:val="clear" w:color="auto" w:fill="auto"/>
            <w:noWrap/>
            <w:tcMar>
              <w:top w:w="15" w:type="dxa"/>
              <w:left w:w="15" w:type="dxa"/>
              <w:right w:w="15" w:type="dxa"/>
            </w:tcMar>
            <w:vAlign w:val="center"/>
          </w:tcPr>
          <w:p w14:paraId="7E838F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cs="Times New Roman"/>
                <w:i w:val="0"/>
                <w:color w:val="000000"/>
                <w:kern w:val="0"/>
                <w:sz w:val="21"/>
                <w:szCs w:val="21"/>
                <w:highlight w:val="none"/>
                <w:u w:val="none"/>
                <w:lang w:val="en-US" w:eastAsia="zh-CN" w:bidi="ar"/>
              </w:rPr>
              <w:t>7</w:t>
            </w:r>
          </w:p>
        </w:tc>
        <w:tc>
          <w:tcPr>
            <w:tcW w:w="920" w:type="dxa"/>
            <w:tcBorders>
              <w:tl2br w:val="nil"/>
              <w:tr2bl w:val="nil"/>
            </w:tcBorders>
            <w:shd w:val="clear" w:color="auto" w:fill="auto"/>
            <w:noWrap/>
            <w:tcMar>
              <w:top w:w="15" w:type="dxa"/>
              <w:left w:w="15" w:type="dxa"/>
              <w:right w:w="15" w:type="dxa"/>
            </w:tcMar>
            <w:vAlign w:val="center"/>
          </w:tcPr>
          <w:p w14:paraId="73F661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HR-JJ-1</w:t>
            </w:r>
          </w:p>
        </w:tc>
        <w:tc>
          <w:tcPr>
            <w:tcW w:w="2640" w:type="dxa"/>
            <w:tcBorders>
              <w:tl2br w:val="nil"/>
              <w:tr2bl w:val="nil"/>
            </w:tcBorders>
            <w:shd w:val="clear" w:color="auto" w:fill="auto"/>
            <w:noWrap/>
            <w:tcMar>
              <w:top w:w="15" w:type="dxa"/>
              <w:left w:w="15" w:type="dxa"/>
              <w:right w:w="15" w:type="dxa"/>
            </w:tcMar>
            <w:vAlign w:val="center"/>
          </w:tcPr>
          <w:p w14:paraId="5AA30293">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企业聚集区西侧</w:t>
            </w:r>
          </w:p>
        </w:tc>
        <w:tc>
          <w:tcPr>
            <w:tcW w:w="2720" w:type="dxa"/>
            <w:tcBorders>
              <w:tl2br w:val="nil"/>
              <w:tr2bl w:val="nil"/>
            </w:tcBorders>
            <w:shd w:val="clear" w:color="auto" w:fill="auto"/>
            <w:noWrap/>
            <w:tcMar>
              <w:top w:w="15" w:type="dxa"/>
              <w:left w:w="15" w:type="dxa"/>
              <w:right w:w="15" w:type="dxa"/>
            </w:tcMar>
            <w:vAlign w:val="center"/>
          </w:tcPr>
          <w:p w14:paraId="0F20CA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GB36600第一类用地筛选值</w:t>
            </w:r>
          </w:p>
        </w:tc>
        <w:tc>
          <w:tcPr>
            <w:tcW w:w="853" w:type="dxa"/>
            <w:tcBorders>
              <w:tl2br w:val="nil"/>
              <w:tr2bl w:val="nil"/>
            </w:tcBorders>
            <w:shd w:val="clear" w:color="auto" w:fill="auto"/>
            <w:noWrap/>
            <w:tcMar>
              <w:top w:w="15" w:type="dxa"/>
              <w:left w:w="15" w:type="dxa"/>
              <w:right w:w="15" w:type="dxa"/>
            </w:tcMar>
            <w:vAlign w:val="center"/>
          </w:tcPr>
          <w:p w14:paraId="1D23DB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0.01</w:t>
            </w:r>
          </w:p>
        </w:tc>
        <w:tc>
          <w:tcPr>
            <w:tcW w:w="1799" w:type="dxa"/>
            <w:tcBorders>
              <w:tl2br w:val="nil"/>
              <w:tr2bl w:val="nil"/>
            </w:tcBorders>
            <w:shd w:val="clear" w:color="auto" w:fill="auto"/>
            <w:noWrap/>
            <w:tcMar>
              <w:top w:w="15" w:type="dxa"/>
              <w:left w:w="15" w:type="dxa"/>
              <w:right w:w="15" w:type="dxa"/>
            </w:tcMar>
            <w:vAlign w:val="center"/>
          </w:tcPr>
          <w:p w14:paraId="43DA0D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2.1</w:t>
            </w:r>
          </w:p>
        </w:tc>
      </w:tr>
      <w:tr w14:paraId="43BB69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jc w:val="center"/>
        </w:trPr>
        <w:tc>
          <w:tcPr>
            <w:tcW w:w="680" w:type="dxa"/>
            <w:tcBorders>
              <w:tl2br w:val="nil"/>
              <w:tr2bl w:val="nil"/>
            </w:tcBorders>
            <w:shd w:val="clear" w:color="auto" w:fill="auto"/>
            <w:noWrap/>
            <w:tcMar>
              <w:top w:w="15" w:type="dxa"/>
              <w:left w:w="15" w:type="dxa"/>
              <w:right w:w="15" w:type="dxa"/>
            </w:tcMar>
            <w:vAlign w:val="center"/>
          </w:tcPr>
          <w:p w14:paraId="757FB7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cs="Times New Roman"/>
                <w:i w:val="0"/>
                <w:color w:val="000000"/>
                <w:kern w:val="0"/>
                <w:sz w:val="21"/>
                <w:szCs w:val="21"/>
                <w:highlight w:val="none"/>
                <w:u w:val="none"/>
                <w:lang w:val="en-US" w:eastAsia="zh-CN" w:bidi="ar"/>
              </w:rPr>
              <w:t>10</w:t>
            </w:r>
          </w:p>
        </w:tc>
        <w:tc>
          <w:tcPr>
            <w:tcW w:w="920" w:type="dxa"/>
            <w:tcBorders>
              <w:tl2br w:val="nil"/>
              <w:tr2bl w:val="nil"/>
            </w:tcBorders>
            <w:shd w:val="clear" w:color="auto" w:fill="auto"/>
            <w:noWrap/>
            <w:tcMar>
              <w:top w:w="15" w:type="dxa"/>
              <w:left w:w="15" w:type="dxa"/>
              <w:right w:w="15" w:type="dxa"/>
            </w:tcMar>
            <w:vAlign w:val="center"/>
          </w:tcPr>
          <w:p w14:paraId="3EED35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HR-JJ-2</w:t>
            </w:r>
          </w:p>
        </w:tc>
        <w:tc>
          <w:tcPr>
            <w:tcW w:w="2640" w:type="dxa"/>
            <w:tcBorders>
              <w:tl2br w:val="nil"/>
              <w:tr2bl w:val="nil"/>
            </w:tcBorders>
            <w:shd w:val="clear" w:color="auto" w:fill="auto"/>
            <w:noWrap/>
            <w:tcMar>
              <w:top w:w="15" w:type="dxa"/>
              <w:left w:w="15" w:type="dxa"/>
              <w:right w:w="15" w:type="dxa"/>
            </w:tcMar>
            <w:vAlign w:val="center"/>
          </w:tcPr>
          <w:p w14:paraId="6C42F9DD">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企业聚集区南侧</w:t>
            </w:r>
          </w:p>
        </w:tc>
        <w:tc>
          <w:tcPr>
            <w:tcW w:w="2720" w:type="dxa"/>
            <w:tcBorders>
              <w:tl2br w:val="nil"/>
              <w:tr2bl w:val="nil"/>
            </w:tcBorders>
            <w:shd w:val="clear" w:color="auto" w:fill="auto"/>
            <w:noWrap/>
            <w:tcMar>
              <w:top w:w="15" w:type="dxa"/>
              <w:left w:w="15" w:type="dxa"/>
              <w:right w:w="15" w:type="dxa"/>
            </w:tcMar>
            <w:vAlign w:val="center"/>
          </w:tcPr>
          <w:p w14:paraId="6232E0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GB36600第二类用地筛选值</w:t>
            </w:r>
          </w:p>
        </w:tc>
        <w:tc>
          <w:tcPr>
            <w:tcW w:w="853" w:type="dxa"/>
            <w:tcBorders>
              <w:tl2br w:val="nil"/>
              <w:tr2bl w:val="nil"/>
            </w:tcBorders>
            <w:shd w:val="clear" w:color="auto" w:fill="auto"/>
            <w:noWrap/>
            <w:tcMar>
              <w:top w:w="15" w:type="dxa"/>
              <w:left w:w="15" w:type="dxa"/>
              <w:right w:w="15" w:type="dxa"/>
            </w:tcMar>
            <w:vAlign w:val="center"/>
          </w:tcPr>
          <w:p w14:paraId="1B76E5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w:t>
            </w:r>
          </w:p>
        </w:tc>
        <w:tc>
          <w:tcPr>
            <w:tcW w:w="1799" w:type="dxa"/>
            <w:tcBorders>
              <w:tl2br w:val="nil"/>
              <w:tr2bl w:val="nil"/>
            </w:tcBorders>
            <w:shd w:val="clear" w:color="auto" w:fill="auto"/>
            <w:noWrap/>
            <w:tcMar>
              <w:top w:w="15" w:type="dxa"/>
              <w:left w:w="15" w:type="dxa"/>
              <w:right w:w="15" w:type="dxa"/>
            </w:tcMar>
            <w:vAlign w:val="center"/>
          </w:tcPr>
          <w:p w14:paraId="34F342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0.87</w:t>
            </w:r>
          </w:p>
        </w:tc>
      </w:tr>
      <w:tr w14:paraId="45BD5E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jc w:val="center"/>
        </w:trPr>
        <w:tc>
          <w:tcPr>
            <w:tcW w:w="680" w:type="dxa"/>
            <w:tcBorders>
              <w:tl2br w:val="nil"/>
              <w:tr2bl w:val="nil"/>
            </w:tcBorders>
            <w:shd w:val="clear" w:color="auto" w:fill="auto"/>
            <w:noWrap/>
            <w:tcMar>
              <w:top w:w="15" w:type="dxa"/>
              <w:left w:w="15" w:type="dxa"/>
              <w:right w:w="15" w:type="dxa"/>
            </w:tcMar>
            <w:vAlign w:val="center"/>
          </w:tcPr>
          <w:p w14:paraId="2F9E5A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lang w:val="en-US"/>
              </w:rPr>
            </w:pPr>
            <w:r>
              <w:rPr>
                <w:rFonts w:hint="default" w:ascii="Times New Roman" w:hAnsi="Times New Roman" w:cs="Times New Roman"/>
                <w:i w:val="0"/>
                <w:color w:val="000000"/>
                <w:kern w:val="0"/>
                <w:sz w:val="21"/>
                <w:szCs w:val="21"/>
                <w:highlight w:val="none"/>
                <w:u w:val="none"/>
                <w:lang w:val="en-US" w:eastAsia="zh-CN" w:bidi="ar"/>
              </w:rPr>
              <w:t>11</w:t>
            </w:r>
          </w:p>
        </w:tc>
        <w:tc>
          <w:tcPr>
            <w:tcW w:w="920" w:type="dxa"/>
            <w:tcBorders>
              <w:tl2br w:val="nil"/>
              <w:tr2bl w:val="nil"/>
            </w:tcBorders>
            <w:shd w:val="clear" w:color="auto" w:fill="auto"/>
            <w:noWrap/>
            <w:tcMar>
              <w:top w:w="15" w:type="dxa"/>
              <w:left w:w="15" w:type="dxa"/>
              <w:right w:w="15" w:type="dxa"/>
            </w:tcMar>
            <w:vAlign w:val="center"/>
          </w:tcPr>
          <w:p w14:paraId="4731E8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HR-JJ-4</w:t>
            </w:r>
          </w:p>
        </w:tc>
        <w:tc>
          <w:tcPr>
            <w:tcW w:w="2640" w:type="dxa"/>
            <w:tcBorders>
              <w:tl2br w:val="nil"/>
              <w:tr2bl w:val="nil"/>
            </w:tcBorders>
            <w:shd w:val="clear" w:color="auto" w:fill="auto"/>
            <w:noWrap/>
            <w:tcMar>
              <w:top w:w="15" w:type="dxa"/>
              <w:left w:w="15" w:type="dxa"/>
              <w:right w:w="15" w:type="dxa"/>
            </w:tcMar>
            <w:vAlign w:val="center"/>
          </w:tcPr>
          <w:p w14:paraId="435198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cs="Times New Roman"/>
                <w:i w:val="0"/>
                <w:color w:val="000000"/>
                <w:sz w:val="21"/>
                <w:szCs w:val="21"/>
                <w:highlight w:val="none"/>
                <w:u w:val="none"/>
                <w:lang w:val="en-US" w:eastAsia="zh-CN"/>
              </w:rPr>
            </w:pPr>
            <w:r>
              <w:rPr>
                <w:rFonts w:hint="default" w:ascii="Times New Roman" w:hAnsi="Times New Roman" w:cs="Times New Roman"/>
                <w:i w:val="0"/>
                <w:color w:val="000000"/>
                <w:sz w:val="21"/>
                <w:szCs w:val="21"/>
                <w:highlight w:val="none"/>
                <w:u w:val="none"/>
                <w:lang w:val="en-US" w:eastAsia="zh-CN"/>
              </w:rPr>
              <w:t>企业聚集区西侧</w:t>
            </w:r>
          </w:p>
        </w:tc>
        <w:tc>
          <w:tcPr>
            <w:tcW w:w="2720" w:type="dxa"/>
            <w:tcBorders>
              <w:tl2br w:val="nil"/>
              <w:tr2bl w:val="nil"/>
            </w:tcBorders>
            <w:shd w:val="clear" w:color="auto" w:fill="auto"/>
            <w:noWrap/>
            <w:tcMar>
              <w:top w:w="15" w:type="dxa"/>
              <w:left w:w="15" w:type="dxa"/>
              <w:right w:w="15" w:type="dxa"/>
            </w:tcMar>
            <w:vAlign w:val="center"/>
          </w:tcPr>
          <w:p w14:paraId="1B817E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cs="Times New Roman"/>
                <w:i w:val="0"/>
                <w:color w:val="000000"/>
                <w:sz w:val="21"/>
                <w:szCs w:val="21"/>
                <w:highlight w:val="none"/>
                <w:u w:val="none"/>
                <w:lang w:val="en-US" w:eastAsia="zh-CN"/>
              </w:rPr>
            </w:pPr>
            <w:r>
              <w:rPr>
                <w:rFonts w:hint="default" w:ascii="Times New Roman" w:hAnsi="Times New Roman" w:cs="Times New Roman"/>
                <w:i w:val="0"/>
                <w:color w:val="000000"/>
                <w:sz w:val="21"/>
                <w:szCs w:val="21"/>
                <w:highlight w:val="none"/>
                <w:u w:val="none"/>
                <w:lang w:val="en-US" w:eastAsia="zh-CN"/>
              </w:rPr>
              <w:t>GB36600第二类用地筛选值</w:t>
            </w:r>
          </w:p>
        </w:tc>
        <w:tc>
          <w:tcPr>
            <w:tcW w:w="853" w:type="dxa"/>
            <w:tcBorders>
              <w:tl2br w:val="nil"/>
              <w:tr2bl w:val="nil"/>
            </w:tcBorders>
            <w:shd w:val="clear" w:color="auto" w:fill="auto"/>
            <w:noWrap/>
            <w:tcMar>
              <w:top w:w="15" w:type="dxa"/>
              <w:left w:w="15" w:type="dxa"/>
              <w:right w:w="15" w:type="dxa"/>
            </w:tcMar>
            <w:vAlign w:val="center"/>
          </w:tcPr>
          <w:p w14:paraId="26B2EC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w:t>
            </w:r>
          </w:p>
        </w:tc>
        <w:tc>
          <w:tcPr>
            <w:tcW w:w="1799" w:type="dxa"/>
            <w:tcBorders>
              <w:tl2br w:val="nil"/>
              <w:tr2bl w:val="nil"/>
            </w:tcBorders>
            <w:shd w:val="clear" w:color="auto" w:fill="auto"/>
            <w:noWrap/>
            <w:tcMar>
              <w:top w:w="15" w:type="dxa"/>
              <w:left w:w="15" w:type="dxa"/>
              <w:right w:w="15" w:type="dxa"/>
            </w:tcMar>
            <w:vAlign w:val="center"/>
          </w:tcPr>
          <w:p w14:paraId="25C0F3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r>
      <w:tr w14:paraId="075C80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jc w:val="center"/>
        </w:trPr>
        <w:tc>
          <w:tcPr>
            <w:tcW w:w="6960" w:type="dxa"/>
            <w:gridSpan w:val="4"/>
            <w:tcBorders>
              <w:tl2br w:val="nil"/>
              <w:tr2bl w:val="nil"/>
            </w:tcBorders>
            <w:shd w:val="clear" w:color="auto" w:fill="auto"/>
            <w:noWrap/>
            <w:tcMar>
              <w:top w:w="15" w:type="dxa"/>
              <w:left w:w="15" w:type="dxa"/>
              <w:right w:w="15" w:type="dxa"/>
            </w:tcMar>
            <w:vAlign w:val="center"/>
          </w:tcPr>
          <w:p w14:paraId="3B3DA3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最小值</w:t>
            </w:r>
          </w:p>
        </w:tc>
        <w:tc>
          <w:tcPr>
            <w:tcW w:w="853" w:type="dxa"/>
            <w:tcBorders>
              <w:tl2br w:val="nil"/>
              <w:tr2bl w:val="nil"/>
            </w:tcBorders>
            <w:shd w:val="clear" w:color="auto" w:fill="auto"/>
            <w:noWrap/>
            <w:tcMar>
              <w:top w:w="15" w:type="dxa"/>
              <w:left w:w="15" w:type="dxa"/>
              <w:right w:w="15" w:type="dxa"/>
            </w:tcMar>
            <w:vAlign w:val="center"/>
          </w:tcPr>
          <w:p w14:paraId="70D0AB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0.01</w:t>
            </w:r>
          </w:p>
        </w:tc>
        <w:tc>
          <w:tcPr>
            <w:tcW w:w="1799" w:type="dxa"/>
            <w:tcBorders>
              <w:tl2br w:val="nil"/>
              <w:tr2bl w:val="nil"/>
            </w:tcBorders>
            <w:shd w:val="clear" w:color="auto" w:fill="auto"/>
            <w:noWrap/>
            <w:tcMar>
              <w:top w:w="15" w:type="dxa"/>
              <w:left w:w="15" w:type="dxa"/>
              <w:right w:w="15" w:type="dxa"/>
            </w:tcMar>
            <w:vAlign w:val="center"/>
          </w:tcPr>
          <w:p w14:paraId="7AF27D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0.87</w:t>
            </w:r>
          </w:p>
        </w:tc>
      </w:tr>
      <w:tr w14:paraId="2A8578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jc w:val="center"/>
        </w:trPr>
        <w:tc>
          <w:tcPr>
            <w:tcW w:w="6960" w:type="dxa"/>
            <w:gridSpan w:val="4"/>
            <w:tcBorders>
              <w:tl2br w:val="nil"/>
              <w:tr2bl w:val="nil"/>
            </w:tcBorders>
            <w:shd w:val="clear" w:color="auto" w:fill="auto"/>
            <w:noWrap/>
            <w:tcMar>
              <w:top w:w="15" w:type="dxa"/>
              <w:left w:w="15" w:type="dxa"/>
              <w:right w:w="15" w:type="dxa"/>
            </w:tcMar>
            <w:vAlign w:val="center"/>
          </w:tcPr>
          <w:p w14:paraId="5A9446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最大值</w:t>
            </w:r>
          </w:p>
        </w:tc>
        <w:tc>
          <w:tcPr>
            <w:tcW w:w="853" w:type="dxa"/>
            <w:tcBorders>
              <w:tl2br w:val="nil"/>
              <w:tr2bl w:val="nil"/>
            </w:tcBorders>
            <w:shd w:val="clear" w:color="auto" w:fill="auto"/>
            <w:noWrap/>
            <w:tcMar>
              <w:top w:w="15" w:type="dxa"/>
              <w:left w:w="15" w:type="dxa"/>
              <w:right w:w="15" w:type="dxa"/>
            </w:tcMar>
            <w:vAlign w:val="center"/>
          </w:tcPr>
          <w:p w14:paraId="625923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0.1</w:t>
            </w:r>
          </w:p>
        </w:tc>
        <w:tc>
          <w:tcPr>
            <w:tcW w:w="1799" w:type="dxa"/>
            <w:tcBorders>
              <w:tl2br w:val="nil"/>
              <w:tr2bl w:val="nil"/>
            </w:tcBorders>
            <w:shd w:val="clear" w:color="auto" w:fill="auto"/>
            <w:noWrap/>
            <w:tcMar>
              <w:top w:w="15" w:type="dxa"/>
              <w:left w:w="15" w:type="dxa"/>
              <w:right w:w="15" w:type="dxa"/>
            </w:tcMar>
            <w:vAlign w:val="center"/>
          </w:tcPr>
          <w:p w14:paraId="3BF59F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2.1</w:t>
            </w:r>
          </w:p>
        </w:tc>
      </w:tr>
      <w:tr w14:paraId="275909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jc w:val="center"/>
        </w:trPr>
        <w:tc>
          <w:tcPr>
            <w:tcW w:w="6960" w:type="dxa"/>
            <w:gridSpan w:val="4"/>
            <w:tcBorders>
              <w:tl2br w:val="nil"/>
              <w:tr2bl w:val="nil"/>
            </w:tcBorders>
            <w:shd w:val="clear" w:color="auto" w:fill="auto"/>
            <w:noWrap/>
            <w:tcMar>
              <w:top w:w="15" w:type="dxa"/>
              <w:left w:w="15" w:type="dxa"/>
              <w:right w:w="15" w:type="dxa"/>
            </w:tcMar>
            <w:vAlign w:val="center"/>
          </w:tcPr>
          <w:p w14:paraId="1864AD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检出率</w:t>
            </w:r>
          </w:p>
        </w:tc>
        <w:tc>
          <w:tcPr>
            <w:tcW w:w="853" w:type="dxa"/>
            <w:tcBorders>
              <w:tl2br w:val="nil"/>
              <w:tr2bl w:val="nil"/>
            </w:tcBorders>
            <w:shd w:val="clear" w:color="auto" w:fill="auto"/>
            <w:noWrap/>
            <w:tcMar>
              <w:top w:w="15" w:type="dxa"/>
              <w:left w:w="15" w:type="dxa"/>
              <w:right w:w="15" w:type="dxa"/>
            </w:tcMar>
            <w:vAlign w:val="center"/>
          </w:tcPr>
          <w:p w14:paraId="6E1ADB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100%</w:t>
            </w:r>
          </w:p>
        </w:tc>
        <w:tc>
          <w:tcPr>
            <w:tcW w:w="1799" w:type="dxa"/>
            <w:tcBorders>
              <w:tl2br w:val="nil"/>
              <w:tr2bl w:val="nil"/>
            </w:tcBorders>
            <w:shd w:val="clear" w:color="auto" w:fill="auto"/>
            <w:noWrap/>
            <w:tcMar>
              <w:top w:w="15" w:type="dxa"/>
              <w:left w:w="15" w:type="dxa"/>
              <w:right w:w="15" w:type="dxa"/>
            </w:tcMar>
            <w:vAlign w:val="center"/>
          </w:tcPr>
          <w:p w14:paraId="12543A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100%</w:t>
            </w:r>
          </w:p>
        </w:tc>
      </w:tr>
      <w:tr w14:paraId="5356EB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jc w:val="center"/>
        </w:trPr>
        <w:tc>
          <w:tcPr>
            <w:tcW w:w="6960" w:type="dxa"/>
            <w:gridSpan w:val="4"/>
            <w:tcBorders>
              <w:tl2br w:val="nil"/>
              <w:tr2bl w:val="nil"/>
            </w:tcBorders>
            <w:shd w:val="clear" w:color="auto" w:fill="auto"/>
            <w:noWrap/>
            <w:tcMar>
              <w:top w:w="15" w:type="dxa"/>
              <w:left w:w="15" w:type="dxa"/>
              <w:right w:w="15" w:type="dxa"/>
            </w:tcMar>
            <w:vAlign w:val="center"/>
          </w:tcPr>
          <w:p w14:paraId="3B1F97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第一类用地筛选值</w:t>
            </w:r>
          </w:p>
        </w:tc>
        <w:tc>
          <w:tcPr>
            <w:tcW w:w="853" w:type="dxa"/>
            <w:tcBorders>
              <w:tl2br w:val="nil"/>
              <w:tr2bl w:val="nil"/>
            </w:tcBorders>
            <w:shd w:val="clear" w:color="auto" w:fill="auto"/>
            <w:noWrap/>
            <w:tcMar>
              <w:top w:w="15" w:type="dxa"/>
              <w:left w:w="15" w:type="dxa"/>
              <w:right w:w="15" w:type="dxa"/>
            </w:tcMar>
            <w:vAlign w:val="center"/>
          </w:tcPr>
          <w:p w14:paraId="75DC45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22</w:t>
            </w:r>
          </w:p>
        </w:tc>
        <w:tc>
          <w:tcPr>
            <w:tcW w:w="1799" w:type="dxa"/>
            <w:tcBorders>
              <w:tl2br w:val="nil"/>
              <w:tr2bl w:val="nil"/>
            </w:tcBorders>
            <w:shd w:val="clear" w:color="auto" w:fill="auto"/>
            <w:noWrap/>
            <w:tcMar>
              <w:top w:w="15" w:type="dxa"/>
              <w:left w:w="15" w:type="dxa"/>
              <w:right w:w="15" w:type="dxa"/>
            </w:tcMar>
            <w:vAlign w:val="center"/>
          </w:tcPr>
          <w:p w14:paraId="773F72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10</w:t>
            </w:r>
          </w:p>
        </w:tc>
      </w:tr>
      <w:tr w14:paraId="260918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jc w:val="center"/>
        </w:trPr>
        <w:tc>
          <w:tcPr>
            <w:tcW w:w="6960" w:type="dxa"/>
            <w:gridSpan w:val="4"/>
            <w:tcBorders>
              <w:tl2br w:val="nil"/>
              <w:tr2bl w:val="nil"/>
            </w:tcBorders>
            <w:shd w:val="clear" w:color="auto" w:fill="auto"/>
            <w:noWrap/>
            <w:tcMar>
              <w:top w:w="15" w:type="dxa"/>
              <w:left w:w="15" w:type="dxa"/>
              <w:right w:w="15" w:type="dxa"/>
            </w:tcMar>
            <w:vAlign w:val="center"/>
          </w:tcPr>
          <w:p w14:paraId="7C19D8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第二类用地筛选值</w:t>
            </w:r>
          </w:p>
        </w:tc>
        <w:tc>
          <w:tcPr>
            <w:tcW w:w="853" w:type="dxa"/>
            <w:tcBorders>
              <w:tl2br w:val="nil"/>
              <w:tr2bl w:val="nil"/>
            </w:tcBorders>
            <w:shd w:val="clear" w:color="auto" w:fill="auto"/>
            <w:noWrap/>
            <w:tcMar>
              <w:top w:w="15" w:type="dxa"/>
              <w:left w:w="15" w:type="dxa"/>
              <w:right w:w="15" w:type="dxa"/>
            </w:tcMar>
            <w:vAlign w:val="center"/>
          </w:tcPr>
          <w:p w14:paraId="0D848A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135</w:t>
            </w:r>
          </w:p>
        </w:tc>
        <w:tc>
          <w:tcPr>
            <w:tcW w:w="1799" w:type="dxa"/>
            <w:tcBorders>
              <w:tl2br w:val="nil"/>
              <w:tr2bl w:val="nil"/>
            </w:tcBorders>
            <w:shd w:val="clear" w:color="auto" w:fill="auto"/>
            <w:noWrap/>
            <w:tcMar>
              <w:top w:w="15" w:type="dxa"/>
              <w:left w:w="15" w:type="dxa"/>
              <w:right w:w="15" w:type="dxa"/>
            </w:tcMar>
            <w:vAlign w:val="center"/>
          </w:tcPr>
          <w:p w14:paraId="21392A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40</w:t>
            </w:r>
          </w:p>
        </w:tc>
      </w:tr>
      <w:tr w14:paraId="4785CF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2" w:hRule="atLeast"/>
          <w:tblHeader/>
          <w:jc w:val="center"/>
        </w:trPr>
        <w:tc>
          <w:tcPr>
            <w:tcW w:w="6960" w:type="dxa"/>
            <w:gridSpan w:val="4"/>
            <w:tcBorders>
              <w:tl2br w:val="nil"/>
              <w:tr2bl w:val="nil"/>
            </w:tcBorders>
            <w:shd w:val="clear" w:color="auto" w:fill="auto"/>
            <w:noWrap/>
            <w:tcMar>
              <w:top w:w="15" w:type="dxa"/>
              <w:left w:w="15" w:type="dxa"/>
              <w:right w:w="15" w:type="dxa"/>
            </w:tcMar>
            <w:vAlign w:val="center"/>
          </w:tcPr>
          <w:p w14:paraId="2AEEB5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达标情况</w:t>
            </w:r>
          </w:p>
        </w:tc>
        <w:tc>
          <w:tcPr>
            <w:tcW w:w="853" w:type="dxa"/>
            <w:tcBorders>
              <w:tl2br w:val="nil"/>
              <w:tr2bl w:val="nil"/>
            </w:tcBorders>
            <w:shd w:val="clear" w:color="auto" w:fill="auto"/>
            <w:noWrap/>
            <w:tcMar>
              <w:top w:w="15" w:type="dxa"/>
              <w:left w:w="15" w:type="dxa"/>
              <w:right w:w="15" w:type="dxa"/>
            </w:tcMar>
            <w:vAlign w:val="center"/>
          </w:tcPr>
          <w:p w14:paraId="505C3C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达标</w:t>
            </w:r>
          </w:p>
        </w:tc>
        <w:tc>
          <w:tcPr>
            <w:tcW w:w="1799" w:type="dxa"/>
            <w:tcBorders>
              <w:tl2br w:val="nil"/>
              <w:tr2bl w:val="nil"/>
            </w:tcBorders>
            <w:shd w:val="clear" w:color="auto" w:fill="auto"/>
            <w:noWrap/>
            <w:tcMar>
              <w:top w:w="15" w:type="dxa"/>
              <w:left w:w="15" w:type="dxa"/>
              <w:right w:w="15" w:type="dxa"/>
            </w:tcMar>
            <w:vAlign w:val="center"/>
          </w:tcPr>
          <w:p w14:paraId="08CAEE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达标</w:t>
            </w:r>
          </w:p>
        </w:tc>
      </w:tr>
    </w:tbl>
    <w:p w14:paraId="019DB555">
      <w:pPr>
        <w:numPr>
          <w:ilvl w:val="0"/>
          <w:numId w:val="0"/>
        </w:numPr>
        <w:spacing w:line="240" w:lineRule="auto"/>
        <w:ind w:leftChars="0"/>
        <w:rPr>
          <w:rFonts w:hint="default" w:ascii="Times New Roman" w:hAnsi="Times New Roman" w:cs="Times New Roman"/>
          <w:b/>
          <w:bCs/>
          <w:sz w:val="18"/>
          <w:szCs w:val="18"/>
          <w:highlight w:val="none"/>
          <w:lang w:eastAsia="zh-CN"/>
        </w:rPr>
      </w:pPr>
      <w:r>
        <w:rPr>
          <w:rFonts w:hint="default" w:ascii="Times New Roman" w:hAnsi="Times New Roman" w:cs="Times New Roman"/>
          <w:b/>
          <w:bCs/>
          <w:sz w:val="18"/>
          <w:szCs w:val="18"/>
          <w:highlight w:val="none"/>
          <w:lang w:eastAsia="zh-CN"/>
        </w:rPr>
        <w:t>注：①“</w:t>
      </w:r>
      <w:r>
        <w:rPr>
          <w:rFonts w:hint="default" w:ascii="Times New Roman" w:hAnsi="Times New Roman" w:cs="Times New Roman"/>
          <w:b/>
          <w:bCs/>
          <w:sz w:val="18"/>
          <w:szCs w:val="18"/>
          <w:highlight w:val="none"/>
          <w:lang w:val="en-US" w:eastAsia="zh-CN"/>
        </w:rPr>
        <w:t>/</w:t>
      </w:r>
      <w:r>
        <w:rPr>
          <w:rFonts w:hint="default" w:ascii="Times New Roman" w:hAnsi="Times New Roman" w:cs="Times New Roman"/>
          <w:b/>
          <w:bCs/>
          <w:sz w:val="18"/>
          <w:szCs w:val="18"/>
          <w:highlight w:val="none"/>
          <w:lang w:eastAsia="zh-CN"/>
        </w:rPr>
        <w:t>”含义为：根据</w:t>
      </w:r>
      <w:r>
        <w:rPr>
          <w:rFonts w:hint="default" w:ascii="Times New Roman" w:hAnsi="Times New Roman" w:cs="Times New Roman"/>
          <w:b/>
          <w:bCs/>
          <w:sz w:val="18"/>
          <w:szCs w:val="18"/>
          <w:highlight w:val="none"/>
          <w:lang w:val="en-US" w:eastAsia="zh-CN"/>
        </w:rPr>
        <w:t>监测方案，该污染物指标不是</w:t>
      </w:r>
      <w:r>
        <w:rPr>
          <w:rFonts w:hint="default" w:ascii="Times New Roman" w:hAnsi="Times New Roman" w:cs="Times New Roman"/>
          <w:b/>
          <w:bCs/>
          <w:sz w:val="18"/>
          <w:szCs w:val="18"/>
          <w:highlight w:val="none"/>
          <w:lang w:eastAsia="zh-CN"/>
        </w:rPr>
        <w:t>此点位的特征污染物，故未检测。</w:t>
      </w:r>
    </w:p>
    <w:p w14:paraId="105A0333">
      <w:pPr>
        <w:numPr>
          <w:ilvl w:val="0"/>
          <w:numId w:val="0"/>
        </w:numPr>
        <w:spacing w:line="360" w:lineRule="auto"/>
        <w:ind w:leftChars="0" w:firstLine="420" w:firstLineChars="0"/>
        <w:rPr>
          <w:rFonts w:hint="default" w:ascii="Times New Roman" w:hAnsi="Times New Roman" w:cs="Times New Roman"/>
          <w:b/>
          <w:bCs/>
          <w:sz w:val="24"/>
          <w:highlight w:val="none"/>
          <w:lang w:val="en-US" w:eastAsia="zh-CN"/>
        </w:rPr>
      </w:pPr>
      <w:r>
        <w:rPr>
          <w:rFonts w:hint="default" w:ascii="Times New Roman" w:hAnsi="Times New Roman" w:cs="Times New Roman"/>
          <w:b/>
          <w:bCs/>
          <w:sz w:val="24"/>
          <w:highlight w:val="none"/>
          <w:lang w:val="en-US" w:eastAsia="zh-CN"/>
        </w:rPr>
        <w:t>（6）石油烃（C</w:t>
      </w:r>
      <w:r>
        <w:rPr>
          <w:rFonts w:hint="default" w:ascii="Times New Roman" w:hAnsi="Times New Roman" w:cs="Times New Roman"/>
          <w:b/>
          <w:bCs/>
          <w:sz w:val="24"/>
          <w:highlight w:val="none"/>
          <w:vertAlign w:val="subscript"/>
          <w:lang w:val="en-US" w:eastAsia="zh-CN"/>
        </w:rPr>
        <w:t>10</w:t>
      </w:r>
      <w:r>
        <w:rPr>
          <w:rFonts w:hint="default" w:ascii="Times New Roman" w:hAnsi="Times New Roman" w:cs="Times New Roman"/>
          <w:b/>
          <w:bCs/>
          <w:sz w:val="24"/>
          <w:highlight w:val="none"/>
          <w:lang w:val="en-US" w:eastAsia="zh-CN"/>
        </w:rPr>
        <w:t>-C</w:t>
      </w:r>
      <w:r>
        <w:rPr>
          <w:rFonts w:hint="default" w:ascii="Times New Roman" w:hAnsi="Times New Roman" w:cs="Times New Roman"/>
          <w:b/>
          <w:bCs/>
          <w:sz w:val="24"/>
          <w:highlight w:val="none"/>
          <w:vertAlign w:val="subscript"/>
          <w:lang w:val="en-US" w:eastAsia="zh-CN"/>
        </w:rPr>
        <w:t>40</w:t>
      </w:r>
      <w:r>
        <w:rPr>
          <w:rFonts w:hint="default" w:ascii="Times New Roman" w:hAnsi="Times New Roman" w:cs="Times New Roman"/>
          <w:b/>
          <w:bCs/>
          <w:sz w:val="24"/>
          <w:highlight w:val="none"/>
          <w:lang w:val="en-US" w:eastAsia="zh-CN"/>
        </w:rPr>
        <w:t>）</w:t>
      </w:r>
    </w:p>
    <w:p w14:paraId="45494AED">
      <w:pPr>
        <w:pStyle w:val="2"/>
        <w:keepNext w:val="0"/>
        <w:keepLines w:val="0"/>
        <w:pageBreakBefore w:val="0"/>
        <w:widowControl w:val="0"/>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highlight w:val="none"/>
        </w:rPr>
      </w:pPr>
      <w:r>
        <w:rPr>
          <w:rFonts w:hint="default" w:ascii="Times New Roman" w:hAnsi="Times New Roman" w:cs="Times New Roman"/>
          <w:sz w:val="24"/>
          <w:highlight w:val="none"/>
          <w:lang w:eastAsia="zh-CN"/>
        </w:rPr>
        <w:t>调查范围</w:t>
      </w:r>
      <w:r>
        <w:rPr>
          <w:rFonts w:hint="default" w:ascii="Times New Roman" w:hAnsi="Times New Roman" w:cs="Times New Roman"/>
          <w:sz w:val="24"/>
          <w:highlight w:val="none"/>
        </w:rPr>
        <w:t>内</w:t>
      </w:r>
      <w:r>
        <w:rPr>
          <w:rFonts w:hint="default" w:ascii="Times New Roman" w:hAnsi="Times New Roman" w:cs="Times New Roman"/>
          <w:sz w:val="24"/>
          <w:highlight w:val="none"/>
          <w:lang w:val="en-US" w:eastAsia="zh-CN"/>
        </w:rPr>
        <w:t>20</w:t>
      </w:r>
      <w:r>
        <w:rPr>
          <w:rFonts w:hint="default" w:ascii="Times New Roman" w:hAnsi="Times New Roman" w:cs="Times New Roman"/>
          <w:sz w:val="24"/>
          <w:highlight w:val="none"/>
        </w:rPr>
        <w:t>个</w:t>
      </w:r>
      <w:r>
        <w:rPr>
          <w:rFonts w:hint="eastAsia" w:cs="Times New Roman"/>
          <w:sz w:val="24"/>
          <w:highlight w:val="none"/>
          <w:lang w:val="en-US" w:eastAsia="zh-CN"/>
        </w:rPr>
        <w:t>土壤样品（不含质控样品）均检测了石油</w:t>
      </w:r>
      <w:r>
        <w:rPr>
          <w:rFonts w:hint="eastAsia" w:cs="Times New Roman"/>
          <w:b w:val="0"/>
          <w:bCs w:val="0"/>
          <w:sz w:val="24"/>
          <w:highlight w:val="none"/>
          <w:lang w:val="en-US" w:eastAsia="zh-CN"/>
        </w:rPr>
        <w:t>烃</w:t>
      </w:r>
      <w:r>
        <w:rPr>
          <w:rFonts w:hint="default" w:ascii="Times New Roman" w:hAnsi="Times New Roman" w:eastAsia="黑体" w:cs="Times New Roman"/>
          <w:b w:val="0"/>
          <w:bCs w:val="0"/>
          <w:sz w:val="24"/>
          <w:highlight w:val="none"/>
          <w:lang w:val="en-US" w:eastAsia="zh-CN"/>
        </w:rPr>
        <w:t>（C</w:t>
      </w:r>
      <w:r>
        <w:rPr>
          <w:rFonts w:hint="default" w:ascii="Times New Roman" w:hAnsi="Times New Roman" w:eastAsia="黑体" w:cs="Times New Roman"/>
          <w:b w:val="0"/>
          <w:bCs w:val="0"/>
          <w:sz w:val="24"/>
          <w:highlight w:val="none"/>
          <w:vertAlign w:val="subscript"/>
          <w:lang w:val="en-US" w:eastAsia="zh-CN"/>
        </w:rPr>
        <w:t>10</w:t>
      </w:r>
      <w:r>
        <w:rPr>
          <w:rFonts w:hint="default" w:ascii="Times New Roman" w:hAnsi="Times New Roman" w:eastAsia="黑体" w:cs="Times New Roman"/>
          <w:b w:val="0"/>
          <w:bCs w:val="0"/>
          <w:sz w:val="24"/>
          <w:highlight w:val="none"/>
          <w:lang w:val="en-US" w:eastAsia="zh-CN"/>
        </w:rPr>
        <w:t>-C</w:t>
      </w:r>
      <w:r>
        <w:rPr>
          <w:rFonts w:hint="default" w:ascii="Times New Roman" w:hAnsi="Times New Roman" w:eastAsia="黑体" w:cs="Times New Roman"/>
          <w:b w:val="0"/>
          <w:bCs w:val="0"/>
          <w:sz w:val="24"/>
          <w:highlight w:val="none"/>
          <w:vertAlign w:val="subscript"/>
          <w:lang w:val="en-US" w:eastAsia="zh-CN"/>
        </w:rPr>
        <w:t>40</w:t>
      </w:r>
      <w:r>
        <w:rPr>
          <w:rFonts w:hint="default" w:ascii="Times New Roman" w:hAnsi="Times New Roman" w:eastAsia="黑体" w:cs="Times New Roman"/>
          <w:b w:val="0"/>
          <w:bCs w:val="0"/>
          <w:sz w:val="24"/>
          <w:highlight w:val="none"/>
          <w:lang w:val="en-US" w:eastAsia="zh-CN"/>
        </w:rPr>
        <w:t>）</w:t>
      </w:r>
      <w:r>
        <w:rPr>
          <w:rFonts w:hint="default" w:ascii="Times New Roman" w:hAnsi="Times New Roman" w:cs="Times New Roman"/>
          <w:sz w:val="24"/>
          <w:highlight w:val="none"/>
          <w:lang w:val="en-US" w:eastAsia="zh-CN"/>
        </w:rPr>
        <w:t>。</w:t>
      </w:r>
      <w:r>
        <w:rPr>
          <w:rFonts w:hint="default" w:ascii="Times New Roman" w:hAnsi="Times New Roman" w:cs="Times New Roman"/>
          <w:sz w:val="24"/>
          <w:highlight w:val="none"/>
        </w:rPr>
        <w:t>检测结果显示，</w:t>
      </w:r>
      <w:r>
        <w:rPr>
          <w:rFonts w:hint="default" w:ascii="Times New Roman" w:hAnsi="Times New Roman" w:cs="Times New Roman"/>
          <w:sz w:val="24"/>
          <w:highlight w:val="none"/>
          <w:lang w:eastAsia="zh-CN"/>
        </w:rPr>
        <w:t>其中</w:t>
      </w:r>
      <w:r>
        <w:rPr>
          <w:rFonts w:hint="default" w:ascii="Times New Roman" w:hAnsi="Times New Roman" w:cs="Times New Roman"/>
          <w:sz w:val="24"/>
          <w:highlight w:val="none"/>
          <w:lang w:val="en-US" w:eastAsia="zh-CN"/>
        </w:rPr>
        <w:t>HR-3-75、HR-4-75、HR-4-200、HR-5、HR-6、HR-JJ-1、HR-JJ-2、HR-JJ-3、HR-JJ-5、HR-JJ-6中石油烃未检出，检出样品中石油烃指标最大值为260mg/kg。</w:t>
      </w:r>
      <w:r>
        <w:rPr>
          <w:rFonts w:hint="default" w:ascii="Times New Roman" w:hAnsi="Times New Roman" w:cs="Times New Roman"/>
          <w:sz w:val="24"/>
          <w:szCs w:val="24"/>
          <w:highlight w:val="none"/>
        </w:rPr>
        <w:t>本次调查所有送检土壤样品</w:t>
      </w:r>
      <w:r>
        <w:rPr>
          <w:rFonts w:hint="default" w:ascii="Times New Roman" w:hAnsi="Times New Roman" w:cs="Times New Roman"/>
          <w:sz w:val="24"/>
          <w:szCs w:val="24"/>
          <w:highlight w:val="none"/>
          <w:lang w:eastAsia="zh-CN"/>
        </w:rPr>
        <w:t>无机物污染项目</w:t>
      </w:r>
      <w:r>
        <w:rPr>
          <w:rFonts w:hint="default" w:ascii="Times New Roman" w:hAnsi="Times New Roman" w:cs="Times New Roman"/>
          <w:sz w:val="24"/>
          <w:szCs w:val="24"/>
          <w:highlight w:val="none"/>
        </w:rPr>
        <w:t>检测值均低于</w:t>
      </w:r>
      <w:r>
        <w:rPr>
          <w:rFonts w:hint="default" w:ascii="Times New Roman" w:hAnsi="Times New Roman" w:cs="Times New Roman"/>
          <w:sz w:val="24"/>
          <w:szCs w:val="24"/>
          <w:highlight w:val="none"/>
          <w:lang w:eastAsia="zh-CN"/>
        </w:rPr>
        <w:t>表</w:t>
      </w:r>
      <w:r>
        <w:rPr>
          <w:rFonts w:hint="default" w:ascii="Times New Roman" w:hAnsi="Times New Roman" w:cs="Times New Roman"/>
          <w:sz w:val="24"/>
          <w:szCs w:val="24"/>
          <w:highlight w:val="none"/>
          <w:lang w:val="en-US" w:eastAsia="zh-CN"/>
        </w:rPr>
        <w:t>5-1-1中的参考标准值，</w:t>
      </w:r>
      <w:r>
        <w:rPr>
          <w:rFonts w:hint="default" w:ascii="Times New Roman" w:hAnsi="Times New Roman" w:cs="Times New Roman"/>
          <w:sz w:val="24"/>
          <w:highlight w:val="none"/>
          <w:lang w:val="en-US" w:eastAsia="zh-CN"/>
        </w:rPr>
        <w:t>具体监测值见表5-3-5。</w:t>
      </w:r>
    </w:p>
    <w:p w14:paraId="56CCA4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0"/>
        <w:jc w:val="center"/>
        <w:textAlignment w:val="auto"/>
        <w:rPr>
          <w:rFonts w:hint="default" w:ascii="Times New Roman" w:hAnsi="Times New Roman" w:eastAsia="黑体" w:cs="Times New Roman"/>
          <w:b/>
          <w:highlight w:val="none"/>
        </w:rPr>
      </w:pPr>
      <w:r>
        <w:rPr>
          <w:rFonts w:hint="default" w:ascii="Times New Roman" w:hAnsi="Times New Roman" w:eastAsia="黑体" w:cs="Times New Roman"/>
          <w:b/>
          <w:bCs/>
          <w:color w:val="000000"/>
          <w:sz w:val="24"/>
          <w:highlight w:val="none"/>
        </w:rPr>
        <w:t>表5-</w:t>
      </w:r>
      <w:r>
        <w:rPr>
          <w:rFonts w:hint="default" w:ascii="Times New Roman" w:hAnsi="Times New Roman" w:eastAsia="黑体" w:cs="Times New Roman"/>
          <w:b/>
          <w:bCs/>
          <w:color w:val="000000"/>
          <w:sz w:val="24"/>
          <w:highlight w:val="none"/>
          <w:lang w:val="en-US" w:eastAsia="zh-CN"/>
        </w:rPr>
        <w:t>3</w:t>
      </w:r>
      <w:r>
        <w:rPr>
          <w:rFonts w:hint="default" w:ascii="Times New Roman" w:hAnsi="Times New Roman" w:eastAsia="黑体" w:cs="Times New Roman"/>
          <w:b/>
          <w:bCs/>
          <w:color w:val="000000"/>
          <w:sz w:val="24"/>
          <w:highlight w:val="none"/>
        </w:rPr>
        <w:t>-</w:t>
      </w:r>
      <w:r>
        <w:rPr>
          <w:rFonts w:hint="default" w:ascii="Times New Roman" w:hAnsi="Times New Roman" w:eastAsia="黑体" w:cs="Times New Roman"/>
          <w:b/>
          <w:bCs/>
          <w:color w:val="000000"/>
          <w:sz w:val="24"/>
          <w:highlight w:val="none"/>
          <w:lang w:val="en-US" w:eastAsia="zh-CN"/>
        </w:rPr>
        <w:t>5</w:t>
      </w:r>
      <w:r>
        <w:rPr>
          <w:rFonts w:hint="default" w:ascii="Times New Roman" w:hAnsi="Times New Roman" w:eastAsia="黑体" w:cs="Times New Roman"/>
          <w:b/>
          <w:bCs/>
          <w:color w:val="000000"/>
          <w:sz w:val="24"/>
          <w:highlight w:val="none"/>
        </w:rPr>
        <w:t xml:space="preserve"> </w:t>
      </w:r>
      <w:r>
        <w:rPr>
          <w:rFonts w:hint="default" w:ascii="Times New Roman" w:hAnsi="Times New Roman" w:eastAsia="黑体" w:cs="Times New Roman"/>
          <w:b/>
          <w:bCs/>
          <w:sz w:val="24"/>
          <w:highlight w:val="none"/>
          <w:lang w:val="en-US" w:eastAsia="zh-CN"/>
        </w:rPr>
        <w:t>石油烃（C</w:t>
      </w:r>
      <w:r>
        <w:rPr>
          <w:rFonts w:hint="default" w:ascii="Times New Roman" w:hAnsi="Times New Roman" w:eastAsia="黑体" w:cs="Times New Roman"/>
          <w:b/>
          <w:bCs/>
          <w:sz w:val="24"/>
          <w:highlight w:val="none"/>
          <w:vertAlign w:val="subscript"/>
          <w:lang w:val="en-US" w:eastAsia="zh-CN"/>
        </w:rPr>
        <w:t>10</w:t>
      </w:r>
      <w:r>
        <w:rPr>
          <w:rFonts w:hint="default" w:ascii="Times New Roman" w:hAnsi="Times New Roman" w:eastAsia="黑体" w:cs="Times New Roman"/>
          <w:b/>
          <w:bCs/>
          <w:sz w:val="24"/>
          <w:highlight w:val="none"/>
          <w:lang w:val="en-US" w:eastAsia="zh-CN"/>
        </w:rPr>
        <w:t>-C</w:t>
      </w:r>
      <w:r>
        <w:rPr>
          <w:rFonts w:hint="default" w:ascii="Times New Roman" w:hAnsi="Times New Roman" w:eastAsia="黑体" w:cs="Times New Roman"/>
          <w:b/>
          <w:bCs/>
          <w:sz w:val="24"/>
          <w:highlight w:val="none"/>
          <w:vertAlign w:val="subscript"/>
          <w:lang w:val="en-US" w:eastAsia="zh-CN"/>
        </w:rPr>
        <w:t>40</w:t>
      </w:r>
      <w:r>
        <w:rPr>
          <w:rFonts w:hint="default" w:ascii="Times New Roman" w:hAnsi="Times New Roman" w:eastAsia="黑体" w:cs="Times New Roman"/>
          <w:b/>
          <w:bCs/>
          <w:sz w:val="24"/>
          <w:highlight w:val="none"/>
          <w:lang w:val="en-US" w:eastAsia="zh-CN"/>
        </w:rPr>
        <w:t>）</w:t>
      </w:r>
      <w:r>
        <w:rPr>
          <w:rFonts w:hint="default" w:ascii="Times New Roman" w:hAnsi="Times New Roman" w:eastAsia="黑体" w:cs="Times New Roman"/>
          <w:b/>
          <w:bCs/>
          <w:color w:val="000000"/>
          <w:sz w:val="24"/>
          <w:highlight w:val="none"/>
        </w:rPr>
        <w:t>监测值  （单位：mg/kg）</w:t>
      </w:r>
    </w:p>
    <w:tbl>
      <w:tblPr>
        <w:tblStyle w:val="21"/>
        <w:tblW w:w="961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960"/>
        <w:gridCol w:w="1173"/>
        <w:gridCol w:w="2787"/>
        <w:gridCol w:w="2733"/>
        <w:gridCol w:w="1959"/>
      </w:tblGrid>
      <w:tr w14:paraId="1D2997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tblHeader/>
          <w:jc w:val="center"/>
        </w:trPr>
        <w:tc>
          <w:tcPr>
            <w:tcW w:w="960" w:type="dxa"/>
            <w:tcBorders>
              <w:bottom w:val="single" w:color="auto" w:sz="12" w:space="0"/>
            </w:tcBorders>
            <w:shd w:val="clear" w:color="auto" w:fill="auto"/>
            <w:noWrap/>
            <w:tcMar>
              <w:top w:w="15" w:type="dxa"/>
              <w:left w:w="15" w:type="dxa"/>
              <w:right w:w="15" w:type="dxa"/>
            </w:tcMar>
            <w:vAlign w:val="center"/>
          </w:tcPr>
          <w:p w14:paraId="52D419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序号</w:t>
            </w:r>
          </w:p>
        </w:tc>
        <w:tc>
          <w:tcPr>
            <w:tcW w:w="1173" w:type="dxa"/>
            <w:tcBorders>
              <w:bottom w:val="single" w:color="auto" w:sz="12" w:space="0"/>
            </w:tcBorders>
            <w:shd w:val="clear" w:color="auto" w:fill="auto"/>
            <w:noWrap/>
            <w:tcMar>
              <w:top w:w="15" w:type="dxa"/>
              <w:left w:w="15" w:type="dxa"/>
              <w:right w:w="15" w:type="dxa"/>
            </w:tcMar>
            <w:vAlign w:val="center"/>
          </w:tcPr>
          <w:p w14:paraId="01A634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样品编号</w:t>
            </w:r>
          </w:p>
        </w:tc>
        <w:tc>
          <w:tcPr>
            <w:tcW w:w="2787" w:type="dxa"/>
            <w:tcBorders>
              <w:bottom w:val="single" w:color="auto" w:sz="12" w:space="0"/>
            </w:tcBorders>
            <w:shd w:val="clear" w:color="auto" w:fill="auto"/>
            <w:noWrap/>
            <w:tcMar>
              <w:top w:w="15" w:type="dxa"/>
              <w:left w:w="15" w:type="dxa"/>
              <w:right w:w="15" w:type="dxa"/>
            </w:tcMar>
            <w:vAlign w:val="center"/>
          </w:tcPr>
          <w:p w14:paraId="47ED2626">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i w:val="0"/>
                <w:color w:val="000000"/>
                <w:kern w:val="0"/>
                <w:sz w:val="21"/>
                <w:szCs w:val="21"/>
                <w:highlight w:val="none"/>
                <w:u w:val="none"/>
                <w:lang w:val="en-US" w:eastAsia="zh-CN" w:bidi="ar"/>
              </w:rPr>
            </w:pPr>
            <w:r>
              <w:rPr>
                <w:rFonts w:hint="eastAsia"/>
                <w:b/>
                <w:color w:val="000000"/>
                <w:kern w:val="0"/>
                <w:sz w:val="21"/>
                <w:szCs w:val="21"/>
                <w:highlight w:val="none"/>
                <w:lang w:val="en-US" w:eastAsia="zh-CN" w:bidi="ar"/>
              </w:rPr>
              <w:t>点位位置</w:t>
            </w:r>
          </w:p>
        </w:tc>
        <w:tc>
          <w:tcPr>
            <w:tcW w:w="2733" w:type="dxa"/>
            <w:tcBorders>
              <w:bottom w:val="single" w:color="auto" w:sz="12" w:space="0"/>
            </w:tcBorders>
            <w:shd w:val="clear" w:color="auto" w:fill="auto"/>
            <w:noWrap/>
            <w:tcMar>
              <w:top w:w="15" w:type="dxa"/>
              <w:left w:w="15" w:type="dxa"/>
              <w:right w:w="15" w:type="dxa"/>
            </w:tcMar>
            <w:vAlign w:val="center"/>
          </w:tcPr>
          <w:p w14:paraId="0539C5DB">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i w:val="0"/>
                <w:color w:val="000000"/>
                <w:kern w:val="0"/>
                <w:sz w:val="21"/>
                <w:szCs w:val="21"/>
                <w:highlight w:val="none"/>
                <w:u w:val="none"/>
                <w:lang w:val="en-US" w:eastAsia="zh-CN" w:bidi="ar"/>
              </w:rPr>
            </w:pPr>
            <w:r>
              <w:rPr>
                <w:rFonts w:hint="eastAsia"/>
                <w:b/>
                <w:bCs/>
                <w:color w:val="000000"/>
                <w:kern w:val="0"/>
                <w:sz w:val="21"/>
                <w:szCs w:val="21"/>
                <w:highlight w:val="none"/>
                <w:lang w:val="en-US" w:eastAsia="zh-CN" w:bidi="ar"/>
              </w:rPr>
              <w:t>参考标准</w:t>
            </w:r>
          </w:p>
        </w:tc>
        <w:tc>
          <w:tcPr>
            <w:tcW w:w="1959" w:type="dxa"/>
            <w:tcBorders>
              <w:bottom w:val="single" w:color="auto" w:sz="12" w:space="0"/>
            </w:tcBorders>
            <w:shd w:val="clear" w:color="auto" w:fill="auto"/>
            <w:noWrap/>
            <w:tcMar>
              <w:top w:w="15" w:type="dxa"/>
              <w:left w:w="15" w:type="dxa"/>
              <w:right w:w="15" w:type="dxa"/>
            </w:tcMar>
            <w:vAlign w:val="center"/>
          </w:tcPr>
          <w:p w14:paraId="158329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sz w:val="21"/>
                <w:szCs w:val="21"/>
                <w:highlight w:val="none"/>
                <w:u w:val="none"/>
              </w:rPr>
              <w:t>石油烃（C</w:t>
            </w:r>
            <w:r>
              <w:rPr>
                <w:rFonts w:hint="default" w:ascii="Times New Roman" w:hAnsi="Times New Roman" w:eastAsia="宋体" w:cs="Times New Roman"/>
                <w:b/>
                <w:i w:val="0"/>
                <w:color w:val="000000"/>
                <w:sz w:val="21"/>
                <w:szCs w:val="21"/>
                <w:highlight w:val="none"/>
                <w:u w:val="none"/>
                <w:vertAlign w:val="subscript"/>
              </w:rPr>
              <w:t>10</w:t>
            </w:r>
            <w:r>
              <w:rPr>
                <w:rFonts w:hint="default" w:ascii="Times New Roman" w:hAnsi="Times New Roman" w:eastAsia="宋体" w:cs="Times New Roman"/>
                <w:b/>
                <w:i w:val="0"/>
                <w:color w:val="000000"/>
                <w:sz w:val="21"/>
                <w:szCs w:val="21"/>
                <w:highlight w:val="none"/>
                <w:u w:val="none"/>
              </w:rPr>
              <w:t>-C</w:t>
            </w:r>
            <w:r>
              <w:rPr>
                <w:rFonts w:hint="default" w:ascii="Times New Roman" w:hAnsi="Times New Roman" w:eastAsia="宋体" w:cs="Times New Roman"/>
                <w:b/>
                <w:i w:val="0"/>
                <w:color w:val="000000"/>
                <w:sz w:val="21"/>
                <w:szCs w:val="21"/>
                <w:highlight w:val="none"/>
                <w:u w:val="none"/>
                <w:vertAlign w:val="subscript"/>
              </w:rPr>
              <w:t>40</w:t>
            </w:r>
            <w:r>
              <w:rPr>
                <w:rFonts w:hint="default" w:ascii="Times New Roman" w:hAnsi="Times New Roman" w:eastAsia="宋体" w:cs="Times New Roman"/>
                <w:b/>
                <w:i w:val="0"/>
                <w:color w:val="000000"/>
                <w:sz w:val="21"/>
                <w:szCs w:val="21"/>
                <w:highlight w:val="none"/>
                <w:u w:val="none"/>
              </w:rPr>
              <w:t>）</w:t>
            </w:r>
          </w:p>
        </w:tc>
      </w:tr>
      <w:tr w14:paraId="69E4BD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960" w:type="dxa"/>
            <w:tcBorders>
              <w:top w:val="single" w:color="auto" w:sz="12" w:space="0"/>
              <w:tl2br w:val="nil"/>
              <w:tr2bl w:val="nil"/>
            </w:tcBorders>
            <w:shd w:val="clear" w:color="auto" w:fill="auto"/>
            <w:noWrap/>
            <w:tcMar>
              <w:top w:w="15" w:type="dxa"/>
              <w:left w:w="15" w:type="dxa"/>
              <w:right w:w="15" w:type="dxa"/>
            </w:tcMar>
            <w:vAlign w:val="center"/>
          </w:tcPr>
          <w:p w14:paraId="528349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w:t>
            </w:r>
          </w:p>
        </w:tc>
        <w:tc>
          <w:tcPr>
            <w:tcW w:w="1173" w:type="dxa"/>
            <w:tcBorders>
              <w:top w:val="single" w:color="auto" w:sz="12" w:space="0"/>
              <w:tl2br w:val="nil"/>
              <w:tr2bl w:val="nil"/>
            </w:tcBorders>
            <w:shd w:val="clear" w:color="auto" w:fill="auto"/>
            <w:noWrap/>
            <w:tcMar>
              <w:top w:w="15" w:type="dxa"/>
              <w:left w:w="15" w:type="dxa"/>
              <w:right w:w="15" w:type="dxa"/>
            </w:tcMar>
            <w:vAlign w:val="center"/>
          </w:tcPr>
          <w:p w14:paraId="3719DF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HR-1-75</w:t>
            </w:r>
          </w:p>
        </w:tc>
        <w:tc>
          <w:tcPr>
            <w:tcW w:w="2787" w:type="dxa"/>
            <w:tcBorders>
              <w:top w:val="single" w:color="auto" w:sz="12" w:space="0"/>
              <w:tl2br w:val="nil"/>
              <w:tr2bl w:val="nil"/>
            </w:tcBorders>
            <w:shd w:val="clear" w:color="auto" w:fill="auto"/>
            <w:noWrap/>
            <w:tcMar>
              <w:top w:w="15" w:type="dxa"/>
              <w:left w:w="15" w:type="dxa"/>
              <w:right w:w="15" w:type="dxa"/>
            </w:tcMar>
            <w:vAlign w:val="center"/>
          </w:tcPr>
          <w:p w14:paraId="06C84F87">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园区边界西侧下风向75m</w:t>
            </w:r>
          </w:p>
        </w:tc>
        <w:tc>
          <w:tcPr>
            <w:tcW w:w="2733" w:type="dxa"/>
            <w:tcBorders>
              <w:top w:val="single" w:color="auto" w:sz="12" w:space="0"/>
              <w:tl2br w:val="nil"/>
              <w:tr2bl w:val="nil"/>
            </w:tcBorders>
            <w:shd w:val="clear" w:color="auto" w:fill="auto"/>
            <w:noWrap/>
            <w:tcMar>
              <w:top w:w="15" w:type="dxa"/>
              <w:left w:w="15" w:type="dxa"/>
              <w:right w:w="15" w:type="dxa"/>
            </w:tcMar>
            <w:vAlign w:val="center"/>
          </w:tcPr>
          <w:p w14:paraId="4B527F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kern w:val="2"/>
                <w:sz w:val="21"/>
                <w:szCs w:val="21"/>
                <w:highlight w:val="none"/>
                <w:u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GB36600第二类用地筛选值</w:t>
            </w:r>
          </w:p>
        </w:tc>
        <w:tc>
          <w:tcPr>
            <w:tcW w:w="1959" w:type="dxa"/>
            <w:tcBorders>
              <w:top w:val="single" w:color="auto" w:sz="12" w:space="0"/>
              <w:tl2br w:val="nil"/>
              <w:tr2bl w:val="nil"/>
            </w:tcBorders>
            <w:shd w:val="clear" w:color="auto" w:fill="auto"/>
            <w:noWrap/>
            <w:tcMar>
              <w:top w:w="15" w:type="dxa"/>
              <w:left w:w="15" w:type="dxa"/>
              <w:right w:w="15" w:type="dxa"/>
            </w:tcMar>
            <w:vAlign w:val="center"/>
          </w:tcPr>
          <w:p w14:paraId="70AA34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15</w:t>
            </w:r>
          </w:p>
        </w:tc>
      </w:tr>
      <w:tr w14:paraId="4D23CB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960" w:type="dxa"/>
            <w:tcBorders>
              <w:tl2br w:val="nil"/>
              <w:tr2bl w:val="nil"/>
            </w:tcBorders>
            <w:shd w:val="clear" w:color="auto" w:fill="auto"/>
            <w:noWrap/>
            <w:tcMar>
              <w:top w:w="15" w:type="dxa"/>
              <w:left w:w="15" w:type="dxa"/>
              <w:right w:w="15" w:type="dxa"/>
            </w:tcMar>
            <w:vAlign w:val="center"/>
          </w:tcPr>
          <w:p w14:paraId="7249E4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w:t>
            </w:r>
          </w:p>
        </w:tc>
        <w:tc>
          <w:tcPr>
            <w:tcW w:w="1173" w:type="dxa"/>
            <w:tcBorders>
              <w:tl2br w:val="nil"/>
              <w:tr2bl w:val="nil"/>
            </w:tcBorders>
            <w:shd w:val="clear" w:color="auto" w:fill="auto"/>
            <w:noWrap/>
            <w:tcMar>
              <w:top w:w="15" w:type="dxa"/>
              <w:left w:w="15" w:type="dxa"/>
              <w:right w:w="15" w:type="dxa"/>
            </w:tcMar>
            <w:vAlign w:val="center"/>
          </w:tcPr>
          <w:p w14:paraId="72BE44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HR-1-200</w:t>
            </w:r>
          </w:p>
        </w:tc>
        <w:tc>
          <w:tcPr>
            <w:tcW w:w="2787" w:type="dxa"/>
            <w:tcBorders>
              <w:tl2br w:val="nil"/>
              <w:tr2bl w:val="nil"/>
            </w:tcBorders>
            <w:shd w:val="clear" w:color="auto" w:fill="auto"/>
            <w:noWrap/>
            <w:tcMar>
              <w:top w:w="15" w:type="dxa"/>
              <w:left w:w="15" w:type="dxa"/>
              <w:right w:w="15" w:type="dxa"/>
            </w:tcMar>
            <w:vAlign w:val="center"/>
          </w:tcPr>
          <w:p w14:paraId="639AA0B0">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园区边界西侧下风向200m</w:t>
            </w:r>
          </w:p>
        </w:tc>
        <w:tc>
          <w:tcPr>
            <w:tcW w:w="2733" w:type="dxa"/>
            <w:tcBorders>
              <w:tl2br w:val="nil"/>
              <w:tr2bl w:val="nil"/>
            </w:tcBorders>
            <w:shd w:val="clear" w:color="auto" w:fill="auto"/>
            <w:noWrap/>
            <w:tcMar>
              <w:top w:w="15" w:type="dxa"/>
              <w:left w:w="15" w:type="dxa"/>
              <w:right w:w="15" w:type="dxa"/>
            </w:tcMar>
            <w:vAlign w:val="center"/>
          </w:tcPr>
          <w:p w14:paraId="3FE287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GB36600第二类用地筛选值</w:t>
            </w:r>
          </w:p>
        </w:tc>
        <w:tc>
          <w:tcPr>
            <w:tcW w:w="1959" w:type="dxa"/>
            <w:tcBorders>
              <w:tl2br w:val="nil"/>
              <w:tr2bl w:val="nil"/>
            </w:tcBorders>
            <w:shd w:val="clear" w:color="auto" w:fill="auto"/>
            <w:noWrap/>
            <w:tcMar>
              <w:top w:w="15" w:type="dxa"/>
              <w:left w:w="15" w:type="dxa"/>
              <w:right w:w="15" w:type="dxa"/>
            </w:tcMar>
            <w:vAlign w:val="center"/>
          </w:tcPr>
          <w:p w14:paraId="44C919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w:t>
            </w:r>
          </w:p>
        </w:tc>
      </w:tr>
      <w:tr w14:paraId="64A1CB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960" w:type="dxa"/>
            <w:tcBorders>
              <w:tl2br w:val="nil"/>
              <w:tr2bl w:val="nil"/>
            </w:tcBorders>
            <w:shd w:val="clear" w:color="auto" w:fill="auto"/>
            <w:noWrap/>
            <w:tcMar>
              <w:top w:w="15" w:type="dxa"/>
              <w:left w:w="15" w:type="dxa"/>
              <w:right w:w="15" w:type="dxa"/>
            </w:tcMar>
            <w:vAlign w:val="center"/>
          </w:tcPr>
          <w:p w14:paraId="4D4D92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w:t>
            </w:r>
          </w:p>
        </w:tc>
        <w:tc>
          <w:tcPr>
            <w:tcW w:w="1173" w:type="dxa"/>
            <w:tcBorders>
              <w:tl2br w:val="nil"/>
              <w:tr2bl w:val="nil"/>
            </w:tcBorders>
            <w:shd w:val="clear" w:color="auto" w:fill="auto"/>
            <w:noWrap/>
            <w:tcMar>
              <w:top w:w="15" w:type="dxa"/>
              <w:left w:w="15" w:type="dxa"/>
              <w:right w:w="15" w:type="dxa"/>
            </w:tcMar>
            <w:vAlign w:val="center"/>
          </w:tcPr>
          <w:p w14:paraId="0A5862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HR-1-400</w:t>
            </w:r>
          </w:p>
        </w:tc>
        <w:tc>
          <w:tcPr>
            <w:tcW w:w="2787" w:type="dxa"/>
            <w:tcBorders>
              <w:tl2br w:val="nil"/>
              <w:tr2bl w:val="nil"/>
            </w:tcBorders>
            <w:shd w:val="clear" w:color="auto" w:fill="auto"/>
            <w:noWrap/>
            <w:tcMar>
              <w:top w:w="15" w:type="dxa"/>
              <w:left w:w="15" w:type="dxa"/>
              <w:right w:w="15" w:type="dxa"/>
            </w:tcMar>
            <w:vAlign w:val="center"/>
          </w:tcPr>
          <w:p w14:paraId="44C5086D">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园区边界西侧下风向400m</w:t>
            </w:r>
          </w:p>
        </w:tc>
        <w:tc>
          <w:tcPr>
            <w:tcW w:w="2733" w:type="dxa"/>
            <w:tcBorders>
              <w:tl2br w:val="nil"/>
              <w:tr2bl w:val="nil"/>
            </w:tcBorders>
            <w:shd w:val="clear" w:color="auto" w:fill="auto"/>
            <w:noWrap/>
            <w:tcMar>
              <w:top w:w="15" w:type="dxa"/>
              <w:left w:w="15" w:type="dxa"/>
              <w:right w:w="15" w:type="dxa"/>
            </w:tcMar>
            <w:vAlign w:val="center"/>
          </w:tcPr>
          <w:p w14:paraId="358477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GB36600第二类用地筛选值</w:t>
            </w:r>
          </w:p>
        </w:tc>
        <w:tc>
          <w:tcPr>
            <w:tcW w:w="1959" w:type="dxa"/>
            <w:tcBorders>
              <w:tl2br w:val="nil"/>
              <w:tr2bl w:val="nil"/>
            </w:tcBorders>
            <w:shd w:val="clear" w:color="auto" w:fill="auto"/>
            <w:noWrap/>
            <w:tcMar>
              <w:top w:w="15" w:type="dxa"/>
              <w:left w:w="15" w:type="dxa"/>
              <w:right w:w="15" w:type="dxa"/>
            </w:tcMar>
            <w:vAlign w:val="center"/>
          </w:tcPr>
          <w:p w14:paraId="537264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18</w:t>
            </w:r>
          </w:p>
        </w:tc>
      </w:tr>
      <w:tr w14:paraId="0145CB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960" w:type="dxa"/>
            <w:tcBorders>
              <w:tl2br w:val="nil"/>
              <w:tr2bl w:val="nil"/>
            </w:tcBorders>
            <w:shd w:val="clear" w:color="auto" w:fill="auto"/>
            <w:noWrap/>
            <w:tcMar>
              <w:top w:w="15" w:type="dxa"/>
              <w:left w:w="15" w:type="dxa"/>
              <w:right w:w="15" w:type="dxa"/>
            </w:tcMar>
            <w:vAlign w:val="center"/>
          </w:tcPr>
          <w:p w14:paraId="4796D6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w:t>
            </w:r>
          </w:p>
        </w:tc>
        <w:tc>
          <w:tcPr>
            <w:tcW w:w="1173" w:type="dxa"/>
            <w:tcBorders>
              <w:tl2br w:val="nil"/>
              <w:tr2bl w:val="nil"/>
            </w:tcBorders>
            <w:shd w:val="clear" w:color="auto" w:fill="auto"/>
            <w:noWrap/>
            <w:tcMar>
              <w:top w:w="15" w:type="dxa"/>
              <w:left w:w="15" w:type="dxa"/>
              <w:right w:w="15" w:type="dxa"/>
            </w:tcMar>
            <w:vAlign w:val="center"/>
          </w:tcPr>
          <w:p w14:paraId="5F45FF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HR-2-75</w:t>
            </w:r>
          </w:p>
        </w:tc>
        <w:tc>
          <w:tcPr>
            <w:tcW w:w="2787" w:type="dxa"/>
            <w:tcBorders>
              <w:tl2br w:val="nil"/>
              <w:tr2bl w:val="nil"/>
            </w:tcBorders>
            <w:shd w:val="clear" w:color="auto" w:fill="auto"/>
            <w:noWrap/>
            <w:tcMar>
              <w:top w:w="15" w:type="dxa"/>
              <w:left w:w="15" w:type="dxa"/>
              <w:right w:w="15" w:type="dxa"/>
            </w:tcMar>
            <w:vAlign w:val="center"/>
          </w:tcPr>
          <w:p w14:paraId="709C5D8D">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园区边界西侧下风向75m</w:t>
            </w:r>
          </w:p>
        </w:tc>
        <w:tc>
          <w:tcPr>
            <w:tcW w:w="2733" w:type="dxa"/>
            <w:tcBorders>
              <w:tl2br w:val="nil"/>
              <w:tr2bl w:val="nil"/>
            </w:tcBorders>
            <w:shd w:val="clear" w:color="auto" w:fill="auto"/>
            <w:noWrap/>
            <w:tcMar>
              <w:top w:w="15" w:type="dxa"/>
              <w:left w:w="15" w:type="dxa"/>
              <w:right w:w="15" w:type="dxa"/>
            </w:tcMar>
            <w:vAlign w:val="center"/>
          </w:tcPr>
          <w:p w14:paraId="6AF6EA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GB36600第二类用地筛选值</w:t>
            </w:r>
          </w:p>
        </w:tc>
        <w:tc>
          <w:tcPr>
            <w:tcW w:w="1959" w:type="dxa"/>
            <w:tcBorders>
              <w:tl2br w:val="nil"/>
              <w:tr2bl w:val="nil"/>
            </w:tcBorders>
            <w:shd w:val="clear" w:color="auto" w:fill="auto"/>
            <w:noWrap/>
            <w:tcMar>
              <w:top w:w="15" w:type="dxa"/>
              <w:left w:w="15" w:type="dxa"/>
              <w:right w:w="15" w:type="dxa"/>
            </w:tcMar>
            <w:vAlign w:val="center"/>
          </w:tcPr>
          <w:p w14:paraId="1E74B7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260</w:t>
            </w:r>
          </w:p>
        </w:tc>
      </w:tr>
      <w:tr w14:paraId="1C21E7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960" w:type="dxa"/>
            <w:tcBorders>
              <w:tl2br w:val="nil"/>
              <w:tr2bl w:val="nil"/>
            </w:tcBorders>
            <w:shd w:val="clear" w:color="auto" w:fill="auto"/>
            <w:noWrap/>
            <w:tcMar>
              <w:top w:w="15" w:type="dxa"/>
              <w:left w:w="15" w:type="dxa"/>
              <w:right w:w="15" w:type="dxa"/>
            </w:tcMar>
            <w:vAlign w:val="center"/>
          </w:tcPr>
          <w:p w14:paraId="733F7E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w:t>
            </w:r>
          </w:p>
        </w:tc>
        <w:tc>
          <w:tcPr>
            <w:tcW w:w="1173" w:type="dxa"/>
            <w:tcBorders>
              <w:tl2br w:val="nil"/>
              <w:tr2bl w:val="nil"/>
            </w:tcBorders>
            <w:shd w:val="clear" w:color="auto" w:fill="auto"/>
            <w:noWrap/>
            <w:tcMar>
              <w:top w:w="15" w:type="dxa"/>
              <w:left w:w="15" w:type="dxa"/>
              <w:right w:w="15" w:type="dxa"/>
            </w:tcMar>
            <w:vAlign w:val="center"/>
          </w:tcPr>
          <w:p w14:paraId="67604F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HR-2-200</w:t>
            </w:r>
          </w:p>
        </w:tc>
        <w:tc>
          <w:tcPr>
            <w:tcW w:w="2787" w:type="dxa"/>
            <w:tcBorders>
              <w:tl2br w:val="nil"/>
              <w:tr2bl w:val="nil"/>
            </w:tcBorders>
            <w:shd w:val="clear" w:color="auto" w:fill="auto"/>
            <w:noWrap/>
            <w:tcMar>
              <w:top w:w="15" w:type="dxa"/>
              <w:left w:w="15" w:type="dxa"/>
              <w:right w:w="15" w:type="dxa"/>
            </w:tcMar>
            <w:vAlign w:val="center"/>
          </w:tcPr>
          <w:p w14:paraId="283D1944">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园区边界西侧下风向200m</w:t>
            </w:r>
          </w:p>
        </w:tc>
        <w:tc>
          <w:tcPr>
            <w:tcW w:w="2733" w:type="dxa"/>
            <w:tcBorders>
              <w:tl2br w:val="nil"/>
              <w:tr2bl w:val="nil"/>
            </w:tcBorders>
            <w:shd w:val="clear" w:color="auto" w:fill="auto"/>
            <w:noWrap/>
            <w:tcMar>
              <w:top w:w="15" w:type="dxa"/>
              <w:left w:w="15" w:type="dxa"/>
              <w:right w:w="15" w:type="dxa"/>
            </w:tcMar>
            <w:vAlign w:val="center"/>
          </w:tcPr>
          <w:p w14:paraId="450FC2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GB36600第二类用地筛选值</w:t>
            </w:r>
          </w:p>
        </w:tc>
        <w:tc>
          <w:tcPr>
            <w:tcW w:w="1959" w:type="dxa"/>
            <w:tcBorders>
              <w:tl2br w:val="nil"/>
              <w:tr2bl w:val="nil"/>
            </w:tcBorders>
            <w:shd w:val="clear" w:color="auto" w:fill="auto"/>
            <w:noWrap/>
            <w:tcMar>
              <w:top w:w="15" w:type="dxa"/>
              <w:left w:w="15" w:type="dxa"/>
              <w:right w:w="15" w:type="dxa"/>
            </w:tcMar>
            <w:vAlign w:val="center"/>
          </w:tcPr>
          <w:p w14:paraId="1D3331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12</w:t>
            </w:r>
          </w:p>
        </w:tc>
      </w:tr>
      <w:tr w14:paraId="66B1C3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960" w:type="dxa"/>
            <w:tcBorders>
              <w:tl2br w:val="nil"/>
              <w:tr2bl w:val="nil"/>
            </w:tcBorders>
            <w:shd w:val="clear" w:color="auto" w:fill="auto"/>
            <w:noWrap/>
            <w:tcMar>
              <w:top w:w="15" w:type="dxa"/>
              <w:left w:w="15" w:type="dxa"/>
              <w:right w:w="15" w:type="dxa"/>
            </w:tcMar>
            <w:vAlign w:val="center"/>
          </w:tcPr>
          <w:p w14:paraId="052691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w:t>
            </w:r>
          </w:p>
        </w:tc>
        <w:tc>
          <w:tcPr>
            <w:tcW w:w="1173" w:type="dxa"/>
            <w:tcBorders>
              <w:tl2br w:val="nil"/>
              <w:tr2bl w:val="nil"/>
            </w:tcBorders>
            <w:shd w:val="clear" w:color="auto" w:fill="auto"/>
            <w:noWrap/>
            <w:tcMar>
              <w:top w:w="15" w:type="dxa"/>
              <w:left w:w="15" w:type="dxa"/>
              <w:right w:w="15" w:type="dxa"/>
            </w:tcMar>
            <w:vAlign w:val="center"/>
          </w:tcPr>
          <w:p w14:paraId="7E9611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HR-2-400</w:t>
            </w:r>
          </w:p>
        </w:tc>
        <w:tc>
          <w:tcPr>
            <w:tcW w:w="2787" w:type="dxa"/>
            <w:tcBorders>
              <w:tl2br w:val="nil"/>
              <w:tr2bl w:val="nil"/>
            </w:tcBorders>
            <w:shd w:val="clear" w:color="auto" w:fill="auto"/>
            <w:noWrap/>
            <w:tcMar>
              <w:top w:w="15" w:type="dxa"/>
              <w:left w:w="15" w:type="dxa"/>
              <w:right w:w="15" w:type="dxa"/>
            </w:tcMar>
            <w:vAlign w:val="center"/>
          </w:tcPr>
          <w:p w14:paraId="7EF6C40F">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园区边界西侧下风向400m</w:t>
            </w:r>
          </w:p>
        </w:tc>
        <w:tc>
          <w:tcPr>
            <w:tcW w:w="2733" w:type="dxa"/>
            <w:tcBorders>
              <w:tl2br w:val="nil"/>
              <w:tr2bl w:val="nil"/>
            </w:tcBorders>
            <w:shd w:val="clear" w:color="auto" w:fill="auto"/>
            <w:noWrap/>
            <w:tcMar>
              <w:top w:w="15" w:type="dxa"/>
              <w:left w:w="15" w:type="dxa"/>
              <w:right w:w="15" w:type="dxa"/>
            </w:tcMar>
            <w:vAlign w:val="center"/>
          </w:tcPr>
          <w:p w14:paraId="19BEFA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GB36600第二类用地筛选值</w:t>
            </w:r>
          </w:p>
        </w:tc>
        <w:tc>
          <w:tcPr>
            <w:tcW w:w="1959" w:type="dxa"/>
            <w:tcBorders>
              <w:tl2br w:val="nil"/>
              <w:tr2bl w:val="nil"/>
            </w:tcBorders>
            <w:shd w:val="clear" w:color="auto" w:fill="auto"/>
            <w:noWrap/>
            <w:tcMar>
              <w:top w:w="15" w:type="dxa"/>
              <w:left w:w="15" w:type="dxa"/>
              <w:right w:w="15" w:type="dxa"/>
            </w:tcMar>
            <w:vAlign w:val="center"/>
          </w:tcPr>
          <w:p w14:paraId="094D33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32</w:t>
            </w:r>
          </w:p>
        </w:tc>
      </w:tr>
      <w:tr w14:paraId="576F16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960" w:type="dxa"/>
            <w:tcBorders>
              <w:tl2br w:val="nil"/>
              <w:tr2bl w:val="nil"/>
            </w:tcBorders>
            <w:shd w:val="clear" w:color="auto" w:fill="auto"/>
            <w:noWrap/>
            <w:tcMar>
              <w:top w:w="15" w:type="dxa"/>
              <w:left w:w="15" w:type="dxa"/>
              <w:right w:w="15" w:type="dxa"/>
            </w:tcMar>
            <w:vAlign w:val="center"/>
          </w:tcPr>
          <w:p w14:paraId="43C90E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w:t>
            </w:r>
          </w:p>
        </w:tc>
        <w:tc>
          <w:tcPr>
            <w:tcW w:w="1173" w:type="dxa"/>
            <w:tcBorders>
              <w:tl2br w:val="nil"/>
              <w:tr2bl w:val="nil"/>
            </w:tcBorders>
            <w:shd w:val="clear" w:color="auto" w:fill="auto"/>
            <w:noWrap/>
            <w:tcMar>
              <w:top w:w="15" w:type="dxa"/>
              <w:left w:w="15" w:type="dxa"/>
              <w:right w:w="15" w:type="dxa"/>
            </w:tcMar>
            <w:vAlign w:val="center"/>
          </w:tcPr>
          <w:p w14:paraId="28C5460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HR-3-75</w:t>
            </w:r>
          </w:p>
        </w:tc>
        <w:tc>
          <w:tcPr>
            <w:tcW w:w="2787" w:type="dxa"/>
            <w:tcBorders>
              <w:tl2br w:val="nil"/>
              <w:tr2bl w:val="nil"/>
            </w:tcBorders>
            <w:shd w:val="clear" w:color="auto" w:fill="auto"/>
            <w:noWrap/>
            <w:tcMar>
              <w:top w:w="15" w:type="dxa"/>
              <w:left w:w="15" w:type="dxa"/>
              <w:right w:w="15" w:type="dxa"/>
            </w:tcMar>
            <w:vAlign w:val="center"/>
          </w:tcPr>
          <w:p w14:paraId="6A618D2B">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园区边界南侧下风向75m</w:t>
            </w:r>
          </w:p>
        </w:tc>
        <w:tc>
          <w:tcPr>
            <w:tcW w:w="2733" w:type="dxa"/>
            <w:tcBorders>
              <w:tl2br w:val="nil"/>
              <w:tr2bl w:val="nil"/>
            </w:tcBorders>
            <w:shd w:val="clear" w:color="auto" w:fill="auto"/>
            <w:noWrap/>
            <w:tcMar>
              <w:top w:w="15" w:type="dxa"/>
              <w:left w:w="15" w:type="dxa"/>
              <w:right w:w="15" w:type="dxa"/>
            </w:tcMar>
            <w:vAlign w:val="center"/>
          </w:tcPr>
          <w:p w14:paraId="6E9D00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GB36600第一类用地筛选值</w:t>
            </w:r>
          </w:p>
        </w:tc>
        <w:tc>
          <w:tcPr>
            <w:tcW w:w="1959" w:type="dxa"/>
            <w:tcBorders>
              <w:tl2br w:val="nil"/>
              <w:tr2bl w:val="nil"/>
            </w:tcBorders>
            <w:shd w:val="clear" w:color="auto" w:fill="auto"/>
            <w:noWrap/>
            <w:tcMar>
              <w:top w:w="15" w:type="dxa"/>
              <w:left w:w="15" w:type="dxa"/>
              <w:right w:w="15" w:type="dxa"/>
            </w:tcMar>
            <w:vAlign w:val="center"/>
          </w:tcPr>
          <w:p w14:paraId="71CECF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&lt;6</w:t>
            </w:r>
          </w:p>
        </w:tc>
      </w:tr>
      <w:tr w14:paraId="7CB88C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960" w:type="dxa"/>
            <w:tcBorders>
              <w:tl2br w:val="nil"/>
              <w:tr2bl w:val="nil"/>
            </w:tcBorders>
            <w:shd w:val="clear" w:color="auto" w:fill="auto"/>
            <w:noWrap/>
            <w:tcMar>
              <w:top w:w="15" w:type="dxa"/>
              <w:left w:w="15" w:type="dxa"/>
              <w:right w:w="15" w:type="dxa"/>
            </w:tcMar>
            <w:vAlign w:val="center"/>
          </w:tcPr>
          <w:p w14:paraId="05AA2D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w:t>
            </w:r>
          </w:p>
        </w:tc>
        <w:tc>
          <w:tcPr>
            <w:tcW w:w="1173" w:type="dxa"/>
            <w:tcBorders>
              <w:tl2br w:val="nil"/>
              <w:tr2bl w:val="nil"/>
            </w:tcBorders>
            <w:shd w:val="clear" w:color="auto" w:fill="auto"/>
            <w:noWrap/>
            <w:tcMar>
              <w:top w:w="15" w:type="dxa"/>
              <w:left w:w="15" w:type="dxa"/>
              <w:right w:w="15" w:type="dxa"/>
            </w:tcMar>
            <w:vAlign w:val="center"/>
          </w:tcPr>
          <w:p w14:paraId="6C2AA7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HR-3-200</w:t>
            </w:r>
          </w:p>
        </w:tc>
        <w:tc>
          <w:tcPr>
            <w:tcW w:w="2787" w:type="dxa"/>
            <w:tcBorders>
              <w:tl2br w:val="nil"/>
              <w:tr2bl w:val="nil"/>
            </w:tcBorders>
            <w:shd w:val="clear" w:color="auto" w:fill="auto"/>
            <w:noWrap/>
            <w:tcMar>
              <w:top w:w="15" w:type="dxa"/>
              <w:left w:w="15" w:type="dxa"/>
              <w:right w:w="15" w:type="dxa"/>
            </w:tcMar>
            <w:vAlign w:val="center"/>
          </w:tcPr>
          <w:p w14:paraId="199AD448">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园区边界南侧下风向200m</w:t>
            </w:r>
          </w:p>
        </w:tc>
        <w:tc>
          <w:tcPr>
            <w:tcW w:w="2733" w:type="dxa"/>
            <w:tcBorders>
              <w:tl2br w:val="nil"/>
              <w:tr2bl w:val="nil"/>
            </w:tcBorders>
            <w:shd w:val="clear" w:color="auto" w:fill="auto"/>
            <w:noWrap/>
            <w:tcMar>
              <w:top w:w="15" w:type="dxa"/>
              <w:left w:w="15" w:type="dxa"/>
              <w:right w:w="15" w:type="dxa"/>
            </w:tcMar>
            <w:vAlign w:val="center"/>
          </w:tcPr>
          <w:p w14:paraId="354E54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GB36600第一类用地筛选值</w:t>
            </w:r>
          </w:p>
        </w:tc>
        <w:tc>
          <w:tcPr>
            <w:tcW w:w="1959" w:type="dxa"/>
            <w:tcBorders>
              <w:tl2br w:val="nil"/>
              <w:tr2bl w:val="nil"/>
            </w:tcBorders>
            <w:shd w:val="clear" w:color="auto" w:fill="auto"/>
            <w:noWrap/>
            <w:tcMar>
              <w:top w:w="15" w:type="dxa"/>
              <w:left w:w="15" w:type="dxa"/>
              <w:right w:w="15" w:type="dxa"/>
            </w:tcMar>
            <w:vAlign w:val="center"/>
          </w:tcPr>
          <w:p w14:paraId="141182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20</w:t>
            </w:r>
          </w:p>
        </w:tc>
      </w:tr>
      <w:tr w14:paraId="1C58FB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960" w:type="dxa"/>
            <w:tcBorders>
              <w:tl2br w:val="nil"/>
              <w:tr2bl w:val="nil"/>
            </w:tcBorders>
            <w:shd w:val="clear" w:color="auto" w:fill="auto"/>
            <w:noWrap/>
            <w:tcMar>
              <w:top w:w="15" w:type="dxa"/>
              <w:left w:w="15" w:type="dxa"/>
              <w:right w:w="15" w:type="dxa"/>
            </w:tcMar>
            <w:vAlign w:val="center"/>
          </w:tcPr>
          <w:p w14:paraId="7325F2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9</w:t>
            </w:r>
          </w:p>
        </w:tc>
        <w:tc>
          <w:tcPr>
            <w:tcW w:w="1173" w:type="dxa"/>
            <w:tcBorders>
              <w:tl2br w:val="nil"/>
              <w:tr2bl w:val="nil"/>
            </w:tcBorders>
            <w:shd w:val="clear" w:color="auto" w:fill="auto"/>
            <w:noWrap/>
            <w:tcMar>
              <w:top w:w="15" w:type="dxa"/>
              <w:left w:w="15" w:type="dxa"/>
              <w:right w:w="15" w:type="dxa"/>
            </w:tcMar>
            <w:vAlign w:val="center"/>
          </w:tcPr>
          <w:p w14:paraId="518DFF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HR-3-400</w:t>
            </w:r>
          </w:p>
        </w:tc>
        <w:tc>
          <w:tcPr>
            <w:tcW w:w="2787" w:type="dxa"/>
            <w:tcBorders>
              <w:tl2br w:val="nil"/>
              <w:tr2bl w:val="nil"/>
            </w:tcBorders>
            <w:shd w:val="clear" w:color="auto" w:fill="auto"/>
            <w:noWrap/>
            <w:tcMar>
              <w:top w:w="15" w:type="dxa"/>
              <w:left w:w="15" w:type="dxa"/>
              <w:right w:w="15" w:type="dxa"/>
            </w:tcMar>
            <w:vAlign w:val="center"/>
          </w:tcPr>
          <w:p w14:paraId="67E6D30D">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园区边界南侧下风向400m</w:t>
            </w:r>
          </w:p>
        </w:tc>
        <w:tc>
          <w:tcPr>
            <w:tcW w:w="2733" w:type="dxa"/>
            <w:tcBorders>
              <w:tl2br w:val="nil"/>
              <w:tr2bl w:val="nil"/>
            </w:tcBorders>
            <w:shd w:val="clear" w:color="auto" w:fill="auto"/>
            <w:noWrap/>
            <w:tcMar>
              <w:top w:w="15" w:type="dxa"/>
              <w:left w:w="15" w:type="dxa"/>
              <w:right w:w="15" w:type="dxa"/>
            </w:tcMar>
            <w:vAlign w:val="center"/>
          </w:tcPr>
          <w:p w14:paraId="4E3A25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kern w:val="2"/>
                <w:sz w:val="21"/>
                <w:szCs w:val="21"/>
                <w:highlight w:val="none"/>
                <w:u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GB36600第一类用地筛选值</w:t>
            </w:r>
          </w:p>
        </w:tc>
        <w:tc>
          <w:tcPr>
            <w:tcW w:w="1959" w:type="dxa"/>
            <w:tcBorders>
              <w:tl2br w:val="nil"/>
              <w:tr2bl w:val="nil"/>
            </w:tcBorders>
            <w:shd w:val="clear" w:color="auto" w:fill="auto"/>
            <w:noWrap/>
            <w:tcMar>
              <w:top w:w="15" w:type="dxa"/>
              <w:left w:w="15" w:type="dxa"/>
              <w:right w:w="15" w:type="dxa"/>
            </w:tcMar>
            <w:vAlign w:val="center"/>
          </w:tcPr>
          <w:p w14:paraId="0BA791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42</w:t>
            </w:r>
          </w:p>
        </w:tc>
      </w:tr>
      <w:tr w14:paraId="297076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960" w:type="dxa"/>
            <w:tcBorders>
              <w:tl2br w:val="nil"/>
              <w:tr2bl w:val="nil"/>
            </w:tcBorders>
            <w:shd w:val="clear" w:color="auto" w:fill="auto"/>
            <w:noWrap/>
            <w:tcMar>
              <w:top w:w="15" w:type="dxa"/>
              <w:left w:w="15" w:type="dxa"/>
              <w:right w:w="15" w:type="dxa"/>
            </w:tcMar>
            <w:vAlign w:val="center"/>
          </w:tcPr>
          <w:p w14:paraId="19C9AD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w:t>
            </w:r>
          </w:p>
        </w:tc>
        <w:tc>
          <w:tcPr>
            <w:tcW w:w="1173" w:type="dxa"/>
            <w:tcBorders>
              <w:tl2br w:val="nil"/>
              <w:tr2bl w:val="nil"/>
            </w:tcBorders>
            <w:shd w:val="clear" w:color="auto" w:fill="auto"/>
            <w:noWrap/>
            <w:tcMar>
              <w:top w:w="15" w:type="dxa"/>
              <w:left w:w="15" w:type="dxa"/>
              <w:right w:w="15" w:type="dxa"/>
            </w:tcMar>
            <w:vAlign w:val="center"/>
          </w:tcPr>
          <w:p w14:paraId="666726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HR-4-75</w:t>
            </w:r>
          </w:p>
        </w:tc>
        <w:tc>
          <w:tcPr>
            <w:tcW w:w="2787" w:type="dxa"/>
            <w:tcBorders>
              <w:tl2br w:val="nil"/>
              <w:tr2bl w:val="nil"/>
            </w:tcBorders>
            <w:shd w:val="clear" w:color="auto" w:fill="auto"/>
            <w:noWrap/>
            <w:tcMar>
              <w:top w:w="15" w:type="dxa"/>
              <w:left w:w="15" w:type="dxa"/>
              <w:right w:w="15" w:type="dxa"/>
            </w:tcMar>
            <w:vAlign w:val="center"/>
          </w:tcPr>
          <w:p w14:paraId="0F351BE5">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园区边界南侧下风向75m</w:t>
            </w:r>
          </w:p>
        </w:tc>
        <w:tc>
          <w:tcPr>
            <w:tcW w:w="2733" w:type="dxa"/>
            <w:tcBorders>
              <w:tl2br w:val="nil"/>
              <w:tr2bl w:val="nil"/>
            </w:tcBorders>
            <w:shd w:val="clear" w:color="auto" w:fill="auto"/>
            <w:noWrap/>
            <w:tcMar>
              <w:top w:w="15" w:type="dxa"/>
              <w:left w:w="15" w:type="dxa"/>
              <w:right w:w="15" w:type="dxa"/>
            </w:tcMar>
            <w:vAlign w:val="center"/>
          </w:tcPr>
          <w:p w14:paraId="761B02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color w:val="000000"/>
                <w:kern w:val="2"/>
                <w:sz w:val="21"/>
                <w:szCs w:val="21"/>
                <w:highlight w:val="none"/>
                <w:u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GB36600第一类用地筛选值</w:t>
            </w:r>
          </w:p>
        </w:tc>
        <w:tc>
          <w:tcPr>
            <w:tcW w:w="1959" w:type="dxa"/>
            <w:tcBorders>
              <w:tl2br w:val="nil"/>
              <w:tr2bl w:val="nil"/>
            </w:tcBorders>
            <w:shd w:val="clear" w:color="auto" w:fill="auto"/>
            <w:noWrap/>
            <w:tcMar>
              <w:top w:w="15" w:type="dxa"/>
              <w:left w:w="15" w:type="dxa"/>
              <w:right w:w="15" w:type="dxa"/>
            </w:tcMar>
            <w:vAlign w:val="center"/>
          </w:tcPr>
          <w:p w14:paraId="5239B1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&lt;6</w:t>
            </w:r>
          </w:p>
        </w:tc>
      </w:tr>
      <w:tr w14:paraId="258E98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60" w:type="dxa"/>
            <w:tcBorders>
              <w:tl2br w:val="nil"/>
              <w:tr2bl w:val="nil"/>
            </w:tcBorders>
            <w:shd w:val="clear" w:color="auto" w:fill="auto"/>
            <w:noWrap/>
            <w:tcMar>
              <w:top w:w="15" w:type="dxa"/>
              <w:left w:w="15" w:type="dxa"/>
              <w:right w:w="15" w:type="dxa"/>
            </w:tcMar>
            <w:vAlign w:val="center"/>
          </w:tcPr>
          <w:p w14:paraId="60695A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w:t>
            </w:r>
          </w:p>
        </w:tc>
        <w:tc>
          <w:tcPr>
            <w:tcW w:w="1173" w:type="dxa"/>
            <w:tcBorders>
              <w:tl2br w:val="nil"/>
              <w:tr2bl w:val="nil"/>
            </w:tcBorders>
            <w:shd w:val="clear" w:color="auto" w:fill="auto"/>
            <w:noWrap/>
            <w:tcMar>
              <w:top w:w="15" w:type="dxa"/>
              <w:left w:w="15" w:type="dxa"/>
              <w:right w:w="15" w:type="dxa"/>
            </w:tcMar>
            <w:vAlign w:val="center"/>
          </w:tcPr>
          <w:p w14:paraId="73E0E5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HR-4-200</w:t>
            </w:r>
          </w:p>
        </w:tc>
        <w:tc>
          <w:tcPr>
            <w:tcW w:w="2787" w:type="dxa"/>
            <w:tcBorders>
              <w:tl2br w:val="nil"/>
              <w:tr2bl w:val="nil"/>
            </w:tcBorders>
            <w:shd w:val="clear" w:color="auto" w:fill="auto"/>
            <w:noWrap/>
            <w:tcMar>
              <w:top w:w="15" w:type="dxa"/>
              <w:left w:w="15" w:type="dxa"/>
              <w:right w:w="15" w:type="dxa"/>
            </w:tcMar>
            <w:vAlign w:val="center"/>
          </w:tcPr>
          <w:p w14:paraId="3976F50F">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园区边界南侧下风向200m</w:t>
            </w:r>
          </w:p>
        </w:tc>
        <w:tc>
          <w:tcPr>
            <w:tcW w:w="2733" w:type="dxa"/>
            <w:tcBorders>
              <w:tl2br w:val="nil"/>
              <w:tr2bl w:val="nil"/>
            </w:tcBorders>
            <w:shd w:val="clear" w:color="auto" w:fill="auto"/>
            <w:noWrap/>
            <w:tcMar>
              <w:top w:w="15" w:type="dxa"/>
              <w:left w:w="15" w:type="dxa"/>
              <w:right w:w="15" w:type="dxa"/>
            </w:tcMar>
            <w:vAlign w:val="center"/>
          </w:tcPr>
          <w:p w14:paraId="08FE39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GB36600第一类用地筛选值</w:t>
            </w:r>
          </w:p>
        </w:tc>
        <w:tc>
          <w:tcPr>
            <w:tcW w:w="1959" w:type="dxa"/>
            <w:tcBorders>
              <w:tl2br w:val="nil"/>
              <w:tr2bl w:val="nil"/>
            </w:tcBorders>
            <w:shd w:val="clear" w:color="auto" w:fill="auto"/>
            <w:noWrap/>
            <w:tcMar>
              <w:top w:w="15" w:type="dxa"/>
              <w:left w:w="15" w:type="dxa"/>
              <w:right w:w="15" w:type="dxa"/>
            </w:tcMar>
            <w:vAlign w:val="center"/>
          </w:tcPr>
          <w:p w14:paraId="1A4C58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&lt;6</w:t>
            </w:r>
          </w:p>
        </w:tc>
      </w:tr>
      <w:tr w14:paraId="0165C7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960" w:type="dxa"/>
            <w:tcBorders>
              <w:tl2br w:val="nil"/>
              <w:tr2bl w:val="nil"/>
            </w:tcBorders>
            <w:shd w:val="clear" w:color="auto" w:fill="auto"/>
            <w:noWrap/>
            <w:tcMar>
              <w:top w:w="15" w:type="dxa"/>
              <w:left w:w="15" w:type="dxa"/>
              <w:right w:w="15" w:type="dxa"/>
            </w:tcMar>
            <w:vAlign w:val="center"/>
          </w:tcPr>
          <w:p w14:paraId="01D6FA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12</w:t>
            </w:r>
          </w:p>
        </w:tc>
        <w:tc>
          <w:tcPr>
            <w:tcW w:w="1173" w:type="dxa"/>
            <w:tcBorders>
              <w:tl2br w:val="nil"/>
              <w:tr2bl w:val="nil"/>
            </w:tcBorders>
            <w:shd w:val="clear" w:color="auto" w:fill="auto"/>
            <w:noWrap/>
            <w:tcMar>
              <w:top w:w="15" w:type="dxa"/>
              <w:left w:w="15" w:type="dxa"/>
              <w:right w:w="15" w:type="dxa"/>
            </w:tcMar>
            <w:vAlign w:val="center"/>
          </w:tcPr>
          <w:p w14:paraId="2D9181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HR-4-400</w:t>
            </w:r>
          </w:p>
        </w:tc>
        <w:tc>
          <w:tcPr>
            <w:tcW w:w="2787" w:type="dxa"/>
            <w:tcBorders>
              <w:tl2br w:val="nil"/>
              <w:tr2bl w:val="nil"/>
            </w:tcBorders>
            <w:shd w:val="clear" w:color="auto" w:fill="auto"/>
            <w:noWrap/>
            <w:tcMar>
              <w:top w:w="15" w:type="dxa"/>
              <w:left w:w="15" w:type="dxa"/>
              <w:right w:w="15" w:type="dxa"/>
            </w:tcMar>
            <w:vAlign w:val="center"/>
          </w:tcPr>
          <w:p w14:paraId="7414143A">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园区边界南侧下风向400m</w:t>
            </w:r>
          </w:p>
        </w:tc>
        <w:tc>
          <w:tcPr>
            <w:tcW w:w="2733" w:type="dxa"/>
            <w:tcBorders>
              <w:tl2br w:val="nil"/>
              <w:tr2bl w:val="nil"/>
            </w:tcBorders>
            <w:shd w:val="clear" w:color="auto" w:fill="auto"/>
            <w:noWrap/>
            <w:tcMar>
              <w:top w:w="15" w:type="dxa"/>
              <w:left w:w="15" w:type="dxa"/>
              <w:right w:w="15" w:type="dxa"/>
            </w:tcMar>
            <w:vAlign w:val="center"/>
          </w:tcPr>
          <w:p w14:paraId="38CC9D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GB36600第一类用地筛选值</w:t>
            </w:r>
          </w:p>
        </w:tc>
        <w:tc>
          <w:tcPr>
            <w:tcW w:w="1959" w:type="dxa"/>
            <w:tcBorders>
              <w:tl2br w:val="nil"/>
              <w:tr2bl w:val="nil"/>
            </w:tcBorders>
            <w:shd w:val="clear" w:color="auto" w:fill="auto"/>
            <w:noWrap/>
            <w:tcMar>
              <w:top w:w="15" w:type="dxa"/>
              <w:left w:w="15" w:type="dxa"/>
              <w:right w:w="15" w:type="dxa"/>
            </w:tcMar>
            <w:vAlign w:val="center"/>
          </w:tcPr>
          <w:p w14:paraId="4BF2D5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41</w:t>
            </w:r>
          </w:p>
        </w:tc>
      </w:tr>
      <w:tr w14:paraId="22EA99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960" w:type="dxa"/>
            <w:tcBorders>
              <w:tl2br w:val="nil"/>
              <w:tr2bl w:val="nil"/>
            </w:tcBorders>
            <w:shd w:val="clear" w:color="auto" w:fill="auto"/>
            <w:noWrap/>
            <w:tcMar>
              <w:top w:w="15" w:type="dxa"/>
              <w:left w:w="15" w:type="dxa"/>
              <w:right w:w="15" w:type="dxa"/>
            </w:tcMar>
            <w:vAlign w:val="center"/>
          </w:tcPr>
          <w:p w14:paraId="3E6C9C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13</w:t>
            </w:r>
          </w:p>
        </w:tc>
        <w:tc>
          <w:tcPr>
            <w:tcW w:w="1173" w:type="dxa"/>
            <w:tcBorders>
              <w:tl2br w:val="nil"/>
              <w:tr2bl w:val="nil"/>
            </w:tcBorders>
            <w:shd w:val="clear" w:color="auto" w:fill="auto"/>
            <w:noWrap/>
            <w:tcMar>
              <w:top w:w="15" w:type="dxa"/>
              <w:left w:w="15" w:type="dxa"/>
              <w:right w:w="15" w:type="dxa"/>
            </w:tcMar>
            <w:vAlign w:val="center"/>
          </w:tcPr>
          <w:p w14:paraId="3A4672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HR-5</w:t>
            </w:r>
          </w:p>
        </w:tc>
        <w:tc>
          <w:tcPr>
            <w:tcW w:w="2787" w:type="dxa"/>
            <w:tcBorders>
              <w:tl2br w:val="nil"/>
              <w:tr2bl w:val="nil"/>
            </w:tcBorders>
            <w:shd w:val="clear" w:color="auto" w:fill="auto"/>
            <w:noWrap/>
            <w:tcMar>
              <w:top w:w="15" w:type="dxa"/>
              <w:left w:w="15" w:type="dxa"/>
              <w:right w:w="15" w:type="dxa"/>
            </w:tcMar>
            <w:vAlign w:val="center"/>
          </w:tcPr>
          <w:p w14:paraId="72498396">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园区边界北侧上风向20m</w:t>
            </w:r>
            <w:r>
              <w:rPr>
                <w:rFonts w:hint="eastAsia" w:cs="Times New Roman"/>
                <w:sz w:val="21"/>
                <w:szCs w:val="21"/>
                <w:highlight w:val="none"/>
                <w:lang w:val="en-US" w:eastAsia="zh-CN"/>
              </w:rPr>
              <w:t>外</w:t>
            </w:r>
          </w:p>
        </w:tc>
        <w:tc>
          <w:tcPr>
            <w:tcW w:w="2733" w:type="dxa"/>
            <w:tcBorders>
              <w:tl2br w:val="nil"/>
              <w:tr2bl w:val="nil"/>
            </w:tcBorders>
            <w:shd w:val="clear" w:color="auto" w:fill="auto"/>
            <w:noWrap/>
            <w:tcMar>
              <w:top w:w="15" w:type="dxa"/>
              <w:left w:w="15" w:type="dxa"/>
              <w:right w:w="15" w:type="dxa"/>
            </w:tcMar>
            <w:vAlign w:val="center"/>
          </w:tcPr>
          <w:p w14:paraId="4214C9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GB36600第一类用地筛选值</w:t>
            </w:r>
          </w:p>
        </w:tc>
        <w:tc>
          <w:tcPr>
            <w:tcW w:w="1959" w:type="dxa"/>
            <w:tcBorders>
              <w:tl2br w:val="nil"/>
              <w:tr2bl w:val="nil"/>
            </w:tcBorders>
            <w:shd w:val="clear" w:color="auto" w:fill="auto"/>
            <w:noWrap/>
            <w:tcMar>
              <w:top w:w="15" w:type="dxa"/>
              <w:left w:w="15" w:type="dxa"/>
              <w:right w:w="15" w:type="dxa"/>
            </w:tcMar>
            <w:vAlign w:val="center"/>
          </w:tcPr>
          <w:p w14:paraId="6258C6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&lt;6</w:t>
            </w:r>
          </w:p>
        </w:tc>
      </w:tr>
      <w:tr w14:paraId="42DAD0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960" w:type="dxa"/>
            <w:tcBorders>
              <w:tl2br w:val="nil"/>
              <w:tr2bl w:val="nil"/>
            </w:tcBorders>
            <w:shd w:val="clear" w:color="auto" w:fill="auto"/>
            <w:noWrap/>
            <w:tcMar>
              <w:top w:w="15" w:type="dxa"/>
              <w:left w:w="15" w:type="dxa"/>
              <w:right w:w="15" w:type="dxa"/>
            </w:tcMar>
            <w:vAlign w:val="center"/>
          </w:tcPr>
          <w:p w14:paraId="420A60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14</w:t>
            </w:r>
          </w:p>
        </w:tc>
        <w:tc>
          <w:tcPr>
            <w:tcW w:w="1173" w:type="dxa"/>
            <w:tcBorders>
              <w:tl2br w:val="nil"/>
              <w:tr2bl w:val="nil"/>
            </w:tcBorders>
            <w:shd w:val="clear" w:color="auto" w:fill="auto"/>
            <w:noWrap/>
            <w:tcMar>
              <w:top w:w="15" w:type="dxa"/>
              <w:left w:w="15" w:type="dxa"/>
              <w:right w:w="15" w:type="dxa"/>
            </w:tcMar>
            <w:vAlign w:val="center"/>
          </w:tcPr>
          <w:p w14:paraId="6F5AAC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HR-6</w:t>
            </w:r>
          </w:p>
        </w:tc>
        <w:tc>
          <w:tcPr>
            <w:tcW w:w="2787" w:type="dxa"/>
            <w:tcBorders>
              <w:tl2br w:val="nil"/>
              <w:tr2bl w:val="nil"/>
            </w:tcBorders>
            <w:shd w:val="clear" w:color="auto" w:fill="auto"/>
            <w:noWrap/>
            <w:tcMar>
              <w:top w:w="15" w:type="dxa"/>
              <w:left w:w="15" w:type="dxa"/>
              <w:right w:w="15" w:type="dxa"/>
            </w:tcMar>
            <w:vAlign w:val="center"/>
          </w:tcPr>
          <w:p w14:paraId="6E4A5540">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园区边界东侧上风向20m</w:t>
            </w:r>
            <w:r>
              <w:rPr>
                <w:rFonts w:hint="eastAsia" w:cs="Times New Roman"/>
                <w:sz w:val="21"/>
                <w:szCs w:val="21"/>
                <w:highlight w:val="none"/>
                <w:lang w:val="en-US" w:eastAsia="zh-CN"/>
              </w:rPr>
              <w:t>外</w:t>
            </w:r>
          </w:p>
        </w:tc>
        <w:tc>
          <w:tcPr>
            <w:tcW w:w="2733" w:type="dxa"/>
            <w:tcBorders>
              <w:tl2br w:val="nil"/>
              <w:tr2bl w:val="nil"/>
            </w:tcBorders>
            <w:shd w:val="clear" w:color="auto" w:fill="auto"/>
            <w:noWrap/>
            <w:tcMar>
              <w:top w:w="15" w:type="dxa"/>
              <w:left w:w="15" w:type="dxa"/>
              <w:right w:w="15" w:type="dxa"/>
            </w:tcMar>
            <w:vAlign w:val="center"/>
          </w:tcPr>
          <w:p w14:paraId="338C76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GB36600第一类用地筛选值</w:t>
            </w:r>
          </w:p>
        </w:tc>
        <w:tc>
          <w:tcPr>
            <w:tcW w:w="1959" w:type="dxa"/>
            <w:tcBorders>
              <w:tl2br w:val="nil"/>
              <w:tr2bl w:val="nil"/>
            </w:tcBorders>
            <w:shd w:val="clear" w:color="auto" w:fill="auto"/>
            <w:noWrap/>
            <w:tcMar>
              <w:top w:w="15" w:type="dxa"/>
              <w:left w:w="15" w:type="dxa"/>
              <w:right w:w="15" w:type="dxa"/>
            </w:tcMar>
            <w:vAlign w:val="center"/>
          </w:tcPr>
          <w:p w14:paraId="7318B8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&lt;6</w:t>
            </w:r>
          </w:p>
        </w:tc>
      </w:tr>
      <w:tr w14:paraId="2F2180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960" w:type="dxa"/>
            <w:tcBorders>
              <w:tl2br w:val="nil"/>
              <w:tr2bl w:val="nil"/>
            </w:tcBorders>
            <w:shd w:val="clear" w:color="auto" w:fill="auto"/>
            <w:noWrap/>
            <w:tcMar>
              <w:top w:w="15" w:type="dxa"/>
              <w:left w:w="15" w:type="dxa"/>
              <w:right w:w="15" w:type="dxa"/>
            </w:tcMar>
            <w:vAlign w:val="center"/>
          </w:tcPr>
          <w:p w14:paraId="35AECE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15</w:t>
            </w:r>
          </w:p>
        </w:tc>
        <w:tc>
          <w:tcPr>
            <w:tcW w:w="1173" w:type="dxa"/>
            <w:tcBorders>
              <w:tl2br w:val="nil"/>
              <w:tr2bl w:val="nil"/>
            </w:tcBorders>
            <w:shd w:val="clear" w:color="auto" w:fill="auto"/>
            <w:noWrap/>
            <w:tcMar>
              <w:top w:w="15" w:type="dxa"/>
              <w:left w:w="15" w:type="dxa"/>
              <w:right w:w="15" w:type="dxa"/>
            </w:tcMar>
            <w:vAlign w:val="center"/>
          </w:tcPr>
          <w:p w14:paraId="4852E8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HR-JJ-1</w:t>
            </w:r>
          </w:p>
        </w:tc>
        <w:tc>
          <w:tcPr>
            <w:tcW w:w="2787" w:type="dxa"/>
            <w:tcBorders>
              <w:tl2br w:val="nil"/>
              <w:tr2bl w:val="nil"/>
            </w:tcBorders>
            <w:shd w:val="clear" w:color="auto" w:fill="auto"/>
            <w:noWrap/>
            <w:tcMar>
              <w:top w:w="15" w:type="dxa"/>
              <w:left w:w="15" w:type="dxa"/>
              <w:right w:w="15" w:type="dxa"/>
            </w:tcMar>
            <w:vAlign w:val="center"/>
          </w:tcPr>
          <w:p w14:paraId="61163D23">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企业聚集区西侧</w:t>
            </w:r>
          </w:p>
        </w:tc>
        <w:tc>
          <w:tcPr>
            <w:tcW w:w="2733" w:type="dxa"/>
            <w:tcBorders>
              <w:tl2br w:val="nil"/>
              <w:tr2bl w:val="nil"/>
            </w:tcBorders>
            <w:shd w:val="clear" w:color="auto" w:fill="auto"/>
            <w:noWrap/>
            <w:tcMar>
              <w:top w:w="15" w:type="dxa"/>
              <w:left w:w="15" w:type="dxa"/>
              <w:right w:w="15" w:type="dxa"/>
            </w:tcMar>
            <w:vAlign w:val="center"/>
          </w:tcPr>
          <w:p w14:paraId="58385A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GB36600第一类用地筛选值</w:t>
            </w:r>
          </w:p>
        </w:tc>
        <w:tc>
          <w:tcPr>
            <w:tcW w:w="1959" w:type="dxa"/>
            <w:tcBorders>
              <w:tl2br w:val="nil"/>
              <w:tr2bl w:val="nil"/>
            </w:tcBorders>
            <w:shd w:val="clear" w:color="auto" w:fill="auto"/>
            <w:noWrap/>
            <w:tcMar>
              <w:top w:w="15" w:type="dxa"/>
              <w:left w:w="15" w:type="dxa"/>
              <w:right w:w="15" w:type="dxa"/>
            </w:tcMar>
            <w:vAlign w:val="center"/>
          </w:tcPr>
          <w:p w14:paraId="22C623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&lt;6</w:t>
            </w:r>
          </w:p>
        </w:tc>
      </w:tr>
      <w:tr w14:paraId="571F80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960" w:type="dxa"/>
            <w:tcBorders>
              <w:tl2br w:val="nil"/>
              <w:tr2bl w:val="nil"/>
            </w:tcBorders>
            <w:shd w:val="clear" w:color="auto" w:fill="auto"/>
            <w:noWrap/>
            <w:tcMar>
              <w:top w:w="15" w:type="dxa"/>
              <w:left w:w="15" w:type="dxa"/>
              <w:right w:w="15" w:type="dxa"/>
            </w:tcMar>
            <w:vAlign w:val="center"/>
          </w:tcPr>
          <w:p w14:paraId="17F527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16</w:t>
            </w:r>
          </w:p>
        </w:tc>
        <w:tc>
          <w:tcPr>
            <w:tcW w:w="1173" w:type="dxa"/>
            <w:tcBorders>
              <w:tl2br w:val="nil"/>
              <w:tr2bl w:val="nil"/>
            </w:tcBorders>
            <w:shd w:val="clear" w:color="auto" w:fill="auto"/>
            <w:noWrap/>
            <w:tcMar>
              <w:top w:w="15" w:type="dxa"/>
              <w:left w:w="15" w:type="dxa"/>
              <w:right w:w="15" w:type="dxa"/>
            </w:tcMar>
            <w:vAlign w:val="center"/>
          </w:tcPr>
          <w:p w14:paraId="6B0F95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HR-JJ-2</w:t>
            </w:r>
          </w:p>
        </w:tc>
        <w:tc>
          <w:tcPr>
            <w:tcW w:w="2787" w:type="dxa"/>
            <w:tcBorders>
              <w:tl2br w:val="nil"/>
              <w:tr2bl w:val="nil"/>
            </w:tcBorders>
            <w:shd w:val="clear" w:color="auto" w:fill="auto"/>
            <w:noWrap/>
            <w:tcMar>
              <w:top w:w="15" w:type="dxa"/>
              <w:left w:w="15" w:type="dxa"/>
              <w:right w:w="15" w:type="dxa"/>
            </w:tcMar>
            <w:vAlign w:val="center"/>
          </w:tcPr>
          <w:p w14:paraId="5B6C49C9">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企业聚集区南侧</w:t>
            </w:r>
          </w:p>
        </w:tc>
        <w:tc>
          <w:tcPr>
            <w:tcW w:w="2733" w:type="dxa"/>
            <w:tcBorders>
              <w:tl2br w:val="nil"/>
              <w:tr2bl w:val="nil"/>
            </w:tcBorders>
            <w:shd w:val="clear" w:color="auto" w:fill="auto"/>
            <w:noWrap/>
            <w:tcMar>
              <w:top w:w="15" w:type="dxa"/>
              <w:left w:w="15" w:type="dxa"/>
              <w:right w:w="15" w:type="dxa"/>
            </w:tcMar>
            <w:vAlign w:val="center"/>
          </w:tcPr>
          <w:p w14:paraId="1E0348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GB36600第二类用地筛选值</w:t>
            </w:r>
          </w:p>
        </w:tc>
        <w:tc>
          <w:tcPr>
            <w:tcW w:w="1959" w:type="dxa"/>
            <w:tcBorders>
              <w:tl2br w:val="nil"/>
              <w:tr2bl w:val="nil"/>
            </w:tcBorders>
            <w:shd w:val="clear" w:color="auto" w:fill="auto"/>
            <w:noWrap/>
            <w:tcMar>
              <w:top w:w="15" w:type="dxa"/>
              <w:left w:w="15" w:type="dxa"/>
              <w:right w:w="15" w:type="dxa"/>
            </w:tcMar>
            <w:vAlign w:val="center"/>
          </w:tcPr>
          <w:p w14:paraId="0D509B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&lt;6</w:t>
            </w:r>
          </w:p>
        </w:tc>
      </w:tr>
      <w:tr w14:paraId="00E2DF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960" w:type="dxa"/>
            <w:tcBorders>
              <w:tl2br w:val="nil"/>
              <w:tr2bl w:val="nil"/>
            </w:tcBorders>
            <w:shd w:val="clear" w:color="auto" w:fill="auto"/>
            <w:noWrap/>
            <w:tcMar>
              <w:top w:w="15" w:type="dxa"/>
              <w:left w:w="15" w:type="dxa"/>
              <w:right w:w="15" w:type="dxa"/>
            </w:tcMar>
            <w:vAlign w:val="center"/>
          </w:tcPr>
          <w:p w14:paraId="3CE39E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17</w:t>
            </w:r>
          </w:p>
        </w:tc>
        <w:tc>
          <w:tcPr>
            <w:tcW w:w="1173" w:type="dxa"/>
            <w:tcBorders>
              <w:tl2br w:val="nil"/>
              <w:tr2bl w:val="nil"/>
            </w:tcBorders>
            <w:shd w:val="clear" w:color="auto" w:fill="auto"/>
            <w:noWrap/>
            <w:tcMar>
              <w:top w:w="15" w:type="dxa"/>
              <w:left w:w="15" w:type="dxa"/>
              <w:right w:w="15" w:type="dxa"/>
            </w:tcMar>
            <w:vAlign w:val="center"/>
          </w:tcPr>
          <w:p w14:paraId="76FDBA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HR-JJ-3</w:t>
            </w:r>
          </w:p>
        </w:tc>
        <w:tc>
          <w:tcPr>
            <w:tcW w:w="2787" w:type="dxa"/>
            <w:tcBorders>
              <w:tl2br w:val="nil"/>
              <w:tr2bl w:val="nil"/>
            </w:tcBorders>
            <w:shd w:val="clear" w:color="auto" w:fill="auto"/>
            <w:noWrap/>
            <w:tcMar>
              <w:top w:w="15" w:type="dxa"/>
              <w:left w:w="15" w:type="dxa"/>
              <w:right w:w="15" w:type="dxa"/>
            </w:tcMar>
            <w:vAlign w:val="center"/>
          </w:tcPr>
          <w:p w14:paraId="705FA6E5">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w:t>
            </w:r>
            <w:r>
              <w:rPr>
                <w:rFonts w:hint="eastAsia" w:cs="Times New Roman"/>
                <w:sz w:val="21"/>
                <w:szCs w:val="21"/>
                <w:highlight w:val="none"/>
                <w:lang w:val="en-US" w:eastAsia="zh-CN"/>
              </w:rPr>
              <w:t>北</w:t>
            </w:r>
            <w:r>
              <w:rPr>
                <w:rFonts w:hint="default" w:ascii="Times New Roman" w:hAnsi="Times New Roman" w:cs="Times New Roman"/>
                <w:sz w:val="21"/>
                <w:szCs w:val="21"/>
                <w:highlight w:val="none"/>
                <w:lang w:val="en-US" w:eastAsia="zh-CN"/>
              </w:rPr>
              <w:t>侧</w:t>
            </w:r>
          </w:p>
        </w:tc>
        <w:tc>
          <w:tcPr>
            <w:tcW w:w="2733" w:type="dxa"/>
            <w:tcBorders>
              <w:tl2br w:val="nil"/>
              <w:tr2bl w:val="nil"/>
            </w:tcBorders>
            <w:shd w:val="clear" w:color="auto" w:fill="auto"/>
            <w:noWrap/>
            <w:tcMar>
              <w:top w:w="15" w:type="dxa"/>
              <w:left w:w="15" w:type="dxa"/>
              <w:right w:w="15" w:type="dxa"/>
            </w:tcMar>
            <w:vAlign w:val="center"/>
          </w:tcPr>
          <w:p w14:paraId="5FB352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GB36600第二类用地筛选值</w:t>
            </w:r>
          </w:p>
        </w:tc>
        <w:tc>
          <w:tcPr>
            <w:tcW w:w="1959" w:type="dxa"/>
            <w:tcBorders>
              <w:tl2br w:val="nil"/>
              <w:tr2bl w:val="nil"/>
            </w:tcBorders>
            <w:shd w:val="clear" w:color="auto" w:fill="auto"/>
            <w:noWrap/>
            <w:tcMar>
              <w:top w:w="15" w:type="dxa"/>
              <w:left w:w="15" w:type="dxa"/>
              <w:right w:w="15" w:type="dxa"/>
            </w:tcMar>
            <w:vAlign w:val="center"/>
          </w:tcPr>
          <w:p w14:paraId="241D61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&lt;6</w:t>
            </w:r>
          </w:p>
        </w:tc>
      </w:tr>
      <w:tr w14:paraId="27F2A9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960" w:type="dxa"/>
            <w:tcBorders>
              <w:tl2br w:val="nil"/>
              <w:tr2bl w:val="nil"/>
            </w:tcBorders>
            <w:shd w:val="clear" w:color="auto" w:fill="auto"/>
            <w:noWrap/>
            <w:tcMar>
              <w:top w:w="15" w:type="dxa"/>
              <w:left w:w="15" w:type="dxa"/>
              <w:right w:w="15" w:type="dxa"/>
            </w:tcMar>
            <w:vAlign w:val="center"/>
          </w:tcPr>
          <w:p w14:paraId="7F02D5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18</w:t>
            </w:r>
          </w:p>
        </w:tc>
        <w:tc>
          <w:tcPr>
            <w:tcW w:w="1173" w:type="dxa"/>
            <w:tcBorders>
              <w:tl2br w:val="nil"/>
              <w:tr2bl w:val="nil"/>
            </w:tcBorders>
            <w:shd w:val="clear" w:color="auto" w:fill="auto"/>
            <w:noWrap/>
            <w:tcMar>
              <w:top w:w="15" w:type="dxa"/>
              <w:left w:w="15" w:type="dxa"/>
              <w:right w:w="15" w:type="dxa"/>
            </w:tcMar>
            <w:vAlign w:val="center"/>
          </w:tcPr>
          <w:p w14:paraId="5B3FAE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HR-JJ-4</w:t>
            </w:r>
          </w:p>
        </w:tc>
        <w:tc>
          <w:tcPr>
            <w:tcW w:w="2787" w:type="dxa"/>
            <w:tcBorders>
              <w:tl2br w:val="nil"/>
              <w:tr2bl w:val="nil"/>
            </w:tcBorders>
            <w:shd w:val="clear" w:color="auto" w:fill="auto"/>
            <w:noWrap/>
            <w:tcMar>
              <w:top w:w="15" w:type="dxa"/>
              <w:left w:w="15" w:type="dxa"/>
              <w:right w:w="15" w:type="dxa"/>
            </w:tcMar>
            <w:vAlign w:val="center"/>
          </w:tcPr>
          <w:p w14:paraId="4D5FB6C7">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企业聚集区西侧</w:t>
            </w:r>
          </w:p>
        </w:tc>
        <w:tc>
          <w:tcPr>
            <w:tcW w:w="2733" w:type="dxa"/>
            <w:tcBorders>
              <w:tl2br w:val="nil"/>
              <w:tr2bl w:val="nil"/>
            </w:tcBorders>
            <w:shd w:val="clear" w:color="auto" w:fill="auto"/>
            <w:noWrap/>
            <w:tcMar>
              <w:top w:w="15" w:type="dxa"/>
              <w:left w:w="15" w:type="dxa"/>
              <w:right w:w="15" w:type="dxa"/>
            </w:tcMar>
            <w:vAlign w:val="center"/>
          </w:tcPr>
          <w:p w14:paraId="4445FA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GB36600第二类用地筛选值</w:t>
            </w:r>
          </w:p>
        </w:tc>
        <w:tc>
          <w:tcPr>
            <w:tcW w:w="1959" w:type="dxa"/>
            <w:tcBorders>
              <w:tl2br w:val="nil"/>
              <w:tr2bl w:val="nil"/>
            </w:tcBorders>
            <w:shd w:val="clear" w:color="auto" w:fill="auto"/>
            <w:noWrap/>
            <w:tcMar>
              <w:top w:w="15" w:type="dxa"/>
              <w:left w:w="15" w:type="dxa"/>
              <w:right w:w="15" w:type="dxa"/>
            </w:tcMar>
            <w:vAlign w:val="center"/>
          </w:tcPr>
          <w:p w14:paraId="595585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15</w:t>
            </w:r>
          </w:p>
        </w:tc>
      </w:tr>
      <w:tr w14:paraId="627CA8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960" w:type="dxa"/>
            <w:tcBorders>
              <w:tl2br w:val="nil"/>
              <w:tr2bl w:val="nil"/>
            </w:tcBorders>
            <w:shd w:val="clear" w:color="auto" w:fill="auto"/>
            <w:noWrap/>
            <w:tcMar>
              <w:top w:w="15" w:type="dxa"/>
              <w:left w:w="15" w:type="dxa"/>
              <w:right w:w="15" w:type="dxa"/>
            </w:tcMar>
            <w:vAlign w:val="center"/>
          </w:tcPr>
          <w:p w14:paraId="40809A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19</w:t>
            </w:r>
          </w:p>
        </w:tc>
        <w:tc>
          <w:tcPr>
            <w:tcW w:w="1173" w:type="dxa"/>
            <w:tcBorders>
              <w:tl2br w:val="nil"/>
              <w:tr2bl w:val="nil"/>
            </w:tcBorders>
            <w:shd w:val="clear" w:color="auto" w:fill="auto"/>
            <w:noWrap/>
            <w:tcMar>
              <w:top w:w="15" w:type="dxa"/>
              <w:left w:w="15" w:type="dxa"/>
              <w:right w:w="15" w:type="dxa"/>
            </w:tcMar>
            <w:vAlign w:val="center"/>
          </w:tcPr>
          <w:p w14:paraId="75DD41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HR-JJ-5</w:t>
            </w:r>
          </w:p>
        </w:tc>
        <w:tc>
          <w:tcPr>
            <w:tcW w:w="2787" w:type="dxa"/>
            <w:tcBorders>
              <w:tl2br w:val="nil"/>
              <w:tr2bl w:val="nil"/>
            </w:tcBorders>
            <w:shd w:val="clear" w:color="auto" w:fill="auto"/>
            <w:noWrap/>
            <w:tcMar>
              <w:top w:w="15" w:type="dxa"/>
              <w:left w:w="15" w:type="dxa"/>
              <w:right w:w="15" w:type="dxa"/>
            </w:tcMar>
            <w:vAlign w:val="center"/>
          </w:tcPr>
          <w:p w14:paraId="3F68D4F8">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企业聚集区西侧</w:t>
            </w:r>
          </w:p>
        </w:tc>
        <w:tc>
          <w:tcPr>
            <w:tcW w:w="2733" w:type="dxa"/>
            <w:tcBorders>
              <w:tl2br w:val="nil"/>
              <w:tr2bl w:val="nil"/>
            </w:tcBorders>
            <w:shd w:val="clear" w:color="auto" w:fill="auto"/>
            <w:noWrap/>
            <w:tcMar>
              <w:top w:w="15" w:type="dxa"/>
              <w:left w:w="15" w:type="dxa"/>
              <w:right w:w="15" w:type="dxa"/>
            </w:tcMar>
            <w:vAlign w:val="center"/>
          </w:tcPr>
          <w:p w14:paraId="543D7E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GB36600第一类用地筛选值</w:t>
            </w:r>
          </w:p>
        </w:tc>
        <w:tc>
          <w:tcPr>
            <w:tcW w:w="1959" w:type="dxa"/>
            <w:tcBorders>
              <w:tl2br w:val="nil"/>
              <w:tr2bl w:val="nil"/>
            </w:tcBorders>
            <w:shd w:val="clear" w:color="auto" w:fill="auto"/>
            <w:noWrap/>
            <w:tcMar>
              <w:top w:w="15" w:type="dxa"/>
              <w:left w:w="15" w:type="dxa"/>
              <w:right w:w="15" w:type="dxa"/>
            </w:tcMar>
            <w:vAlign w:val="center"/>
          </w:tcPr>
          <w:p w14:paraId="466D939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&lt;6</w:t>
            </w:r>
          </w:p>
        </w:tc>
      </w:tr>
      <w:tr w14:paraId="0E611C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960" w:type="dxa"/>
            <w:tcBorders>
              <w:tl2br w:val="nil"/>
              <w:tr2bl w:val="nil"/>
            </w:tcBorders>
            <w:shd w:val="clear" w:color="auto" w:fill="auto"/>
            <w:noWrap/>
            <w:tcMar>
              <w:top w:w="15" w:type="dxa"/>
              <w:left w:w="15" w:type="dxa"/>
              <w:right w:w="15" w:type="dxa"/>
            </w:tcMar>
            <w:vAlign w:val="center"/>
          </w:tcPr>
          <w:p w14:paraId="6C4E0D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20</w:t>
            </w:r>
          </w:p>
        </w:tc>
        <w:tc>
          <w:tcPr>
            <w:tcW w:w="1173" w:type="dxa"/>
            <w:tcBorders>
              <w:tl2br w:val="nil"/>
              <w:tr2bl w:val="nil"/>
            </w:tcBorders>
            <w:shd w:val="clear" w:color="auto" w:fill="auto"/>
            <w:noWrap/>
            <w:tcMar>
              <w:top w:w="15" w:type="dxa"/>
              <w:left w:w="15" w:type="dxa"/>
              <w:right w:w="15" w:type="dxa"/>
            </w:tcMar>
            <w:vAlign w:val="center"/>
          </w:tcPr>
          <w:p w14:paraId="5699EE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HR-JJ-6</w:t>
            </w:r>
          </w:p>
        </w:tc>
        <w:tc>
          <w:tcPr>
            <w:tcW w:w="2787" w:type="dxa"/>
            <w:tcBorders>
              <w:tl2br w:val="nil"/>
              <w:tr2bl w:val="nil"/>
            </w:tcBorders>
            <w:shd w:val="clear" w:color="auto" w:fill="auto"/>
            <w:noWrap/>
            <w:tcMar>
              <w:top w:w="15" w:type="dxa"/>
              <w:left w:w="15" w:type="dxa"/>
              <w:right w:w="15" w:type="dxa"/>
            </w:tcMar>
            <w:vAlign w:val="center"/>
          </w:tcPr>
          <w:p w14:paraId="21C4F2E2">
            <w:pPr>
              <w:keepNext w:val="0"/>
              <w:keepLines w:val="0"/>
              <w:suppressLineNumbers w:val="0"/>
              <w:bidi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企业聚集区南侧</w:t>
            </w:r>
          </w:p>
        </w:tc>
        <w:tc>
          <w:tcPr>
            <w:tcW w:w="2733" w:type="dxa"/>
            <w:tcBorders>
              <w:tl2br w:val="nil"/>
              <w:tr2bl w:val="nil"/>
            </w:tcBorders>
            <w:shd w:val="clear" w:color="auto" w:fill="auto"/>
            <w:noWrap/>
            <w:tcMar>
              <w:top w:w="15" w:type="dxa"/>
              <w:left w:w="15" w:type="dxa"/>
              <w:right w:w="15" w:type="dxa"/>
            </w:tcMar>
            <w:vAlign w:val="center"/>
          </w:tcPr>
          <w:p w14:paraId="466D23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i w:val="0"/>
                <w:color w:val="000000"/>
                <w:sz w:val="21"/>
                <w:szCs w:val="21"/>
                <w:highlight w:val="none"/>
                <w:u w:val="none"/>
                <w:lang w:val="en-US" w:eastAsia="zh-CN"/>
              </w:rPr>
              <w:t>GB36600第一类用地筛选值</w:t>
            </w:r>
          </w:p>
        </w:tc>
        <w:tc>
          <w:tcPr>
            <w:tcW w:w="1959" w:type="dxa"/>
            <w:tcBorders>
              <w:tl2br w:val="nil"/>
              <w:tr2bl w:val="nil"/>
            </w:tcBorders>
            <w:shd w:val="clear" w:color="auto" w:fill="auto"/>
            <w:noWrap/>
            <w:tcMar>
              <w:top w:w="15" w:type="dxa"/>
              <w:left w:w="15" w:type="dxa"/>
              <w:right w:w="15" w:type="dxa"/>
            </w:tcMar>
            <w:vAlign w:val="center"/>
          </w:tcPr>
          <w:p w14:paraId="3DCA78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&lt;6</w:t>
            </w:r>
          </w:p>
        </w:tc>
      </w:tr>
      <w:tr w14:paraId="18D1ED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7653" w:type="dxa"/>
            <w:gridSpan w:val="4"/>
            <w:tcBorders>
              <w:tl2br w:val="nil"/>
              <w:tr2bl w:val="nil"/>
            </w:tcBorders>
            <w:shd w:val="clear" w:color="auto" w:fill="auto"/>
            <w:noWrap/>
            <w:tcMar>
              <w:top w:w="15" w:type="dxa"/>
              <w:left w:w="15" w:type="dxa"/>
              <w:right w:w="15" w:type="dxa"/>
            </w:tcMar>
            <w:vAlign w:val="center"/>
          </w:tcPr>
          <w:p w14:paraId="598A46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最大值</w:t>
            </w:r>
          </w:p>
        </w:tc>
        <w:tc>
          <w:tcPr>
            <w:tcW w:w="1959" w:type="dxa"/>
            <w:tcBorders>
              <w:tl2br w:val="nil"/>
              <w:tr2bl w:val="nil"/>
            </w:tcBorders>
            <w:shd w:val="clear" w:color="auto" w:fill="auto"/>
            <w:noWrap/>
            <w:tcMar>
              <w:top w:w="15" w:type="dxa"/>
              <w:left w:w="15" w:type="dxa"/>
              <w:right w:w="15" w:type="dxa"/>
            </w:tcMar>
            <w:vAlign w:val="center"/>
          </w:tcPr>
          <w:p w14:paraId="270D73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260</w:t>
            </w:r>
          </w:p>
        </w:tc>
      </w:tr>
      <w:tr w14:paraId="65E209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7653" w:type="dxa"/>
            <w:gridSpan w:val="4"/>
            <w:tcBorders>
              <w:tl2br w:val="nil"/>
              <w:tr2bl w:val="nil"/>
            </w:tcBorders>
            <w:shd w:val="clear" w:color="auto" w:fill="auto"/>
            <w:noWrap/>
            <w:tcMar>
              <w:top w:w="15" w:type="dxa"/>
              <w:left w:w="15" w:type="dxa"/>
              <w:right w:w="15" w:type="dxa"/>
            </w:tcMar>
            <w:vAlign w:val="center"/>
          </w:tcPr>
          <w:p w14:paraId="784B70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最小值</w:t>
            </w:r>
          </w:p>
        </w:tc>
        <w:tc>
          <w:tcPr>
            <w:tcW w:w="1959" w:type="dxa"/>
            <w:tcBorders>
              <w:tl2br w:val="nil"/>
              <w:tr2bl w:val="nil"/>
            </w:tcBorders>
            <w:shd w:val="clear" w:color="auto" w:fill="auto"/>
            <w:noWrap/>
            <w:tcMar>
              <w:top w:w="15" w:type="dxa"/>
              <w:left w:w="15" w:type="dxa"/>
              <w:right w:w="15" w:type="dxa"/>
            </w:tcMar>
            <w:vAlign w:val="center"/>
          </w:tcPr>
          <w:p w14:paraId="74E23B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&lt;6</w:t>
            </w:r>
          </w:p>
        </w:tc>
      </w:tr>
      <w:tr w14:paraId="3F39CA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7653" w:type="dxa"/>
            <w:gridSpan w:val="4"/>
            <w:tcBorders>
              <w:tl2br w:val="nil"/>
              <w:tr2bl w:val="nil"/>
            </w:tcBorders>
            <w:shd w:val="clear" w:color="auto" w:fill="auto"/>
            <w:noWrap/>
            <w:tcMar>
              <w:top w:w="15" w:type="dxa"/>
              <w:left w:w="15" w:type="dxa"/>
              <w:right w:w="15" w:type="dxa"/>
            </w:tcMar>
            <w:vAlign w:val="center"/>
          </w:tcPr>
          <w:p w14:paraId="4865D1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平均值</w:t>
            </w:r>
          </w:p>
        </w:tc>
        <w:tc>
          <w:tcPr>
            <w:tcW w:w="1959" w:type="dxa"/>
            <w:tcBorders>
              <w:tl2br w:val="nil"/>
              <w:tr2bl w:val="nil"/>
            </w:tcBorders>
            <w:shd w:val="clear" w:color="auto" w:fill="auto"/>
            <w:noWrap/>
            <w:tcMar>
              <w:top w:w="15" w:type="dxa"/>
              <w:left w:w="15" w:type="dxa"/>
              <w:right w:w="15" w:type="dxa"/>
            </w:tcMar>
            <w:vAlign w:val="center"/>
          </w:tcPr>
          <w:p w14:paraId="5C9A83F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24.6</w:t>
            </w:r>
          </w:p>
        </w:tc>
      </w:tr>
      <w:tr w14:paraId="08B2D9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72" w:hRule="atLeast"/>
          <w:jc w:val="center"/>
        </w:trPr>
        <w:tc>
          <w:tcPr>
            <w:tcW w:w="7653" w:type="dxa"/>
            <w:gridSpan w:val="4"/>
            <w:tcBorders>
              <w:tl2br w:val="nil"/>
              <w:tr2bl w:val="nil"/>
            </w:tcBorders>
            <w:shd w:val="clear" w:color="auto" w:fill="auto"/>
            <w:noWrap/>
            <w:tcMar>
              <w:top w:w="15" w:type="dxa"/>
              <w:left w:w="15" w:type="dxa"/>
              <w:right w:w="15" w:type="dxa"/>
            </w:tcMar>
            <w:vAlign w:val="center"/>
          </w:tcPr>
          <w:p w14:paraId="36C220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检出率</w:t>
            </w:r>
          </w:p>
        </w:tc>
        <w:tc>
          <w:tcPr>
            <w:tcW w:w="1959" w:type="dxa"/>
            <w:tcBorders>
              <w:tl2br w:val="nil"/>
              <w:tr2bl w:val="nil"/>
            </w:tcBorders>
            <w:shd w:val="clear" w:color="auto" w:fill="auto"/>
            <w:noWrap/>
            <w:tcMar>
              <w:top w:w="15" w:type="dxa"/>
              <w:left w:w="15" w:type="dxa"/>
              <w:right w:w="15" w:type="dxa"/>
            </w:tcMar>
            <w:vAlign w:val="center"/>
          </w:tcPr>
          <w:p w14:paraId="4494FF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50%</w:t>
            </w:r>
          </w:p>
        </w:tc>
      </w:tr>
      <w:tr w14:paraId="5FBC82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7653" w:type="dxa"/>
            <w:gridSpan w:val="4"/>
            <w:tcBorders>
              <w:tl2br w:val="nil"/>
              <w:tr2bl w:val="nil"/>
            </w:tcBorders>
            <w:shd w:val="clear" w:color="auto" w:fill="auto"/>
            <w:noWrap/>
            <w:tcMar>
              <w:top w:w="15" w:type="dxa"/>
              <w:left w:w="15" w:type="dxa"/>
              <w:right w:w="15" w:type="dxa"/>
            </w:tcMar>
            <w:vAlign w:val="center"/>
          </w:tcPr>
          <w:p w14:paraId="59C987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第一类用地筛选值</w:t>
            </w:r>
          </w:p>
        </w:tc>
        <w:tc>
          <w:tcPr>
            <w:tcW w:w="1959" w:type="dxa"/>
            <w:tcBorders>
              <w:tl2br w:val="nil"/>
              <w:tr2bl w:val="nil"/>
            </w:tcBorders>
            <w:shd w:val="clear" w:color="auto" w:fill="auto"/>
            <w:noWrap/>
            <w:tcMar>
              <w:top w:w="15" w:type="dxa"/>
              <w:left w:w="15" w:type="dxa"/>
              <w:right w:w="15" w:type="dxa"/>
            </w:tcMar>
            <w:vAlign w:val="center"/>
          </w:tcPr>
          <w:p w14:paraId="7AB864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826</w:t>
            </w:r>
          </w:p>
        </w:tc>
      </w:tr>
      <w:tr w14:paraId="099B41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7653" w:type="dxa"/>
            <w:gridSpan w:val="4"/>
            <w:tcBorders>
              <w:tl2br w:val="nil"/>
              <w:tr2bl w:val="nil"/>
            </w:tcBorders>
            <w:shd w:val="clear" w:color="auto" w:fill="auto"/>
            <w:noWrap/>
            <w:tcMar>
              <w:top w:w="15" w:type="dxa"/>
              <w:left w:w="15" w:type="dxa"/>
              <w:right w:w="15" w:type="dxa"/>
            </w:tcMar>
            <w:vAlign w:val="center"/>
          </w:tcPr>
          <w:p w14:paraId="2DB229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第二类用地筛选值</w:t>
            </w:r>
          </w:p>
        </w:tc>
        <w:tc>
          <w:tcPr>
            <w:tcW w:w="1959" w:type="dxa"/>
            <w:tcBorders>
              <w:tl2br w:val="nil"/>
              <w:tr2bl w:val="nil"/>
            </w:tcBorders>
            <w:shd w:val="clear" w:color="auto" w:fill="auto"/>
            <w:noWrap/>
            <w:tcMar>
              <w:top w:w="15" w:type="dxa"/>
              <w:left w:w="15" w:type="dxa"/>
              <w:right w:w="15" w:type="dxa"/>
            </w:tcMar>
            <w:vAlign w:val="center"/>
          </w:tcPr>
          <w:p w14:paraId="25C033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4500</w:t>
            </w:r>
          </w:p>
        </w:tc>
      </w:tr>
      <w:tr w14:paraId="14663D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7653" w:type="dxa"/>
            <w:gridSpan w:val="4"/>
            <w:tcBorders>
              <w:tl2br w:val="nil"/>
              <w:tr2bl w:val="nil"/>
            </w:tcBorders>
            <w:shd w:val="clear" w:color="auto" w:fill="auto"/>
            <w:noWrap/>
            <w:tcMar>
              <w:top w:w="15" w:type="dxa"/>
              <w:left w:w="15" w:type="dxa"/>
              <w:right w:w="15" w:type="dxa"/>
            </w:tcMar>
            <w:vAlign w:val="center"/>
          </w:tcPr>
          <w:p w14:paraId="4AB709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达标情况</w:t>
            </w:r>
          </w:p>
        </w:tc>
        <w:tc>
          <w:tcPr>
            <w:tcW w:w="1959" w:type="dxa"/>
            <w:tcBorders>
              <w:tl2br w:val="nil"/>
              <w:tr2bl w:val="nil"/>
            </w:tcBorders>
            <w:shd w:val="clear" w:color="auto" w:fill="auto"/>
            <w:noWrap/>
            <w:tcMar>
              <w:top w:w="15" w:type="dxa"/>
              <w:left w:w="15" w:type="dxa"/>
              <w:right w:w="15" w:type="dxa"/>
            </w:tcMar>
            <w:vAlign w:val="center"/>
          </w:tcPr>
          <w:p w14:paraId="31C74D2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000000"/>
                <w:kern w:val="0"/>
                <w:sz w:val="21"/>
                <w:szCs w:val="21"/>
                <w:highlight w:val="none"/>
                <w:u w:val="none"/>
                <w:lang w:val="en-US" w:eastAsia="zh-CN" w:bidi="ar"/>
              </w:rPr>
            </w:pPr>
            <w:r>
              <w:rPr>
                <w:rFonts w:hint="default" w:ascii="Times New Roman" w:hAnsi="Times New Roman" w:cs="Times New Roman"/>
                <w:i w:val="0"/>
                <w:color w:val="000000"/>
                <w:kern w:val="0"/>
                <w:sz w:val="21"/>
                <w:szCs w:val="21"/>
                <w:highlight w:val="none"/>
                <w:u w:val="none"/>
                <w:lang w:val="en-US" w:eastAsia="zh-CN" w:bidi="ar"/>
              </w:rPr>
              <w:t>达标</w:t>
            </w:r>
          </w:p>
        </w:tc>
      </w:tr>
    </w:tbl>
    <w:p w14:paraId="2C199057">
      <w:pPr>
        <w:pStyle w:val="5"/>
        <w:tabs>
          <w:tab w:val="left" w:pos="425"/>
        </w:tabs>
        <w:bidi w:val="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地下水样品检测结果分析</w:t>
      </w:r>
    </w:p>
    <w:p w14:paraId="7FAE2512">
      <w:pPr>
        <w:spacing w:line="360" w:lineRule="auto"/>
        <w:ind w:left="1" w:firstLine="480" w:firstLineChars="200"/>
        <w:rPr>
          <w:rFonts w:hint="default" w:ascii="Times New Roman" w:hAnsi="Times New Roman" w:eastAsia="宋体" w:cs="Times New Roman"/>
          <w:sz w:val="24"/>
          <w:highlight w:val="none"/>
          <w:lang w:val="en-US" w:eastAsia="zh-CN"/>
        </w:rPr>
      </w:pPr>
      <w:r>
        <w:rPr>
          <w:rFonts w:hint="default" w:ascii="Times New Roman" w:hAnsi="Times New Roman" w:cs="Times New Roman"/>
          <w:sz w:val="24"/>
          <w:highlight w:val="none"/>
        </w:rPr>
        <w:t>本次调查</w:t>
      </w:r>
      <w:r>
        <w:rPr>
          <w:rFonts w:hint="default" w:ascii="Times New Roman" w:hAnsi="Times New Roman" w:cs="Times New Roman"/>
          <w:sz w:val="24"/>
          <w:highlight w:val="none"/>
          <w:lang w:eastAsia="zh-CN"/>
        </w:rPr>
        <w:t>园区</w:t>
      </w:r>
      <w:r>
        <w:rPr>
          <w:rFonts w:hint="default" w:ascii="Times New Roman" w:hAnsi="Times New Roman" w:cs="Times New Roman"/>
          <w:sz w:val="24"/>
          <w:highlight w:val="none"/>
        </w:rPr>
        <w:t>内共采集</w:t>
      </w:r>
      <w:r>
        <w:rPr>
          <w:rFonts w:hint="default" w:ascii="Times New Roman" w:hAnsi="Times New Roman" w:cs="Times New Roman"/>
          <w:sz w:val="24"/>
          <w:highlight w:val="none"/>
          <w:lang w:eastAsia="zh-CN"/>
        </w:rPr>
        <w:t>地下水样品</w:t>
      </w:r>
      <w:r>
        <w:rPr>
          <w:rFonts w:hint="default" w:ascii="Times New Roman" w:hAnsi="Times New Roman" w:cs="Times New Roman"/>
          <w:sz w:val="24"/>
          <w:highlight w:val="none"/>
          <w:lang w:val="en-US" w:eastAsia="zh-CN"/>
        </w:rPr>
        <w:t>2</w:t>
      </w:r>
      <w:r>
        <w:rPr>
          <w:rFonts w:hint="default" w:ascii="Times New Roman" w:hAnsi="Times New Roman" w:cs="Times New Roman"/>
          <w:sz w:val="24"/>
          <w:highlight w:val="none"/>
        </w:rPr>
        <w:t>个（</w:t>
      </w:r>
      <w:r>
        <w:rPr>
          <w:highlight w:val="none"/>
        </w:rPr>
        <w:t>不含现场平行</w:t>
      </w:r>
      <w:r>
        <w:rPr>
          <w:rFonts w:hint="eastAsia" w:cs="Times New Roman"/>
          <w:sz w:val="24"/>
          <w:highlight w:val="none"/>
          <w:lang w:val="en-US" w:eastAsia="zh-CN"/>
        </w:rPr>
        <w:t>样</w:t>
      </w:r>
      <w:r>
        <w:rPr>
          <w:rFonts w:hint="default" w:ascii="Times New Roman" w:hAnsi="Times New Roman" w:cs="Times New Roman"/>
          <w:sz w:val="24"/>
          <w:highlight w:val="none"/>
        </w:rPr>
        <w:t>），所有样品全部送检</w:t>
      </w:r>
      <w:r>
        <w:rPr>
          <w:rFonts w:hint="default" w:ascii="Times New Roman" w:hAnsi="Times New Roman" w:cs="Times New Roman"/>
          <w:sz w:val="24"/>
          <w:highlight w:val="none"/>
          <w:lang w:eastAsia="zh-CN"/>
        </w:rPr>
        <w:t>。</w:t>
      </w:r>
      <w:r>
        <w:rPr>
          <w:rFonts w:hint="default" w:ascii="Times New Roman" w:hAnsi="Times New Roman" w:cs="Times New Roman"/>
          <w:color w:val="000000"/>
          <w:sz w:val="24"/>
          <w:highlight w:val="none"/>
        </w:rPr>
        <w:t>测试项目中</w:t>
      </w:r>
      <w:r>
        <w:rPr>
          <w:rFonts w:hint="default" w:ascii="Times New Roman" w:hAnsi="Times New Roman" w:cs="Times New Roman"/>
          <w:color w:val="000000"/>
          <w:sz w:val="24"/>
          <w:highlight w:val="none"/>
          <w:lang w:eastAsia="zh-CN"/>
        </w:rPr>
        <w:t>未检出项目包括：铁、铜、铝、锌、铬（总）、汞、硒、镉、铬（六价）、氰化物、挥发酚、硫化物、</w:t>
      </w:r>
      <w:r>
        <w:rPr>
          <w:rFonts w:hint="eastAsia" w:cs="Times New Roman"/>
          <w:color w:val="000000"/>
          <w:sz w:val="24"/>
          <w:highlight w:val="none"/>
          <w:lang w:eastAsia="zh-CN"/>
        </w:rPr>
        <w:t>氯仿</w:t>
      </w:r>
      <w:r>
        <w:rPr>
          <w:rFonts w:hint="default" w:ascii="Times New Roman" w:hAnsi="Times New Roman" w:cs="Times New Roman"/>
          <w:color w:val="000000"/>
          <w:sz w:val="24"/>
          <w:highlight w:val="none"/>
          <w:lang w:eastAsia="zh-CN"/>
        </w:rPr>
        <w:t>、四氯化碳、苯、甲苯。</w:t>
      </w:r>
      <w:r>
        <w:rPr>
          <w:rFonts w:hint="default" w:ascii="Times New Roman" w:hAnsi="Times New Roman" w:cs="Times New Roman"/>
          <w:color w:val="000000"/>
          <w:sz w:val="24"/>
          <w:highlight w:val="none"/>
          <w:lang w:val="en-US" w:eastAsia="zh-CN"/>
        </w:rPr>
        <w:t>其余检出指标均满足</w:t>
      </w:r>
      <w:r>
        <w:rPr>
          <w:rFonts w:hint="default" w:ascii="Times New Roman" w:hAnsi="Times New Roman" w:cs="Times New Roman"/>
          <w:color w:val="000000" w:themeColor="text1"/>
          <w:sz w:val="24"/>
          <w:highlight w:val="none"/>
          <w14:textFill>
            <w14:solidFill>
              <w14:schemeClr w14:val="tx1"/>
            </w14:solidFill>
          </w14:textFill>
        </w:rPr>
        <w:t>《地下水质量标准》（</w:t>
      </w:r>
      <w:r>
        <w:rPr>
          <w:rFonts w:hint="default" w:ascii="Times New Roman" w:hAnsi="Times New Roman" w:cs="Times New Roman"/>
          <w:color w:val="000000" w:themeColor="text1"/>
          <w:sz w:val="24"/>
          <w:highlight w:val="none"/>
          <w:lang w:eastAsia="zh-CN"/>
          <w14:textFill>
            <w14:solidFill>
              <w14:schemeClr w14:val="tx1"/>
            </w14:solidFill>
          </w14:textFill>
        </w:rPr>
        <w:t>GB/T 14848-2017</w:t>
      </w:r>
      <w:r>
        <w:rPr>
          <w:rFonts w:hint="default" w:ascii="Times New Roman" w:hAnsi="Times New Roman" w:cs="Times New Roman"/>
          <w:color w:val="000000" w:themeColor="text1"/>
          <w:sz w:val="24"/>
          <w:highlight w:val="none"/>
          <w14:textFill>
            <w14:solidFill>
              <w14:schemeClr w14:val="tx1"/>
            </w14:solidFill>
          </w14:textFill>
        </w:rPr>
        <w:t>）中</w:t>
      </w:r>
      <w:r>
        <w:rPr>
          <w:rFonts w:hint="default" w:ascii="Times New Roman" w:hAnsi="Times New Roman" w:cs="Times New Roman"/>
          <w:color w:val="000000" w:themeColor="text1"/>
          <w:sz w:val="24"/>
          <w:highlight w:val="none"/>
          <w:lang w:eastAsia="zh-CN"/>
          <w14:textFill>
            <w14:solidFill>
              <w14:schemeClr w14:val="tx1"/>
            </w14:solidFill>
          </w14:textFill>
        </w:rPr>
        <w:t>Ⅳ</w:t>
      </w:r>
      <w:r>
        <w:rPr>
          <w:rFonts w:hint="default" w:ascii="Times New Roman" w:hAnsi="Times New Roman" w:cs="Times New Roman"/>
          <w:color w:val="000000" w:themeColor="text1"/>
          <w:sz w:val="24"/>
          <w:highlight w:val="none"/>
          <w14:textFill>
            <w14:solidFill>
              <w14:schemeClr w14:val="tx1"/>
            </w14:solidFill>
          </w14:textFill>
        </w:rPr>
        <w:t>类标准限值</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sz w:val="24"/>
          <w:highlight w:val="none"/>
        </w:rPr>
        <w:t>具体</w:t>
      </w:r>
      <w:r>
        <w:rPr>
          <w:rFonts w:hint="default" w:ascii="Times New Roman" w:hAnsi="Times New Roman" w:cs="Times New Roman"/>
          <w:color w:val="000000"/>
          <w:sz w:val="24"/>
          <w:highlight w:val="none"/>
          <w:lang w:eastAsia="zh-CN"/>
        </w:rPr>
        <w:t>检测</w:t>
      </w:r>
      <w:r>
        <w:rPr>
          <w:rFonts w:hint="default" w:ascii="Times New Roman" w:hAnsi="Times New Roman" w:cs="Times New Roman"/>
          <w:color w:val="000000"/>
          <w:sz w:val="24"/>
          <w:highlight w:val="none"/>
        </w:rPr>
        <w:t>结果见表</w:t>
      </w:r>
      <w:r>
        <w:rPr>
          <w:rFonts w:hint="default" w:ascii="Times New Roman" w:hAnsi="Times New Roman" w:cs="Times New Roman"/>
          <w:color w:val="000000"/>
          <w:sz w:val="24"/>
          <w:highlight w:val="none"/>
          <w:lang w:val="en-US" w:eastAsia="zh-CN"/>
        </w:rPr>
        <w:t>5-3-6</w:t>
      </w:r>
      <w:r>
        <w:rPr>
          <w:rFonts w:hint="default" w:ascii="Times New Roman" w:hAnsi="Times New Roman" w:cs="Times New Roman"/>
          <w:color w:val="000000"/>
          <w:sz w:val="24"/>
          <w:highlight w:val="none"/>
        </w:rPr>
        <w:t>。</w:t>
      </w:r>
    </w:p>
    <w:p w14:paraId="005D4A42">
      <w:pPr>
        <w:jc w:val="center"/>
        <w:rPr>
          <w:rFonts w:hint="default" w:ascii="Times New Roman" w:hAnsi="Times New Roman" w:cs="Times New Roman"/>
          <w:highlight w:val="none"/>
          <w:lang w:eastAsia="zh-CN"/>
        </w:rPr>
      </w:pPr>
      <w:r>
        <w:rPr>
          <w:rFonts w:hint="default" w:ascii="Times New Roman" w:hAnsi="Times New Roman" w:eastAsia="黑体" w:cs="Times New Roman"/>
          <w:b/>
          <w:bCs/>
          <w:color w:val="000000"/>
          <w:sz w:val="24"/>
          <w:highlight w:val="none"/>
        </w:rPr>
        <w:t xml:space="preserve">表5-3-6 </w:t>
      </w:r>
      <w:r>
        <w:rPr>
          <w:rFonts w:hint="default" w:ascii="Times New Roman" w:hAnsi="Times New Roman" w:eastAsia="黑体" w:cs="Times New Roman"/>
          <w:b/>
          <w:bCs/>
          <w:color w:val="000000"/>
          <w:sz w:val="24"/>
          <w:highlight w:val="none"/>
          <w:lang w:eastAsia="zh-CN"/>
        </w:rPr>
        <w:t>地下水样品已检出指标监测结果</w:t>
      </w:r>
    </w:p>
    <w:tbl>
      <w:tblPr>
        <w:tblStyle w:val="21"/>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667"/>
        <w:gridCol w:w="2528"/>
        <w:gridCol w:w="1540"/>
        <w:gridCol w:w="1209"/>
        <w:gridCol w:w="1292"/>
        <w:gridCol w:w="1079"/>
        <w:gridCol w:w="1292"/>
      </w:tblGrid>
      <w:tr w14:paraId="677795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jc w:val="center"/>
        </w:trPr>
        <w:tc>
          <w:tcPr>
            <w:tcW w:w="347" w:type="pct"/>
            <w:tcBorders>
              <w:bottom w:val="single" w:color="auto" w:sz="12" w:space="0"/>
            </w:tcBorders>
            <w:shd w:val="clear" w:color="auto" w:fill="auto"/>
            <w:noWrap/>
            <w:tcMar>
              <w:top w:w="15" w:type="dxa"/>
              <w:left w:w="15" w:type="dxa"/>
              <w:right w:w="15" w:type="dxa"/>
            </w:tcMar>
            <w:vAlign w:val="center"/>
          </w:tcPr>
          <w:p w14:paraId="2F61E1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序号</w:t>
            </w:r>
          </w:p>
        </w:tc>
        <w:tc>
          <w:tcPr>
            <w:tcW w:w="1315" w:type="pct"/>
            <w:tcBorders>
              <w:bottom w:val="single" w:color="auto" w:sz="12" w:space="0"/>
            </w:tcBorders>
            <w:shd w:val="clear" w:color="auto" w:fill="auto"/>
            <w:noWrap/>
            <w:tcMar>
              <w:top w:w="15" w:type="dxa"/>
              <w:left w:w="15" w:type="dxa"/>
              <w:right w:w="15" w:type="dxa"/>
            </w:tcMar>
            <w:vAlign w:val="center"/>
          </w:tcPr>
          <w:p w14:paraId="68BEB6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指标</w:t>
            </w:r>
          </w:p>
        </w:tc>
        <w:tc>
          <w:tcPr>
            <w:tcW w:w="801" w:type="pct"/>
            <w:tcBorders>
              <w:bottom w:val="single" w:color="auto" w:sz="12" w:space="0"/>
            </w:tcBorders>
            <w:shd w:val="clear" w:color="auto" w:fill="auto"/>
            <w:noWrap/>
            <w:tcMar>
              <w:top w:w="15" w:type="dxa"/>
              <w:left w:w="15" w:type="dxa"/>
              <w:right w:w="15" w:type="dxa"/>
            </w:tcMar>
            <w:vAlign w:val="center"/>
          </w:tcPr>
          <w:p w14:paraId="3BA2BF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eastAsia="宋体" w:cs="Times New Roman"/>
                <w:b/>
                <w:i w:val="0"/>
                <w:color w:val="auto"/>
                <w:kern w:val="0"/>
                <w:sz w:val="21"/>
                <w:szCs w:val="21"/>
                <w:highlight w:val="none"/>
                <w:u w:val="none"/>
                <w:lang w:val="en-US" w:eastAsia="zh-CN" w:bidi="ar"/>
              </w:rPr>
              <w:t>标准值</w:t>
            </w:r>
          </w:p>
        </w:tc>
        <w:tc>
          <w:tcPr>
            <w:tcW w:w="629" w:type="pct"/>
            <w:tcBorders>
              <w:bottom w:val="single" w:color="auto" w:sz="12" w:space="0"/>
            </w:tcBorders>
            <w:shd w:val="clear" w:color="auto" w:fill="auto"/>
            <w:noWrap/>
            <w:tcMar>
              <w:top w:w="15" w:type="dxa"/>
              <w:left w:w="15" w:type="dxa"/>
              <w:right w:w="15" w:type="dxa"/>
            </w:tcMar>
            <w:vAlign w:val="center"/>
          </w:tcPr>
          <w:p w14:paraId="1B61BF9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2"/>
                <w:sz w:val="21"/>
                <w:szCs w:val="21"/>
                <w:highlight w:val="none"/>
                <w:u w:val="none"/>
                <w:lang w:val="en-US" w:eastAsia="zh-CN" w:bidi="ar-SA"/>
              </w:rPr>
            </w:pPr>
            <w:r>
              <w:rPr>
                <w:rFonts w:hint="default" w:ascii="Times New Roman" w:hAnsi="Times New Roman" w:eastAsia="宋体" w:cs="Times New Roman"/>
                <w:b/>
                <w:i w:val="0"/>
                <w:color w:val="auto"/>
                <w:kern w:val="0"/>
                <w:sz w:val="21"/>
                <w:szCs w:val="21"/>
                <w:highlight w:val="none"/>
                <w:u w:val="none"/>
                <w:lang w:val="en-US" w:eastAsia="zh-CN" w:bidi="ar"/>
              </w:rPr>
              <w:t>HR-W1</w:t>
            </w:r>
          </w:p>
        </w:tc>
        <w:tc>
          <w:tcPr>
            <w:tcW w:w="672" w:type="pct"/>
            <w:tcBorders>
              <w:bottom w:val="single" w:color="auto" w:sz="12" w:space="0"/>
            </w:tcBorders>
            <w:shd w:val="clear" w:color="auto" w:fill="auto"/>
            <w:noWrap/>
            <w:tcMar>
              <w:top w:w="15" w:type="dxa"/>
              <w:left w:w="15" w:type="dxa"/>
              <w:right w:w="15" w:type="dxa"/>
            </w:tcMar>
            <w:vAlign w:val="center"/>
          </w:tcPr>
          <w:p w14:paraId="6798F4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eastAsia="宋体" w:cs="Times New Roman"/>
                <w:b/>
                <w:i w:val="0"/>
                <w:color w:val="auto"/>
                <w:kern w:val="0"/>
                <w:sz w:val="21"/>
                <w:szCs w:val="21"/>
                <w:highlight w:val="none"/>
                <w:u w:val="none"/>
                <w:lang w:val="en-US" w:eastAsia="zh-CN" w:bidi="ar"/>
              </w:rPr>
              <w:t>达标情况</w:t>
            </w:r>
          </w:p>
        </w:tc>
        <w:tc>
          <w:tcPr>
            <w:tcW w:w="561" w:type="pct"/>
            <w:tcBorders>
              <w:bottom w:val="single" w:color="auto" w:sz="12" w:space="0"/>
            </w:tcBorders>
            <w:shd w:val="clear" w:color="auto" w:fill="auto"/>
            <w:noWrap/>
            <w:tcMar>
              <w:top w:w="15" w:type="dxa"/>
              <w:left w:w="15" w:type="dxa"/>
              <w:right w:w="15" w:type="dxa"/>
            </w:tcMar>
            <w:vAlign w:val="center"/>
          </w:tcPr>
          <w:p w14:paraId="57882A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sz w:val="21"/>
                <w:szCs w:val="21"/>
                <w:highlight w:val="none"/>
                <w:u w:val="none"/>
              </w:rPr>
            </w:pPr>
            <w:r>
              <w:rPr>
                <w:rFonts w:hint="default" w:ascii="Times New Roman" w:hAnsi="Times New Roman" w:eastAsia="宋体" w:cs="Times New Roman"/>
                <w:b/>
                <w:i w:val="0"/>
                <w:color w:val="auto"/>
                <w:kern w:val="0"/>
                <w:sz w:val="21"/>
                <w:szCs w:val="21"/>
                <w:highlight w:val="none"/>
                <w:u w:val="none"/>
                <w:lang w:val="en-US" w:eastAsia="zh-CN" w:bidi="ar"/>
              </w:rPr>
              <w:t>HR-W2</w:t>
            </w:r>
          </w:p>
        </w:tc>
        <w:tc>
          <w:tcPr>
            <w:tcW w:w="672" w:type="pct"/>
            <w:tcBorders>
              <w:bottom w:val="single" w:color="auto" w:sz="12" w:space="0"/>
            </w:tcBorders>
            <w:shd w:val="clear" w:color="auto" w:fill="auto"/>
            <w:noWrap/>
            <w:tcMar>
              <w:top w:w="15" w:type="dxa"/>
              <w:left w:w="15" w:type="dxa"/>
              <w:right w:w="15" w:type="dxa"/>
            </w:tcMar>
            <w:vAlign w:val="center"/>
          </w:tcPr>
          <w:p w14:paraId="52B69B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default" w:ascii="Times New Roman" w:hAnsi="Times New Roman" w:eastAsia="宋体" w:cs="Times New Roman"/>
                <w:b/>
                <w:i w:val="0"/>
                <w:color w:val="auto"/>
                <w:kern w:val="0"/>
                <w:sz w:val="21"/>
                <w:szCs w:val="21"/>
                <w:highlight w:val="none"/>
                <w:u w:val="none"/>
                <w:lang w:val="en-US" w:eastAsia="zh-CN" w:bidi="ar"/>
              </w:rPr>
              <w:t>达标情况</w:t>
            </w:r>
          </w:p>
        </w:tc>
      </w:tr>
      <w:tr w14:paraId="4FCE5D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347" w:type="pct"/>
            <w:tcBorders>
              <w:top w:val="single" w:color="auto" w:sz="12" w:space="0"/>
              <w:tl2br w:val="nil"/>
              <w:tr2bl w:val="nil"/>
            </w:tcBorders>
            <w:shd w:val="clear" w:color="auto" w:fill="auto"/>
            <w:noWrap/>
            <w:tcMar>
              <w:top w:w="15" w:type="dxa"/>
              <w:left w:w="15" w:type="dxa"/>
              <w:right w:w="15" w:type="dxa"/>
            </w:tcMar>
            <w:vAlign w:val="center"/>
          </w:tcPr>
          <w:p w14:paraId="36BA115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w:t>
            </w:r>
          </w:p>
        </w:tc>
        <w:tc>
          <w:tcPr>
            <w:tcW w:w="1315" w:type="pct"/>
            <w:tcBorders>
              <w:top w:val="single" w:color="auto" w:sz="12" w:space="0"/>
              <w:tl2br w:val="nil"/>
              <w:tr2bl w:val="nil"/>
            </w:tcBorders>
            <w:shd w:val="clear" w:color="auto" w:fill="auto"/>
            <w:noWrap/>
            <w:tcMar>
              <w:top w:w="15" w:type="dxa"/>
              <w:left w:w="15" w:type="dxa"/>
              <w:right w:w="15" w:type="dxa"/>
            </w:tcMar>
            <w:vAlign w:val="center"/>
          </w:tcPr>
          <w:p w14:paraId="25248B7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pH 值</w:t>
            </w:r>
          </w:p>
        </w:tc>
        <w:tc>
          <w:tcPr>
            <w:tcW w:w="801" w:type="pct"/>
            <w:tcBorders>
              <w:top w:val="single" w:color="auto" w:sz="12" w:space="0"/>
              <w:tl2br w:val="nil"/>
              <w:tr2bl w:val="nil"/>
            </w:tcBorders>
            <w:shd w:val="clear" w:color="auto" w:fill="auto"/>
            <w:noWrap/>
            <w:tcMar>
              <w:top w:w="15" w:type="dxa"/>
              <w:left w:w="15" w:type="dxa"/>
              <w:right w:w="15" w:type="dxa"/>
            </w:tcMar>
            <w:vAlign w:val="center"/>
          </w:tcPr>
          <w:p w14:paraId="1A762B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6.5≤pH≤8.5</w:t>
            </w:r>
          </w:p>
        </w:tc>
        <w:tc>
          <w:tcPr>
            <w:tcW w:w="629" w:type="pct"/>
            <w:tcBorders>
              <w:top w:val="single" w:color="auto" w:sz="12" w:space="0"/>
              <w:tl2br w:val="nil"/>
              <w:tr2bl w:val="nil"/>
            </w:tcBorders>
            <w:shd w:val="clear" w:color="auto" w:fill="auto"/>
            <w:noWrap/>
            <w:tcMar>
              <w:top w:w="15" w:type="dxa"/>
              <w:left w:w="15" w:type="dxa"/>
              <w:right w:w="15" w:type="dxa"/>
            </w:tcMar>
            <w:vAlign w:val="center"/>
          </w:tcPr>
          <w:p w14:paraId="68F888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7.42</w:t>
            </w:r>
          </w:p>
        </w:tc>
        <w:tc>
          <w:tcPr>
            <w:tcW w:w="672" w:type="pct"/>
            <w:tcBorders>
              <w:top w:val="single" w:color="auto" w:sz="12" w:space="0"/>
              <w:tl2br w:val="nil"/>
              <w:tr2bl w:val="nil"/>
            </w:tcBorders>
            <w:shd w:val="clear" w:color="auto" w:fill="auto"/>
            <w:noWrap/>
            <w:tcMar>
              <w:top w:w="15" w:type="dxa"/>
              <w:left w:w="15" w:type="dxa"/>
              <w:right w:w="15" w:type="dxa"/>
            </w:tcMar>
            <w:vAlign w:val="center"/>
          </w:tcPr>
          <w:p w14:paraId="0E9A4A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c>
          <w:tcPr>
            <w:tcW w:w="561" w:type="pct"/>
            <w:tcBorders>
              <w:top w:val="single" w:color="auto" w:sz="12" w:space="0"/>
              <w:tl2br w:val="nil"/>
              <w:tr2bl w:val="nil"/>
            </w:tcBorders>
            <w:shd w:val="clear" w:color="auto" w:fill="auto"/>
            <w:noWrap/>
            <w:tcMar>
              <w:top w:w="15" w:type="dxa"/>
              <w:left w:w="15" w:type="dxa"/>
              <w:right w:w="15" w:type="dxa"/>
            </w:tcMar>
            <w:vAlign w:val="center"/>
          </w:tcPr>
          <w:p w14:paraId="4A90A4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7.41</w:t>
            </w:r>
          </w:p>
        </w:tc>
        <w:tc>
          <w:tcPr>
            <w:tcW w:w="672" w:type="pct"/>
            <w:tcBorders>
              <w:top w:val="single" w:color="auto" w:sz="12" w:space="0"/>
              <w:tl2br w:val="nil"/>
              <w:tr2bl w:val="nil"/>
            </w:tcBorders>
            <w:shd w:val="clear" w:color="auto" w:fill="auto"/>
            <w:noWrap/>
            <w:tcMar>
              <w:top w:w="15" w:type="dxa"/>
              <w:left w:w="15" w:type="dxa"/>
              <w:right w:w="15" w:type="dxa"/>
            </w:tcMar>
            <w:vAlign w:val="center"/>
          </w:tcPr>
          <w:p w14:paraId="03E146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r>
      <w:tr w14:paraId="4437C7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347" w:type="pct"/>
            <w:tcBorders>
              <w:tl2br w:val="nil"/>
              <w:tr2bl w:val="nil"/>
            </w:tcBorders>
            <w:shd w:val="clear" w:color="auto" w:fill="auto"/>
            <w:noWrap/>
            <w:tcMar>
              <w:top w:w="15" w:type="dxa"/>
              <w:left w:w="15" w:type="dxa"/>
              <w:right w:w="15" w:type="dxa"/>
            </w:tcMar>
            <w:vAlign w:val="center"/>
          </w:tcPr>
          <w:p w14:paraId="04C396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2</w:t>
            </w:r>
          </w:p>
        </w:tc>
        <w:tc>
          <w:tcPr>
            <w:tcW w:w="1315" w:type="pct"/>
            <w:tcBorders>
              <w:tl2br w:val="nil"/>
              <w:tr2bl w:val="nil"/>
            </w:tcBorders>
            <w:shd w:val="clear" w:color="auto" w:fill="auto"/>
            <w:noWrap/>
            <w:tcMar>
              <w:top w:w="15" w:type="dxa"/>
              <w:left w:w="15" w:type="dxa"/>
              <w:right w:w="15" w:type="dxa"/>
            </w:tcMar>
            <w:vAlign w:val="center"/>
          </w:tcPr>
          <w:p w14:paraId="6D321F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总硬度</w:t>
            </w:r>
          </w:p>
        </w:tc>
        <w:tc>
          <w:tcPr>
            <w:tcW w:w="801" w:type="pct"/>
            <w:tcBorders>
              <w:tl2br w:val="nil"/>
              <w:tr2bl w:val="nil"/>
            </w:tcBorders>
            <w:shd w:val="clear" w:color="auto" w:fill="auto"/>
            <w:noWrap/>
            <w:tcMar>
              <w:top w:w="15" w:type="dxa"/>
              <w:left w:w="15" w:type="dxa"/>
              <w:right w:w="15" w:type="dxa"/>
            </w:tcMar>
            <w:vAlign w:val="center"/>
          </w:tcPr>
          <w:p w14:paraId="557ED9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eastAsia" w:cs="Times New Roman"/>
                <w:i w:val="0"/>
                <w:color w:val="auto"/>
                <w:kern w:val="0"/>
                <w:sz w:val="21"/>
                <w:szCs w:val="21"/>
                <w:highlight w:val="none"/>
                <w:u w:val="none"/>
                <w:lang w:val="en-US" w:eastAsia="zh-CN" w:bidi="ar"/>
              </w:rPr>
              <w:t>650</w:t>
            </w:r>
          </w:p>
        </w:tc>
        <w:tc>
          <w:tcPr>
            <w:tcW w:w="629" w:type="pct"/>
            <w:tcBorders>
              <w:tl2br w:val="nil"/>
              <w:tr2bl w:val="nil"/>
            </w:tcBorders>
            <w:shd w:val="clear" w:color="auto" w:fill="auto"/>
            <w:noWrap/>
            <w:tcMar>
              <w:top w:w="15" w:type="dxa"/>
              <w:left w:w="15" w:type="dxa"/>
              <w:right w:w="15" w:type="dxa"/>
            </w:tcMar>
            <w:vAlign w:val="center"/>
          </w:tcPr>
          <w:p w14:paraId="325EE2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252</w:t>
            </w:r>
          </w:p>
        </w:tc>
        <w:tc>
          <w:tcPr>
            <w:tcW w:w="672" w:type="pct"/>
            <w:tcBorders>
              <w:tl2br w:val="nil"/>
              <w:tr2bl w:val="nil"/>
            </w:tcBorders>
            <w:shd w:val="clear" w:color="auto" w:fill="auto"/>
            <w:noWrap/>
            <w:tcMar>
              <w:top w:w="15" w:type="dxa"/>
              <w:left w:w="15" w:type="dxa"/>
              <w:right w:w="15" w:type="dxa"/>
            </w:tcMar>
            <w:vAlign w:val="center"/>
          </w:tcPr>
          <w:p w14:paraId="7779E1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3B5320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195</w:t>
            </w:r>
          </w:p>
        </w:tc>
        <w:tc>
          <w:tcPr>
            <w:tcW w:w="672" w:type="pct"/>
            <w:tcBorders>
              <w:tl2br w:val="nil"/>
              <w:tr2bl w:val="nil"/>
            </w:tcBorders>
            <w:shd w:val="clear" w:color="auto" w:fill="auto"/>
            <w:noWrap/>
            <w:tcMar>
              <w:top w:w="15" w:type="dxa"/>
              <w:left w:w="15" w:type="dxa"/>
              <w:right w:w="15" w:type="dxa"/>
            </w:tcMar>
            <w:vAlign w:val="center"/>
          </w:tcPr>
          <w:p w14:paraId="3AA7FC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r>
      <w:tr w14:paraId="1B21B4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347" w:type="pct"/>
            <w:tcBorders>
              <w:tl2br w:val="nil"/>
              <w:tr2bl w:val="nil"/>
            </w:tcBorders>
            <w:shd w:val="clear" w:color="auto" w:fill="auto"/>
            <w:noWrap/>
            <w:tcMar>
              <w:top w:w="15" w:type="dxa"/>
              <w:left w:w="15" w:type="dxa"/>
              <w:right w:w="15" w:type="dxa"/>
            </w:tcMar>
            <w:vAlign w:val="center"/>
          </w:tcPr>
          <w:p w14:paraId="73D4CE2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w:t>
            </w:r>
          </w:p>
        </w:tc>
        <w:tc>
          <w:tcPr>
            <w:tcW w:w="1315" w:type="pct"/>
            <w:tcBorders>
              <w:tl2br w:val="nil"/>
              <w:tr2bl w:val="nil"/>
            </w:tcBorders>
            <w:shd w:val="clear" w:color="auto" w:fill="auto"/>
            <w:noWrap/>
            <w:tcMar>
              <w:top w:w="15" w:type="dxa"/>
              <w:left w:w="15" w:type="dxa"/>
              <w:right w:w="15" w:type="dxa"/>
            </w:tcMar>
            <w:vAlign w:val="center"/>
          </w:tcPr>
          <w:p w14:paraId="113B30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溶解性总固体</w:t>
            </w:r>
          </w:p>
        </w:tc>
        <w:tc>
          <w:tcPr>
            <w:tcW w:w="801" w:type="pct"/>
            <w:tcBorders>
              <w:tl2br w:val="nil"/>
              <w:tr2bl w:val="nil"/>
            </w:tcBorders>
            <w:shd w:val="clear" w:color="auto" w:fill="auto"/>
            <w:noWrap/>
            <w:tcMar>
              <w:top w:w="15" w:type="dxa"/>
              <w:left w:w="15" w:type="dxa"/>
              <w:right w:w="15" w:type="dxa"/>
            </w:tcMar>
            <w:vAlign w:val="center"/>
          </w:tcPr>
          <w:p w14:paraId="28B6AF70">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eastAsia" w:cs="Times New Roman"/>
                <w:i w:val="0"/>
                <w:color w:val="auto"/>
                <w:kern w:val="0"/>
                <w:sz w:val="21"/>
                <w:szCs w:val="21"/>
                <w:highlight w:val="none"/>
                <w:u w:val="none"/>
                <w:lang w:val="en-US" w:eastAsia="zh-CN" w:bidi="ar"/>
              </w:rPr>
              <w:t>2</w:t>
            </w:r>
            <w:r>
              <w:rPr>
                <w:rFonts w:hint="default" w:ascii="Times New Roman" w:hAnsi="Times New Roman" w:eastAsia="宋体" w:cs="Times New Roman"/>
                <w:i w:val="0"/>
                <w:color w:val="auto"/>
                <w:kern w:val="0"/>
                <w:sz w:val="21"/>
                <w:szCs w:val="21"/>
                <w:highlight w:val="none"/>
                <w:u w:val="none"/>
                <w:lang w:val="en-US" w:eastAsia="zh-CN" w:bidi="ar"/>
              </w:rPr>
              <w:t>000</w:t>
            </w:r>
          </w:p>
        </w:tc>
        <w:tc>
          <w:tcPr>
            <w:tcW w:w="629" w:type="pct"/>
            <w:tcBorders>
              <w:tl2br w:val="nil"/>
              <w:tr2bl w:val="nil"/>
            </w:tcBorders>
            <w:shd w:val="clear" w:color="auto" w:fill="auto"/>
            <w:noWrap/>
            <w:tcMar>
              <w:top w:w="15" w:type="dxa"/>
              <w:left w:w="15" w:type="dxa"/>
              <w:right w:w="15" w:type="dxa"/>
            </w:tcMar>
            <w:vAlign w:val="center"/>
          </w:tcPr>
          <w:p w14:paraId="2DD269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327</w:t>
            </w:r>
          </w:p>
        </w:tc>
        <w:tc>
          <w:tcPr>
            <w:tcW w:w="672" w:type="pct"/>
            <w:tcBorders>
              <w:tl2br w:val="nil"/>
              <w:tr2bl w:val="nil"/>
            </w:tcBorders>
            <w:shd w:val="clear" w:color="auto" w:fill="auto"/>
            <w:noWrap/>
            <w:tcMar>
              <w:top w:w="15" w:type="dxa"/>
              <w:left w:w="15" w:type="dxa"/>
              <w:right w:w="15" w:type="dxa"/>
            </w:tcMar>
            <w:vAlign w:val="center"/>
          </w:tcPr>
          <w:p w14:paraId="4F0A2F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2C1496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329</w:t>
            </w:r>
          </w:p>
        </w:tc>
        <w:tc>
          <w:tcPr>
            <w:tcW w:w="672" w:type="pct"/>
            <w:tcBorders>
              <w:tl2br w:val="nil"/>
              <w:tr2bl w:val="nil"/>
            </w:tcBorders>
            <w:shd w:val="clear" w:color="auto" w:fill="auto"/>
            <w:noWrap/>
            <w:tcMar>
              <w:top w:w="15" w:type="dxa"/>
              <w:left w:w="15" w:type="dxa"/>
              <w:right w:w="15" w:type="dxa"/>
            </w:tcMar>
            <w:vAlign w:val="center"/>
          </w:tcPr>
          <w:p w14:paraId="5D59D3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r>
      <w:tr w14:paraId="02D3EC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347" w:type="pct"/>
            <w:tcBorders>
              <w:tl2br w:val="nil"/>
              <w:tr2bl w:val="nil"/>
            </w:tcBorders>
            <w:shd w:val="clear" w:color="auto" w:fill="auto"/>
            <w:noWrap/>
            <w:tcMar>
              <w:top w:w="15" w:type="dxa"/>
              <w:left w:w="15" w:type="dxa"/>
              <w:right w:w="15" w:type="dxa"/>
            </w:tcMar>
            <w:vAlign w:val="center"/>
          </w:tcPr>
          <w:p w14:paraId="0FCE2C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4</w:t>
            </w:r>
          </w:p>
        </w:tc>
        <w:tc>
          <w:tcPr>
            <w:tcW w:w="1315" w:type="pct"/>
            <w:tcBorders>
              <w:tl2br w:val="nil"/>
              <w:tr2bl w:val="nil"/>
            </w:tcBorders>
            <w:shd w:val="clear" w:color="auto" w:fill="auto"/>
            <w:noWrap/>
            <w:tcMar>
              <w:top w:w="15" w:type="dxa"/>
              <w:left w:w="15" w:type="dxa"/>
              <w:right w:w="15" w:type="dxa"/>
            </w:tcMar>
            <w:vAlign w:val="center"/>
          </w:tcPr>
          <w:p w14:paraId="56C959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耗氧量</w:t>
            </w:r>
            <w:r>
              <w:rPr>
                <w:rFonts w:hint="eastAsia" w:cs="Times New Roman"/>
                <w:i w:val="0"/>
                <w:color w:val="auto"/>
                <w:kern w:val="0"/>
                <w:sz w:val="21"/>
                <w:szCs w:val="21"/>
                <w:highlight w:val="none"/>
                <w:u w:val="none"/>
                <w:lang w:val="en-US" w:eastAsia="zh-CN" w:bidi="ar"/>
              </w:rPr>
              <w:t>（高锰酸盐指数）</w:t>
            </w:r>
          </w:p>
        </w:tc>
        <w:tc>
          <w:tcPr>
            <w:tcW w:w="801" w:type="pct"/>
            <w:tcBorders>
              <w:tl2br w:val="nil"/>
              <w:tr2bl w:val="nil"/>
            </w:tcBorders>
            <w:shd w:val="clear" w:color="auto" w:fill="auto"/>
            <w:noWrap/>
            <w:tcMar>
              <w:top w:w="15" w:type="dxa"/>
              <w:left w:w="15" w:type="dxa"/>
              <w:right w:w="15" w:type="dxa"/>
            </w:tcMar>
            <w:vAlign w:val="center"/>
          </w:tcPr>
          <w:p w14:paraId="252A84F5">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eastAsia" w:cs="Times New Roman"/>
                <w:i w:val="0"/>
                <w:color w:val="auto"/>
                <w:kern w:val="0"/>
                <w:sz w:val="21"/>
                <w:szCs w:val="21"/>
                <w:highlight w:val="none"/>
                <w:u w:val="none"/>
                <w:lang w:val="en-US" w:eastAsia="zh-CN" w:bidi="ar"/>
              </w:rPr>
              <w:t>10</w:t>
            </w:r>
          </w:p>
        </w:tc>
        <w:tc>
          <w:tcPr>
            <w:tcW w:w="629" w:type="pct"/>
            <w:tcBorders>
              <w:tl2br w:val="nil"/>
              <w:tr2bl w:val="nil"/>
            </w:tcBorders>
            <w:shd w:val="clear" w:color="auto" w:fill="auto"/>
            <w:noWrap/>
            <w:tcMar>
              <w:top w:w="15" w:type="dxa"/>
              <w:left w:w="15" w:type="dxa"/>
              <w:right w:w="15" w:type="dxa"/>
            </w:tcMar>
            <w:vAlign w:val="center"/>
          </w:tcPr>
          <w:p w14:paraId="753918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0.929</w:t>
            </w:r>
          </w:p>
        </w:tc>
        <w:tc>
          <w:tcPr>
            <w:tcW w:w="672" w:type="pct"/>
            <w:tcBorders>
              <w:tl2br w:val="nil"/>
              <w:tr2bl w:val="nil"/>
            </w:tcBorders>
            <w:shd w:val="clear" w:color="auto" w:fill="auto"/>
            <w:noWrap/>
            <w:tcMar>
              <w:top w:w="15" w:type="dxa"/>
              <w:left w:w="15" w:type="dxa"/>
              <w:right w:w="15" w:type="dxa"/>
            </w:tcMar>
            <w:vAlign w:val="center"/>
          </w:tcPr>
          <w:p w14:paraId="669992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1F310F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0.611</w:t>
            </w:r>
          </w:p>
        </w:tc>
        <w:tc>
          <w:tcPr>
            <w:tcW w:w="672" w:type="pct"/>
            <w:tcBorders>
              <w:tl2br w:val="nil"/>
              <w:tr2bl w:val="nil"/>
            </w:tcBorders>
            <w:shd w:val="clear" w:color="auto" w:fill="auto"/>
            <w:noWrap/>
            <w:tcMar>
              <w:top w:w="15" w:type="dxa"/>
              <w:left w:w="15" w:type="dxa"/>
              <w:right w:w="15" w:type="dxa"/>
            </w:tcMar>
            <w:vAlign w:val="center"/>
          </w:tcPr>
          <w:p w14:paraId="761466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r>
      <w:tr w14:paraId="30676F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347" w:type="pct"/>
            <w:tcBorders>
              <w:tl2br w:val="nil"/>
              <w:tr2bl w:val="nil"/>
            </w:tcBorders>
            <w:shd w:val="clear" w:color="auto" w:fill="auto"/>
            <w:noWrap/>
            <w:tcMar>
              <w:top w:w="15" w:type="dxa"/>
              <w:left w:w="15" w:type="dxa"/>
              <w:right w:w="15" w:type="dxa"/>
            </w:tcMar>
            <w:vAlign w:val="center"/>
          </w:tcPr>
          <w:p w14:paraId="612C6A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5</w:t>
            </w:r>
          </w:p>
        </w:tc>
        <w:tc>
          <w:tcPr>
            <w:tcW w:w="1315" w:type="pct"/>
            <w:tcBorders>
              <w:tl2br w:val="nil"/>
              <w:tr2bl w:val="nil"/>
            </w:tcBorders>
            <w:shd w:val="clear" w:color="auto" w:fill="auto"/>
            <w:noWrap/>
            <w:tcMar>
              <w:top w:w="15" w:type="dxa"/>
              <w:left w:w="15" w:type="dxa"/>
              <w:right w:w="15" w:type="dxa"/>
            </w:tcMar>
            <w:vAlign w:val="center"/>
          </w:tcPr>
          <w:p w14:paraId="7A606F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硫酸盐</w:t>
            </w:r>
          </w:p>
        </w:tc>
        <w:tc>
          <w:tcPr>
            <w:tcW w:w="801" w:type="pct"/>
            <w:tcBorders>
              <w:tl2br w:val="nil"/>
              <w:tr2bl w:val="nil"/>
            </w:tcBorders>
            <w:shd w:val="clear" w:color="auto" w:fill="auto"/>
            <w:noWrap/>
            <w:tcMar>
              <w:top w:w="15" w:type="dxa"/>
              <w:left w:w="15" w:type="dxa"/>
              <w:right w:w="15" w:type="dxa"/>
            </w:tcMar>
            <w:vAlign w:val="center"/>
          </w:tcPr>
          <w:p w14:paraId="6579BE66">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eastAsia" w:cs="Times New Roman"/>
                <w:i w:val="0"/>
                <w:color w:val="auto"/>
                <w:kern w:val="0"/>
                <w:sz w:val="21"/>
                <w:szCs w:val="21"/>
                <w:highlight w:val="none"/>
                <w:u w:val="none"/>
                <w:lang w:val="en-US" w:eastAsia="zh-CN" w:bidi="ar"/>
              </w:rPr>
              <w:t>3</w:t>
            </w:r>
            <w:r>
              <w:rPr>
                <w:rFonts w:hint="default" w:ascii="Times New Roman" w:hAnsi="Times New Roman" w:eastAsia="宋体" w:cs="Times New Roman"/>
                <w:i w:val="0"/>
                <w:color w:val="auto"/>
                <w:kern w:val="0"/>
                <w:sz w:val="21"/>
                <w:szCs w:val="21"/>
                <w:highlight w:val="none"/>
                <w:u w:val="none"/>
                <w:lang w:val="en-US" w:eastAsia="zh-CN" w:bidi="ar"/>
              </w:rPr>
              <w:t>50</w:t>
            </w:r>
          </w:p>
        </w:tc>
        <w:tc>
          <w:tcPr>
            <w:tcW w:w="629" w:type="pct"/>
            <w:tcBorders>
              <w:tl2br w:val="nil"/>
              <w:tr2bl w:val="nil"/>
            </w:tcBorders>
            <w:shd w:val="clear" w:color="auto" w:fill="auto"/>
            <w:noWrap/>
            <w:tcMar>
              <w:top w:w="15" w:type="dxa"/>
              <w:left w:w="15" w:type="dxa"/>
              <w:right w:w="15" w:type="dxa"/>
            </w:tcMar>
            <w:vAlign w:val="center"/>
          </w:tcPr>
          <w:p w14:paraId="6F935F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6.12</w:t>
            </w:r>
          </w:p>
        </w:tc>
        <w:tc>
          <w:tcPr>
            <w:tcW w:w="672" w:type="pct"/>
            <w:tcBorders>
              <w:tl2br w:val="nil"/>
              <w:tr2bl w:val="nil"/>
            </w:tcBorders>
            <w:shd w:val="clear" w:color="auto" w:fill="auto"/>
            <w:noWrap/>
            <w:tcMar>
              <w:top w:w="15" w:type="dxa"/>
              <w:left w:w="15" w:type="dxa"/>
              <w:right w:w="15" w:type="dxa"/>
            </w:tcMar>
            <w:vAlign w:val="center"/>
          </w:tcPr>
          <w:p w14:paraId="6FA6B1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38B36E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6.25</w:t>
            </w:r>
          </w:p>
        </w:tc>
        <w:tc>
          <w:tcPr>
            <w:tcW w:w="672" w:type="pct"/>
            <w:tcBorders>
              <w:tl2br w:val="nil"/>
              <w:tr2bl w:val="nil"/>
            </w:tcBorders>
            <w:shd w:val="clear" w:color="auto" w:fill="auto"/>
            <w:noWrap/>
            <w:tcMar>
              <w:top w:w="15" w:type="dxa"/>
              <w:left w:w="15" w:type="dxa"/>
              <w:right w:w="15" w:type="dxa"/>
            </w:tcMar>
            <w:vAlign w:val="center"/>
          </w:tcPr>
          <w:p w14:paraId="404677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r>
      <w:tr w14:paraId="1651F2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347" w:type="pct"/>
            <w:tcBorders>
              <w:tl2br w:val="nil"/>
              <w:tr2bl w:val="nil"/>
            </w:tcBorders>
            <w:shd w:val="clear" w:color="auto" w:fill="auto"/>
            <w:noWrap/>
            <w:tcMar>
              <w:top w:w="15" w:type="dxa"/>
              <w:left w:w="15" w:type="dxa"/>
              <w:right w:w="15" w:type="dxa"/>
            </w:tcMar>
            <w:vAlign w:val="center"/>
          </w:tcPr>
          <w:p w14:paraId="21D3E0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6</w:t>
            </w:r>
          </w:p>
        </w:tc>
        <w:tc>
          <w:tcPr>
            <w:tcW w:w="1315" w:type="pct"/>
            <w:tcBorders>
              <w:tl2br w:val="nil"/>
              <w:tr2bl w:val="nil"/>
            </w:tcBorders>
            <w:shd w:val="clear" w:color="auto" w:fill="auto"/>
            <w:noWrap/>
            <w:tcMar>
              <w:top w:w="15" w:type="dxa"/>
              <w:left w:w="15" w:type="dxa"/>
              <w:right w:w="15" w:type="dxa"/>
            </w:tcMar>
            <w:vAlign w:val="center"/>
          </w:tcPr>
          <w:p w14:paraId="39E482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硝酸盐(以氮计)</w:t>
            </w:r>
          </w:p>
        </w:tc>
        <w:tc>
          <w:tcPr>
            <w:tcW w:w="801" w:type="pct"/>
            <w:tcBorders>
              <w:tl2br w:val="nil"/>
              <w:tr2bl w:val="nil"/>
            </w:tcBorders>
            <w:shd w:val="clear" w:color="auto" w:fill="auto"/>
            <w:noWrap/>
            <w:tcMar>
              <w:top w:w="15" w:type="dxa"/>
              <w:left w:w="15" w:type="dxa"/>
              <w:right w:w="15" w:type="dxa"/>
            </w:tcMar>
            <w:vAlign w:val="center"/>
          </w:tcPr>
          <w:p w14:paraId="00E7530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w:t>
            </w:r>
            <w:r>
              <w:rPr>
                <w:rFonts w:hint="eastAsia" w:cs="Times New Roman"/>
                <w:i w:val="0"/>
                <w:color w:val="auto"/>
                <w:kern w:val="0"/>
                <w:sz w:val="21"/>
                <w:szCs w:val="21"/>
                <w:highlight w:val="none"/>
                <w:u w:val="none"/>
                <w:lang w:val="en-US" w:eastAsia="zh-CN" w:bidi="ar"/>
              </w:rPr>
              <w:t>3</w:t>
            </w:r>
            <w:r>
              <w:rPr>
                <w:rFonts w:hint="default" w:ascii="Times New Roman" w:hAnsi="Times New Roman" w:eastAsia="宋体" w:cs="Times New Roman"/>
                <w:i w:val="0"/>
                <w:color w:val="auto"/>
                <w:kern w:val="0"/>
                <w:sz w:val="21"/>
                <w:szCs w:val="21"/>
                <w:highlight w:val="none"/>
                <w:u w:val="none"/>
                <w:lang w:val="en-US" w:eastAsia="zh-CN" w:bidi="ar"/>
              </w:rPr>
              <w:t>0</w:t>
            </w:r>
          </w:p>
        </w:tc>
        <w:tc>
          <w:tcPr>
            <w:tcW w:w="629" w:type="pct"/>
            <w:tcBorders>
              <w:tl2br w:val="nil"/>
              <w:tr2bl w:val="nil"/>
            </w:tcBorders>
            <w:shd w:val="clear" w:color="auto" w:fill="auto"/>
            <w:noWrap/>
            <w:tcMar>
              <w:top w:w="15" w:type="dxa"/>
              <w:left w:w="15" w:type="dxa"/>
              <w:right w:w="15" w:type="dxa"/>
            </w:tcMar>
            <w:vAlign w:val="center"/>
          </w:tcPr>
          <w:p w14:paraId="161EA2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0.417</w:t>
            </w:r>
          </w:p>
        </w:tc>
        <w:tc>
          <w:tcPr>
            <w:tcW w:w="672" w:type="pct"/>
            <w:tcBorders>
              <w:tl2br w:val="nil"/>
              <w:tr2bl w:val="nil"/>
            </w:tcBorders>
            <w:shd w:val="clear" w:color="auto" w:fill="auto"/>
            <w:noWrap/>
            <w:tcMar>
              <w:top w:w="15" w:type="dxa"/>
              <w:left w:w="15" w:type="dxa"/>
              <w:right w:w="15" w:type="dxa"/>
            </w:tcMar>
            <w:vAlign w:val="center"/>
          </w:tcPr>
          <w:p w14:paraId="4856FE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1766F42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0.675</w:t>
            </w:r>
          </w:p>
        </w:tc>
        <w:tc>
          <w:tcPr>
            <w:tcW w:w="672" w:type="pct"/>
            <w:tcBorders>
              <w:tl2br w:val="nil"/>
              <w:tr2bl w:val="nil"/>
            </w:tcBorders>
            <w:shd w:val="clear" w:color="auto" w:fill="auto"/>
            <w:noWrap/>
            <w:tcMar>
              <w:top w:w="15" w:type="dxa"/>
              <w:left w:w="15" w:type="dxa"/>
              <w:right w:w="15" w:type="dxa"/>
            </w:tcMar>
            <w:vAlign w:val="center"/>
          </w:tcPr>
          <w:p w14:paraId="0F63B7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r>
      <w:tr w14:paraId="1156BB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347" w:type="pct"/>
            <w:tcBorders>
              <w:tl2br w:val="nil"/>
              <w:tr2bl w:val="nil"/>
            </w:tcBorders>
            <w:shd w:val="clear" w:color="auto" w:fill="auto"/>
            <w:noWrap/>
            <w:tcMar>
              <w:top w:w="15" w:type="dxa"/>
              <w:left w:w="15" w:type="dxa"/>
              <w:right w:w="15" w:type="dxa"/>
            </w:tcMar>
            <w:vAlign w:val="center"/>
          </w:tcPr>
          <w:p w14:paraId="45B9C0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7</w:t>
            </w:r>
          </w:p>
        </w:tc>
        <w:tc>
          <w:tcPr>
            <w:tcW w:w="1315" w:type="pct"/>
            <w:tcBorders>
              <w:tl2br w:val="nil"/>
              <w:tr2bl w:val="nil"/>
            </w:tcBorders>
            <w:shd w:val="clear" w:color="auto" w:fill="auto"/>
            <w:noWrap/>
            <w:tcMar>
              <w:top w:w="15" w:type="dxa"/>
              <w:left w:w="15" w:type="dxa"/>
              <w:right w:w="15" w:type="dxa"/>
            </w:tcMar>
            <w:vAlign w:val="center"/>
          </w:tcPr>
          <w:p w14:paraId="050016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氯化物</w:t>
            </w:r>
          </w:p>
        </w:tc>
        <w:tc>
          <w:tcPr>
            <w:tcW w:w="1540" w:type="dxa"/>
            <w:tcBorders>
              <w:tl2br w:val="nil"/>
              <w:tr2bl w:val="nil"/>
            </w:tcBorders>
            <w:shd w:val="clear" w:color="auto" w:fill="auto"/>
            <w:noWrap/>
            <w:tcMar>
              <w:top w:w="15" w:type="dxa"/>
              <w:left w:w="15" w:type="dxa"/>
              <w:right w:w="15" w:type="dxa"/>
            </w:tcMar>
            <w:vAlign w:val="center"/>
          </w:tcPr>
          <w:p w14:paraId="0AF1DDBA">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350</w:t>
            </w:r>
          </w:p>
        </w:tc>
        <w:tc>
          <w:tcPr>
            <w:tcW w:w="629" w:type="pct"/>
            <w:tcBorders>
              <w:tl2br w:val="nil"/>
              <w:tr2bl w:val="nil"/>
            </w:tcBorders>
            <w:shd w:val="clear" w:color="auto" w:fill="auto"/>
            <w:noWrap/>
            <w:tcMar>
              <w:top w:w="15" w:type="dxa"/>
              <w:left w:w="15" w:type="dxa"/>
              <w:right w:w="15" w:type="dxa"/>
            </w:tcMar>
            <w:vAlign w:val="center"/>
          </w:tcPr>
          <w:p w14:paraId="69022C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7.87</w:t>
            </w:r>
          </w:p>
        </w:tc>
        <w:tc>
          <w:tcPr>
            <w:tcW w:w="672" w:type="pct"/>
            <w:tcBorders>
              <w:tl2br w:val="nil"/>
              <w:tr2bl w:val="nil"/>
            </w:tcBorders>
            <w:shd w:val="clear" w:color="auto" w:fill="auto"/>
            <w:noWrap/>
            <w:tcMar>
              <w:top w:w="15" w:type="dxa"/>
              <w:left w:w="15" w:type="dxa"/>
              <w:right w:w="15" w:type="dxa"/>
            </w:tcMar>
            <w:vAlign w:val="center"/>
          </w:tcPr>
          <w:p w14:paraId="032772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2FF13A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2</w:t>
            </w:r>
            <w:r>
              <w:rPr>
                <w:rFonts w:hint="default" w:ascii="Times New Roman" w:hAnsi="Times New Roman" w:cs="Times New Roman"/>
                <w:i w:val="0"/>
                <w:color w:val="auto"/>
                <w:kern w:val="0"/>
                <w:sz w:val="21"/>
                <w:szCs w:val="21"/>
                <w:highlight w:val="none"/>
                <w:u w:val="none"/>
                <w:lang w:val="en-US" w:eastAsia="zh-CN" w:bidi="ar"/>
              </w:rPr>
              <w:t>.00</w:t>
            </w:r>
          </w:p>
        </w:tc>
        <w:tc>
          <w:tcPr>
            <w:tcW w:w="672" w:type="pct"/>
            <w:tcBorders>
              <w:tl2br w:val="nil"/>
              <w:tr2bl w:val="nil"/>
            </w:tcBorders>
            <w:shd w:val="clear" w:color="auto" w:fill="auto"/>
            <w:noWrap/>
            <w:tcMar>
              <w:top w:w="15" w:type="dxa"/>
              <w:left w:w="15" w:type="dxa"/>
              <w:right w:w="15" w:type="dxa"/>
            </w:tcMar>
            <w:vAlign w:val="center"/>
          </w:tcPr>
          <w:p w14:paraId="19B599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r>
      <w:tr w14:paraId="173D09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347" w:type="pct"/>
            <w:tcBorders>
              <w:tl2br w:val="nil"/>
              <w:tr2bl w:val="nil"/>
            </w:tcBorders>
            <w:shd w:val="clear" w:color="auto" w:fill="auto"/>
            <w:noWrap/>
            <w:tcMar>
              <w:top w:w="15" w:type="dxa"/>
              <w:left w:w="15" w:type="dxa"/>
              <w:right w:w="15" w:type="dxa"/>
            </w:tcMar>
            <w:vAlign w:val="center"/>
          </w:tcPr>
          <w:p w14:paraId="126376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8</w:t>
            </w:r>
          </w:p>
        </w:tc>
        <w:tc>
          <w:tcPr>
            <w:tcW w:w="1315" w:type="pct"/>
            <w:tcBorders>
              <w:tl2br w:val="nil"/>
              <w:tr2bl w:val="nil"/>
            </w:tcBorders>
            <w:shd w:val="clear" w:color="auto" w:fill="auto"/>
            <w:noWrap/>
            <w:tcMar>
              <w:top w:w="15" w:type="dxa"/>
              <w:left w:w="15" w:type="dxa"/>
              <w:right w:w="15" w:type="dxa"/>
            </w:tcMar>
            <w:vAlign w:val="center"/>
          </w:tcPr>
          <w:p w14:paraId="156C85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eastAsia" w:cs="Times New Roman"/>
                <w:i w:val="0"/>
                <w:color w:val="auto"/>
                <w:kern w:val="0"/>
                <w:sz w:val="21"/>
                <w:szCs w:val="21"/>
                <w:highlight w:val="none"/>
                <w:u w:val="none"/>
                <w:lang w:val="en-US" w:eastAsia="zh-CN" w:bidi="ar"/>
              </w:rPr>
              <w:t>总氟化物</w:t>
            </w:r>
          </w:p>
        </w:tc>
        <w:tc>
          <w:tcPr>
            <w:tcW w:w="1540" w:type="dxa"/>
            <w:tcBorders>
              <w:tl2br w:val="nil"/>
              <w:tr2bl w:val="nil"/>
            </w:tcBorders>
            <w:shd w:val="clear" w:color="auto" w:fill="auto"/>
            <w:noWrap/>
            <w:tcMar>
              <w:top w:w="15" w:type="dxa"/>
              <w:left w:w="15" w:type="dxa"/>
              <w:right w:w="15" w:type="dxa"/>
            </w:tcMar>
            <w:vAlign w:val="center"/>
          </w:tcPr>
          <w:p w14:paraId="4BB775E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2</w:t>
            </w:r>
            <w:r>
              <w:rPr>
                <w:rFonts w:hint="eastAsia" w:cs="Times New Roman"/>
                <w:i w:val="0"/>
                <w:color w:val="000000"/>
                <w:kern w:val="0"/>
                <w:sz w:val="21"/>
                <w:szCs w:val="21"/>
                <w:highlight w:val="none"/>
                <w:u w:val="none"/>
                <w:lang w:val="en-US" w:eastAsia="zh-CN" w:bidi="ar"/>
              </w:rPr>
              <w:t>.0</w:t>
            </w:r>
          </w:p>
        </w:tc>
        <w:tc>
          <w:tcPr>
            <w:tcW w:w="629" w:type="pct"/>
            <w:tcBorders>
              <w:tl2br w:val="nil"/>
              <w:tr2bl w:val="nil"/>
            </w:tcBorders>
            <w:shd w:val="clear" w:color="auto" w:fill="auto"/>
            <w:noWrap/>
            <w:tcMar>
              <w:top w:w="15" w:type="dxa"/>
              <w:left w:w="15" w:type="dxa"/>
              <w:right w:w="15" w:type="dxa"/>
            </w:tcMar>
            <w:vAlign w:val="center"/>
          </w:tcPr>
          <w:p w14:paraId="294BF4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0.151</w:t>
            </w:r>
          </w:p>
        </w:tc>
        <w:tc>
          <w:tcPr>
            <w:tcW w:w="672" w:type="pct"/>
            <w:tcBorders>
              <w:tl2br w:val="nil"/>
              <w:tr2bl w:val="nil"/>
            </w:tcBorders>
            <w:shd w:val="clear" w:color="auto" w:fill="auto"/>
            <w:noWrap/>
            <w:tcMar>
              <w:top w:w="15" w:type="dxa"/>
              <w:left w:w="15" w:type="dxa"/>
              <w:right w:w="15" w:type="dxa"/>
            </w:tcMar>
            <w:vAlign w:val="center"/>
          </w:tcPr>
          <w:p w14:paraId="08B11A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3E87CC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0.658</w:t>
            </w:r>
          </w:p>
        </w:tc>
        <w:tc>
          <w:tcPr>
            <w:tcW w:w="672" w:type="pct"/>
            <w:tcBorders>
              <w:tl2br w:val="nil"/>
              <w:tr2bl w:val="nil"/>
            </w:tcBorders>
            <w:shd w:val="clear" w:color="auto" w:fill="auto"/>
            <w:noWrap/>
            <w:tcMar>
              <w:top w:w="15" w:type="dxa"/>
              <w:left w:w="15" w:type="dxa"/>
              <w:right w:w="15" w:type="dxa"/>
            </w:tcMar>
            <w:vAlign w:val="center"/>
          </w:tcPr>
          <w:p w14:paraId="1BDBFA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r>
      <w:tr w14:paraId="7016E3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347" w:type="pct"/>
            <w:tcBorders>
              <w:tl2br w:val="nil"/>
              <w:tr2bl w:val="nil"/>
            </w:tcBorders>
            <w:shd w:val="clear" w:color="auto" w:fill="auto"/>
            <w:noWrap/>
            <w:tcMar>
              <w:top w:w="15" w:type="dxa"/>
              <w:left w:w="15" w:type="dxa"/>
              <w:right w:w="15" w:type="dxa"/>
            </w:tcMar>
            <w:vAlign w:val="center"/>
          </w:tcPr>
          <w:p w14:paraId="6498FA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eastAsia="宋体" w:cs="Times New Roman"/>
                <w:i w:val="0"/>
                <w:color w:val="auto"/>
                <w:sz w:val="21"/>
                <w:szCs w:val="21"/>
                <w:highlight w:val="none"/>
                <w:u w:val="none"/>
                <w:lang w:val="en-US" w:eastAsia="zh-CN"/>
              </w:rPr>
              <w:t>9</w:t>
            </w:r>
          </w:p>
        </w:tc>
        <w:tc>
          <w:tcPr>
            <w:tcW w:w="1315" w:type="pct"/>
            <w:tcBorders>
              <w:tl2br w:val="nil"/>
              <w:tr2bl w:val="nil"/>
            </w:tcBorders>
            <w:shd w:val="clear" w:color="auto" w:fill="auto"/>
            <w:noWrap/>
            <w:tcMar>
              <w:top w:w="15" w:type="dxa"/>
              <w:left w:w="15" w:type="dxa"/>
              <w:right w:w="15" w:type="dxa"/>
            </w:tcMar>
            <w:vAlign w:val="center"/>
          </w:tcPr>
          <w:p w14:paraId="1C6C89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阴离子表面活性剂</w:t>
            </w:r>
          </w:p>
        </w:tc>
        <w:tc>
          <w:tcPr>
            <w:tcW w:w="1540" w:type="dxa"/>
            <w:tcBorders>
              <w:tl2br w:val="nil"/>
              <w:tr2bl w:val="nil"/>
            </w:tcBorders>
            <w:shd w:val="clear" w:color="auto" w:fill="auto"/>
            <w:noWrap/>
            <w:tcMar>
              <w:top w:w="15" w:type="dxa"/>
              <w:left w:w="15" w:type="dxa"/>
              <w:right w:w="15" w:type="dxa"/>
            </w:tcMar>
            <w:vAlign w:val="center"/>
          </w:tcPr>
          <w:p w14:paraId="1C428632">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≤0.3</w:t>
            </w:r>
          </w:p>
        </w:tc>
        <w:tc>
          <w:tcPr>
            <w:tcW w:w="629" w:type="pct"/>
            <w:tcBorders>
              <w:tl2br w:val="nil"/>
              <w:tr2bl w:val="nil"/>
            </w:tcBorders>
            <w:shd w:val="clear" w:color="auto" w:fill="auto"/>
            <w:noWrap/>
            <w:tcMar>
              <w:top w:w="15" w:type="dxa"/>
              <w:left w:w="15" w:type="dxa"/>
              <w:right w:w="15" w:type="dxa"/>
            </w:tcMar>
            <w:vAlign w:val="center"/>
          </w:tcPr>
          <w:p w14:paraId="70CE64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0.054</w:t>
            </w:r>
          </w:p>
        </w:tc>
        <w:tc>
          <w:tcPr>
            <w:tcW w:w="672" w:type="pct"/>
            <w:tcBorders>
              <w:tl2br w:val="nil"/>
              <w:tr2bl w:val="nil"/>
            </w:tcBorders>
            <w:shd w:val="clear" w:color="auto" w:fill="auto"/>
            <w:noWrap/>
            <w:tcMar>
              <w:top w:w="15" w:type="dxa"/>
              <w:left w:w="15" w:type="dxa"/>
              <w:right w:w="15" w:type="dxa"/>
            </w:tcMar>
            <w:vAlign w:val="center"/>
          </w:tcPr>
          <w:p w14:paraId="17E073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066D61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cs="Times New Roman"/>
                <w:i w:val="0"/>
                <w:color w:val="auto"/>
                <w:sz w:val="21"/>
                <w:szCs w:val="21"/>
                <w:highlight w:val="none"/>
                <w:u w:val="none"/>
                <w:lang w:eastAsia="zh-CN"/>
              </w:rPr>
              <w:t>＜</w:t>
            </w:r>
            <w:r>
              <w:rPr>
                <w:rFonts w:hint="default" w:ascii="Times New Roman" w:hAnsi="Times New Roman" w:cs="Times New Roman"/>
                <w:i w:val="0"/>
                <w:color w:val="auto"/>
                <w:sz w:val="21"/>
                <w:szCs w:val="21"/>
                <w:highlight w:val="none"/>
                <w:u w:val="none"/>
                <w:lang w:val="en-US" w:eastAsia="zh-CN"/>
              </w:rPr>
              <w:t>0.05</w:t>
            </w:r>
          </w:p>
        </w:tc>
        <w:tc>
          <w:tcPr>
            <w:tcW w:w="672" w:type="pct"/>
            <w:tcBorders>
              <w:tl2br w:val="nil"/>
              <w:tr2bl w:val="nil"/>
            </w:tcBorders>
            <w:shd w:val="clear" w:color="auto" w:fill="auto"/>
            <w:noWrap/>
            <w:tcMar>
              <w:top w:w="15" w:type="dxa"/>
              <w:left w:w="15" w:type="dxa"/>
              <w:right w:w="15" w:type="dxa"/>
            </w:tcMar>
            <w:vAlign w:val="center"/>
          </w:tcPr>
          <w:p w14:paraId="052A2D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r>
      <w:tr w14:paraId="541C6B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347" w:type="pct"/>
            <w:tcBorders>
              <w:tl2br w:val="nil"/>
              <w:tr2bl w:val="nil"/>
            </w:tcBorders>
            <w:shd w:val="clear" w:color="auto" w:fill="auto"/>
            <w:noWrap/>
            <w:tcMar>
              <w:top w:w="15" w:type="dxa"/>
              <w:left w:w="15" w:type="dxa"/>
              <w:right w:w="15" w:type="dxa"/>
            </w:tcMar>
            <w:vAlign w:val="center"/>
          </w:tcPr>
          <w:p w14:paraId="5DCEA0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10</w:t>
            </w:r>
          </w:p>
        </w:tc>
        <w:tc>
          <w:tcPr>
            <w:tcW w:w="1315" w:type="pct"/>
            <w:tcBorders>
              <w:tl2br w:val="nil"/>
              <w:tr2bl w:val="nil"/>
            </w:tcBorders>
            <w:shd w:val="clear" w:color="auto" w:fill="auto"/>
            <w:noWrap/>
            <w:tcMar>
              <w:top w:w="15" w:type="dxa"/>
              <w:left w:w="15" w:type="dxa"/>
              <w:right w:w="15" w:type="dxa"/>
            </w:tcMar>
            <w:vAlign w:val="center"/>
          </w:tcPr>
          <w:p w14:paraId="3CC413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氨氮</w:t>
            </w:r>
          </w:p>
        </w:tc>
        <w:tc>
          <w:tcPr>
            <w:tcW w:w="1540" w:type="dxa"/>
            <w:tcBorders>
              <w:tl2br w:val="nil"/>
              <w:tr2bl w:val="nil"/>
            </w:tcBorders>
            <w:shd w:val="clear" w:color="auto" w:fill="auto"/>
            <w:noWrap/>
            <w:tcMar>
              <w:top w:w="15" w:type="dxa"/>
              <w:left w:w="15" w:type="dxa"/>
              <w:right w:w="15" w:type="dxa"/>
            </w:tcMar>
            <w:vAlign w:val="center"/>
          </w:tcPr>
          <w:p w14:paraId="04D0DB7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1.5</w:t>
            </w:r>
            <w:r>
              <w:rPr>
                <w:rFonts w:hint="eastAsia" w:cs="Times New Roman"/>
                <w:i w:val="0"/>
                <w:color w:val="000000"/>
                <w:kern w:val="0"/>
                <w:sz w:val="21"/>
                <w:szCs w:val="21"/>
                <w:highlight w:val="none"/>
                <w:u w:val="none"/>
                <w:lang w:val="en-US" w:eastAsia="zh-CN" w:bidi="ar"/>
              </w:rPr>
              <w:t>0</w:t>
            </w:r>
          </w:p>
        </w:tc>
        <w:tc>
          <w:tcPr>
            <w:tcW w:w="629" w:type="pct"/>
            <w:tcBorders>
              <w:tl2br w:val="nil"/>
              <w:tr2bl w:val="nil"/>
            </w:tcBorders>
            <w:shd w:val="clear" w:color="auto" w:fill="auto"/>
            <w:noWrap/>
            <w:tcMar>
              <w:top w:w="15" w:type="dxa"/>
              <w:left w:w="15" w:type="dxa"/>
              <w:right w:w="15" w:type="dxa"/>
            </w:tcMar>
            <w:vAlign w:val="center"/>
          </w:tcPr>
          <w:p w14:paraId="5DA03F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kern w:val="2"/>
                <w:sz w:val="21"/>
                <w:szCs w:val="21"/>
                <w:highlight w:val="none"/>
                <w:u w:val="none"/>
                <w:lang w:val="en-US" w:eastAsia="zh-CN" w:bidi="ar-SA"/>
              </w:rPr>
            </w:pPr>
            <w:r>
              <w:rPr>
                <w:rFonts w:hint="default" w:ascii="Times New Roman" w:hAnsi="Times New Roman" w:eastAsia="宋体" w:cs="Times New Roman"/>
                <w:b w:val="0"/>
                <w:bCs w:val="0"/>
                <w:i w:val="0"/>
                <w:color w:val="auto"/>
                <w:kern w:val="0"/>
                <w:sz w:val="21"/>
                <w:szCs w:val="21"/>
                <w:highlight w:val="none"/>
                <w:u w:val="none"/>
                <w:lang w:val="en-US" w:eastAsia="zh-CN" w:bidi="ar"/>
              </w:rPr>
              <w:t>0.66</w:t>
            </w:r>
          </w:p>
        </w:tc>
        <w:tc>
          <w:tcPr>
            <w:tcW w:w="672" w:type="pct"/>
            <w:tcBorders>
              <w:tl2br w:val="nil"/>
              <w:tr2bl w:val="nil"/>
            </w:tcBorders>
            <w:shd w:val="clear" w:color="auto" w:fill="auto"/>
            <w:noWrap/>
            <w:tcMar>
              <w:top w:w="15" w:type="dxa"/>
              <w:left w:w="15" w:type="dxa"/>
              <w:right w:w="15" w:type="dxa"/>
            </w:tcMar>
            <w:vAlign w:val="center"/>
          </w:tcPr>
          <w:p w14:paraId="46C470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宋体" w:cs="Times New Roman"/>
                <w:b w:val="0"/>
                <w:bCs w:val="0"/>
                <w:i w:val="0"/>
                <w:color w:val="000000"/>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1E15E25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rPr>
            </w:pPr>
            <w:r>
              <w:rPr>
                <w:rFonts w:hint="default" w:ascii="Times New Roman" w:hAnsi="Times New Roman" w:eastAsia="宋体" w:cs="Times New Roman"/>
                <w:b w:val="0"/>
                <w:bCs w:val="0"/>
                <w:i w:val="0"/>
                <w:color w:val="auto"/>
                <w:kern w:val="0"/>
                <w:sz w:val="21"/>
                <w:szCs w:val="21"/>
                <w:highlight w:val="none"/>
                <w:u w:val="none"/>
                <w:lang w:val="en-US" w:eastAsia="zh-CN" w:bidi="ar"/>
              </w:rPr>
              <w:t>0.5</w:t>
            </w:r>
          </w:p>
        </w:tc>
        <w:tc>
          <w:tcPr>
            <w:tcW w:w="672" w:type="pct"/>
            <w:tcBorders>
              <w:tl2br w:val="nil"/>
              <w:tr2bl w:val="nil"/>
            </w:tcBorders>
            <w:shd w:val="clear" w:color="auto" w:fill="auto"/>
            <w:noWrap/>
            <w:tcMar>
              <w:top w:w="15" w:type="dxa"/>
              <w:left w:w="15" w:type="dxa"/>
              <w:right w:w="15" w:type="dxa"/>
            </w:tcMar>
            <w:vAlign w:val="center"/>
          </w:tcPr>
          <w:p w14:paraId="374ED6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r>
      <w:tr w14:paraId="2B9B95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347" w:type="pct"/>
            <w:tcBorders>
              <w:tl2br w:val="nil"/>
              <w:tr2bl w:val="nil"/>
            </w:tcBorders>
            <w:shd w:val="clear" w:color="auto" w:fill="auto"/>
            <w:noWrap/>
            <w:tcMar>
              <w:top w:w="15" w:type="dxa"/>
              <w:left w:w="15" w:type="dxa"/>
              <w:right w:w="15" w:type="dxa"/>
            </w:tcMar>
            <w:vAlign w:val="center"/>
          </w:tcPr>
          <w:p w14:paraId="5221A9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11</w:t>
            </w:r>
          </w:p>
        </w:tc>
        <w:tc>
          <w:tcPr>
            <w:tcW w:w="1315" w:type="pct"/>
            <w:tcBorders>
              <w:tl2br w:val="nil"/>
              <w:tr2bl w:val="nil"/>
            </w:tcBorders>
            <w:shd w:val="clear" w:color="auto" w:fill="auto"/>
            <w:noWrap/>
            <w:tcMar>
              <w:top w:w="15" w:type="dxa"/>
              <w:left w:w="15" w:type="dxa"/>
              <w:right w:w="15" w:type="dxa"/>
            </w:tcMar>
            <w:vAlign w:val="center"/>
          </w:tcPr>
          <w:p w14:paraId="755E10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亚硝酸盐氮</w:t>
            </w:r>
          </w:p>
        </w:tc>
        <w:tc>
          <w:tcPr>
            <w:tcW w:w="801" w:type="pct"/>
            <w:tcBorders>
              <w:tl2br w:val="nil"/>
              <w:tr2bl w:val="nil"/>
            </w:tcBorders>
            <w:shd w:val="clear" w:color="auto" w:fill="auto"/>
            <w:noWrap/>
            <w:tcMar>
              <w:top w:w="15" w:type="dxa"/>
              <w:left w:w="15" w:type="dxa"/>
              <w:right w:w="15" w:type="dxa"/>
            </w:tcMar>
            <w:vAlign w:val="center"/>
          </w:tcPr>
          <w:p w14:paraId="15A6D474">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4.8</w:t>
            </w:r>
            <w:r>
              <w:rPr>
                <w:rFonts w:hint="eastAsia" w:cs="Times New Roman"/>
                <w:i w:val="0"/>
                <w:color w:val="000000"/>
                <w:kern w:val="0"/>
                <w:sz w:val="21"/>
                <w:szCs w:val="21"/>
                <w:highlight w:val="none"/>
                <w:u w:val="none"/>
                <w:lang w:val="en-US" w:eastAsia="zh-CN" w:bidi="ar"/>
              </w:rPr>
              <w:t>0</w:t>
            </w:r>
          </w:p>
        </w:tc>
        <w:tc>
          <w:tcPr>
            <w:tcW w:w="629" w:type="pct"/>
            <w:tcBorders>
              <w:tl2br w:val="nil"/>
              <w:tr2bl w:val="nil"/>
            </w:tcBorders>
            <w:shd w:val="clear" w:color="auto" w:fill="auto"/>
            <w:noWrap/>
            <w:tcMar>
              <w:top w:w="15" w:type="dxa"/>
              <w:left w:w="15" w:type="dxa"/>
              <w:right w:w="15" w:type="dxa"/>
            </w:tcMar>
            <w:vAlign w:val="center"/>
          </w:tcPr>
          <w:p w14:paraId="03A7FB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kern w:val="2"/>
                <w:sz w:val="21"/>
                <w:szCs w:val="21"/>
                <w:highlight w:val="none"/>
                <w:u w:val="none"/>
                <w:lang w:val="en-US" w:eastAsia="zh-CN" w:bidi="ar-SA"/>
              </w:rPr>
            </w:pPr>
            <w:r>
              <w:rPr>
                <w:rFonts w:hint="default" w:ascii="Times New Roman" w:hAnsi="Times New Roman" w:eastAsia="宋体" w:cs="Times New Roman"/>
                <w:b w:val="0"/>
                <w:bCs w:val="0"/>
                <w:i w:val="0"/>
                <w:color w:val="auto"/>
                <w:kern w:val="0"/>
                <w:sz w:val="21"/>
                <w:szCs w:val="21"/>
                <w:highlight w:val="none"/>
                <w:u w:val="none"/>
                <w:lang w:val="en-US" w:eastAsia="zh-CN" w:bidi="ar"/>
              </w:rPr>
              <w:t>0.061</w:t>
            </w:r>
          </w:p>
        </w:tc>
        <w:tc>
          <w:tcPr>
            <w:tcW w:w="672" w:type="pct"/>
            <w:tcBorders>
              <w:tl2br w:val="nil"/>
              <w:tr2bl w:val="nil"/>
            </w:tcBorders>
            <w:shd w:val="clear" w:color="auto" w:fill="auto"/>
            <w:noWrap/>
            <w:tcMar>
              <w:top w:w="15" w:type="dxa"/>
              <w:left w:w="15" w:type="dxa"/>
              <w:right w:w="15" w:type="dxa"/>
            </w:tcMar>
            <w:vAlign w:val="center"/>
          </w:tcPr>
          <w:p w14:paraId="3FB1AB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宋体" w:cs="Times New Roman"/>
                <w:b w:val="0"/>
                <w:bCs w:val="0"/>
                <w:i w:val="0"/>
                <w:color w:val="000000"/>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4B0ABB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rPr>
            </w:pPr>
            <w:r>
              <w:rPr>
                <w:rFonts w:hint="default" w:ascii="Times New Roman" w:hAnsi="Times New Roman" w:eastAsia="宋体" w:cs="Times New Roman"/>
                <w:b w:val="0"/>
                <w:bCs w:val="0"/>
                <w:i w:val="0"/>
                <w:color w:val="auto"/>
                <w:kern w:val="0"/>
                <w:sz w:val="21"/>
                <w:szCs w:val="21"/>
                <w:highlight w:val="none"/>
                <w:u w:val="none"/>
                <w:lang w:val="en-US" w:eastAsia="zh-CN" w:bidi="ar"/>
              </w:rPr>
              <w:t>0.005</w:t>
            </w:r>
          </w:p>
        </w:tc>
        <w:tc>
          <w:tcPr>
            <w:tcW w:w="672" w:type="pct"/>
            <w:tcBorders>
              <w:tl2br w:val="nil"/>
              <w:tr2bl w:val="nil"/>
            </w:tcBorders>
            <w:shd w:val="clear" w:color="auto" w:fill="auto"/>
            <w:noWrap/>
            <w:tcMar>
              <w:top w:w="15" w:type="dxa"/>
              <w:left w:w="15" w:type="dxa"/>
              <w:right w:w="15" w:type="dxa"/>
            </w:tcMar>
            <w:vAlign w:val="center"/>
          </w:tcPr>
          <w:p w14:paraId="695C08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r>
      <w:tr w14:paraId="257699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347" w:type="pct"/>
            <w:tcBorders>
              <w:tl2br w:val="nil"/>
              <w:tr2bl w:val="nil"/>
            </w:tcBorders>
            <w:shd w:val="clear" w:color="auto" w:fill="auto"/>
            <w:noWrap/>
            <w:tcMar>
              <w:top w:w="15" w:type="dxa"/>
              <w:left w:w="15" w:type="dxa"/>
              <w:right w:w="15" w:type="dxa"/>
            </w:tcMar>
            <w:vAlign w:val="center"/>
          </w:tcPr>
          <w:p w14:paraId="5AC056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12</w:t>
            </w:r>
          </w:p>
        </w:tc>
        <w:tc>
          <w:tcPr>
            <w:tcW w:w="1315" w:type="pct"/>
            <w:tcBorders>
              <w:tl2br w:val="nil"/>
              <w:tr2bl w:val="nil"/>
            </w:tcBorders>
            <w:shd w:val="clear" w:color="auto" w:fill="auto"/>
            <w:noWrap/>
            <w:tcMar>
              <w:top w:w="15" w:type="dxa"/>
              <w:left w:w="15" w:type="dxa"/>
              <w:right w:w="15" w:type="dxa"/>
            </w:tcMar>
            <w:vAlign w:val="center"/>
          </w:tcPr>
          <w:p w14:paraId="281523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锰</w:t>
            </w:r>
          </w:p>
        </w:tc>
        <w:tc>
          <w:tcPr>
            <w:tcW w:w="801" w:type="pct"/>
            <w:tcBorders>
              <w:tl2br w:val="nil"/>
              <w:tr2bl w:val="nil"/>
            </w:tcBorders>
            <w:shd w:val="clear" w:color="auto" w:fill="auto"/>
            <w:noWrap/>
            <w:tcMar>
              <w:top w:w="15" w:type="dxa"/>
              <w:left w:w="15" w:type="dxa"/>
              <w:right w:w="15" w:type="dxa"/>
            </w:tcMar>
            <w:vAlign w:val="center"/>
          </w:tcPr>
          <w:p w14:paraId="7C155C6F">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eastAsia" w:cs="Times New Roman"/>
                <w:i w:val="0"/>
                <w:color w:val="000000"/>
                <w:kern w:val="0"/>
                <w:sz w:val="22"/>
                <w:szCs w:val="22"/>
                <w:highlight w:val="none"/>
                <w:u w:val="none"/>
                <w:lang w:val="en-US" w:eastAsia="zh-CN" w:bidi="ar"/>
              </w:rPr>
              <w:t>1.50</w:t>
            </w:r>
          </w:p>
        </w:tc>
        <w:tc>
          <w:tcPr>
            <w:tcW w:w="629" w:type="pct"/>
            <w:tcBorders>
              <w:tl2br w:val="nil"/>
              <w:tr2bl w:val="nil"/>
            </w:tcBorders>
            <w:shd w:val="clear" w:color="auto" w:fill="auto"/>
            <w:noWrap/>
            <w:tcMar>
              <w:top w:w="15" w:type="dxa"/>
              <w:left w:w="15" w:type="dxa"/>
              <w:right w:w="15" w:type="dxa"/>
            </w:tcMar>
            <w:vAlign w:val="center"/>
          </w:tcPr>
          <w:p w14:paraId="04350D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kern w:val="2"/>
                <w:sz w:val="21"/>
                <w:szCs w:val="21"/>
                <w:highlight w:val="none"/>
                <w:u w:val="none"/>
                <w:lang w:val="en-US" w:eastAsia="zh-CN" w:bidi="ar-SA"/>
              </w:rPr>
            </w:pPr>
            <w:r>
              <w:rPr>
                <w:rFonts w:hint="default" w:ascii="Times New Roman" w:hAnsi="Times New Roman" w:eastAsia="宋体" w:cs="Times New Roman"/>
                <w:b w:val="0"/>
                <w:bCs w:val="0"/>
                <w:i w:val="0"/>
                <w:color w:val="auto"/>
                <w:kern w:val="0"/>
                <w:sz w:val="21"/>
                <w:szCs w:val="21"/>
                <w:highlight w:val="none"/>
                <w:u w:val="none"/>
                <w:lang w:val="en-US" w:eastAsia="zh-CN" w:bidi="ar"/>
              </w:rPr>
              <w:t>0.0603</w:t>
            </w:r>
          </w:p>
        </w:tc>
        <w:tc>
          <w:tcPr>
            <w:tcW w:w="672" w:type="pct"/>
            <w:tcBorders>
              <w:tl2br w:val="nil"/>
              <w:tr2bl w:val="nil"/>
            </w:tcBorders>
            <w:shd w:val="clear" w:color="auto" w:fill="auto"/>
            <w:noWrap/>
            <w:tcMar>
              <w:top w:w="15" w:type="dxa"/>
              <w:left w:w="15" w:type="dxa"/>
              <w:right w:w="15" w:type="dxa"/>
            </w:tcMar>
            <w:vAlign w:val="center"/>
          </w:tcPr>
          <w:p w14:paraId="5EECBD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default" w:ascii="Times New Roman" w:hAnsi="Times New Roman" w:eastAsia="宋体" w:cs="Times New Roman"/>
                <w:b w:val="0"/>
                <w:bCs w:val="0"/>
                <w:i w:val="0"/>
                <w:color w:val="000000"/>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213893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i w:val="0"/>
                <w:color w:val="auto"/>
                <w:sz w:val="21"/>
                <w:szCs w:val="21"/>
                <w:highlight w:val="none"/>
                <w:u w:val="none"/>
                <w:lang w:val="en-US"/>
              </w:rPr>
            </w:pPr>
            <w:r>
              <w:rPr>
                <w:rFonts w:hint="default" w:ascii="Times New Roman" w:hAnsi="Times New Roman" w:eastAsia="宋体" w:cs="Times New Roman"/>
                <w:b w:val="0"/>
                <w:bCs w:val="0"/>
                <w:i w:val="0"/>
                <w:color w:val="auto"/>
                <w:kern w:val="0"/>
                <w:sz w:val="21"/>
                <w:szCs w:val="21"/>
                <w:highlight w:val="none"/>
                <w:u w:val="none"/>
                <w:lang w:val="en-US" w:eastAsia="zh-CN" w:bidi="ar"/>
              </w:rPr>
              <w:t>0.473</w:t>
            </w:r>
            <w:r>
              <w:rPr>
                <w:rFonts w:hint="default" w:ascii="Times New Roman" w:hAnsi="Times New Roman" w:cs="Times New Roman"/>
                <w:b w:val="0"/>
                <w:bCs w:val="0"/>
                <w:i w:val="0"/>
                <w:color w:val="auto"/>
                <w:kern w:val="0"/>
                <w:sz w:val="21"/>
                <w:szCs w:val="21"/>
                <w:highlight w:val="none"/>
                <w:u w:val="none"/>
                <w:lang w:val="en-US" w:eastAsia="zh-CN" w:bidi="ar"/>
              </w:rPr>
              <w:t>0</w:t>
            </w:r>
          </w:p>
        </w:tc>
        <w:tc>
          <w:tcPr>
            <w:tcW w:w="672" w:type="pct"/>
            <w:tcBorders>
              <w:tl2br w:val="nil"/>
              <w:tr2bl w:val="nil"/>
            </w:tcBorders>
            <w:shd w:val="clear" w:color="auto" w:fill="auto"/>
            <w:noWrap/>
            <w:tcMar>
              <w:top w:w="15" w:type="dxa"/>
              <w:left w:w="15" w:type="dxa"/>
              <w:right w:w="15" w:type="dxa"/>
            </w:tcMar>
            <w:vAlign w:val="center"/>
          </w:tcPr>
          <w:p w14:paraId="66E85E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r>
      <w:tr w14:paraId="6638CE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347" w:type="pct"/>
            <w:tcBorders>
              <w:tl2br w:val="nil"/>
              <w:tr2bl w:val="nil"/>
            </w:tcBorders>
            <w:shd w:val="clear" w:color="auto" w:fill="auto"/>
            <w:noWrap/>
            <w:tcMar>
              <w:top w:w="15" w:type="dxa"/>
              <w:left w:w="15" w:type="dxa"/>
              <w:right w:w="15" w:type="dxa"/>
            </w:tcMar>
            <w:vAlign w:val="center"/>
          </w:tcPr>
          <w:p w14:paraId="0BF1BE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rPr>
            </w:pPr>
            <w:r>
              <w:rPr>
                <w:rFonts w:hint="default" w:ascii="Times New Roman" w:hAnsi="Times New Roman" w:eastAsia="宋体" w:cs="Times New Roman"/>
                <w:i w:val="0"/>
                <w:color w:val="auto"/>
                <w:kern w:val="0"/>
                <w:sz w:val="21"/>
                <w:szCs w:val="21"/>
                <w:highlight w:val="none"/>
                <w:u w:val="none"/>
                <w:lang w:val="en-US" w:eastAsia="zh-CN" w:bidi="ar"/>
              </w:rPr>
              <w:t>13</w:t>
            </w:r>
          </w:p>
        </w:tc>
        <w:tc>
          <w:tcPr>
            <w:tcW w:w="1315" w:type="pct"/>
            <w:tcBorders>
              <w:tl2br w:val="nil"/>
              <w:tr2bl w:val="nil"/>
            </w:tcBorders>
            <w:shd w:val="clear" w:color="auto" w:fill="auto"/>
            <w:noWrap/>
            <w:tcMar>
              <w:top w:w="15" w:type="dxa"/>
              <w:left w:w="15" w:type="dxa"/>
              <w:right w:w="15" w:type="dxa"/>
            </w:tcMar>
            <w:vAlign w:val="center"/>
          </w:tcPr>
          <w:p w14:paraId="18D16C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钠</w:t>
            </w:r>
          </w:p>
        </w:tc>
        <w:tc>
          <w:tcPr>
            <w:tcW w:w="801" w:type="pct"/>
            <w:tcBorders>
              <w:tl2br w:val="nil"/>
              <w:tr2bl w:val="nil"/>
            </w:tcBorders>
            <w:shd w:val="clear" w:color="auto" w:fill="auto"/>
            <w:noWrap/>
            <w:tcMar>
              <w:top w:w="15" w:type="dxa"/>
              <w:left w:w="15" w:type="dxa"/>
              <w:right w:w="15" w:type="dxa"/>
            </w:tcMar>
            <w:vAlign w:val="center"/>
          </w:tcPr>
          <w:p w14:paraId="7C4DE78D">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≤200</w:t>
            </w:r>
          </w:p>
        </w:tc>
        <w:tc>
          <w:tcPr>
            <w:tcW w:w="629" w:type="pct"/>
            <w:tcBorders>
              <w:tl2br w:val="nil"/>
              <w:tr2bl w:val="nil"/>
            </w:tcBorders>
            <w:shd w:val="clear" w:color="auto" w:fill="auto"/>
            <w:noWrap/>
            <w:tcMar>
              <w:top w:w="15" w:type="dxa"/>
              <w:left w:w="15" w:type="dxa"/>
              <w:right w:w="15" w:type="dxa"/>
            </w:tcMar>
            <w:vAlign w:val="center"/>
          </w:tcPr>
          <w:p w14:paraId="1DE71A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23</w:t>
            </w:r>
            <w:r>
              <w:rPr>
                <w:rFonts w:hint="default" w:ascii="Times New Roman" w:hAnsi="Times New Roman" w:cs="Times New Roman"/>
                <w:i w:val="0"/>
                <w:color w:val="auto"/>
                <w:kern w:val="0"/>
                <w:sz w:val="21"/>
                <w:szCs w:val="21"/>
                <w:highlight w:val="none"/>
                <w:u w:val="none"/>
                <w:lang w:val="en-US" w:eastAsia="zh-CN" w:bidi="ar"/>
              </w:rPr>
              <w:t>.0</w:t>
            </w:r>
          </w:p>
        </w:tc>
        <w:tc>
          <w:tcPr>
            <w:tcW w:w="672" w:type="pct"/>
            <w:tcBorders>
              <w:tl2br w:val="nil"/>
              <w:tr2bl w:val="nil"/>
            </w:tcBorders>
            <w:shd w:val="clear" w:color="auto" w:fill="auto"/>
            <w:noWrap/>
            <w:tcMar>
              <w:top w:w="15" w:type="dxa"/>
              <w:left w:w="15" w:type="dxa"/>
              <w:right w:w="15" w:type="dxa"/>
            </w:tcMar>
            <w:vAlign w:val="center"/>
          </w:tcPr>
          <w:p w14:paraId="7B44A6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5B8258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30.7</w:t>
            </w:r>
          </w:p>
        </w:tc>
        <w:tc>
          <w:tcPr>
            <w:tcW w:w="672" w:type="pct"/>
            <w:tcBorders>
              <w:tl2br w:val="nil"/>
              <w:tr2bl w:val="nil"/>
            </w:tcBorders>
            <w:shd w:val="clear" w:color="auto" w:fill="auto"/>
            <w:noWrap/>
            <w:tcMar>
              <w:top w:w="15" w:type="dxa"/>
              <w:left w:w="15" w:type="dxa"/>
              <w:right w:w="15" w:type="dxa"/>
            </w:tcMar>
            <w:vAlign w:val="center"/>
          </w:tcPr>
          <w:p w14:paraId="77917F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r>
      <w:tr w14:paraId="6BF498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347" w:type="pct"/>
            <w:tcBorders>
              <w:tl2br w:val="nil"/>
              <w:tr2bl w:val="nil"/>
            </w:tcBorders>
            <w:shd w:val="clear" w:color="auto" w:fill="auto"/>
            <w:noWrap/>
            <w:tcMar>
              <w:top w:w="15" w:type="dxa"/>
              <w:left w:w="15" w:type="dxa"/>
              <w:right w:w="15" w:type="dxa"/>
            </w:tcMar>
            <w:vAlign w:val="center"/>
          </w:tcPr>
          <w:p w14:paraId="6DCD6E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eastAsia="宋体" w:cs="Times New Roman"/>
                <w:i w:val="0"/>
                <w:color w:val="auto"/>
                <w:sz w:val="21"/>
                <w:szCs w:val="21"/>
                <w:highlight w:val="none"/>
                <w:u w:val="none"/>
                <w:lang w:val="en-US" w:eastAsia="zh-CN"/>
              </w:rPr>
              <w:t>14</w:t>
            </w:r>
          </w:p>
        </w:tc>
        <w:tc>
          <w:tcPr>
            <w:tcW w:w="1315" w:type="pct"/>
            <w:tcBorders>
              <w:tl2br w:val="nil"/>
              <w:tr2bl w:val="nil"/>
            </w:tcBorders>
            <w:shd w:val="clear" w:color="auto" w:fill="auto"/>
            <w:noWrap/>
            <w:tcMar>
              <w:top w:w="15" w:type="dxa"/>
              <w:left w:w="15" w:type="dxa"/>
              <w:right w:w="15" w:type="dxa"/>
            </w:tcMar>
            <w:vAlign w:val="center"/>
          </w:tcPr>
          <w:p w14:paraId="718835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锌</w:t>
            </w:r>
          </w:p>
        </w:tc>
        <w:tc>
          <w:tcPr>
            <w:tcW w:w="801" w:type="pct"/>
            <w:tcBorders>
              <w:tl2br w:val="nil"/>
              <w:tr2bl w:val="nil"/>
            </w:tcBorders>
            <w:shd w:val="clear" w:color="auto" w:fill="auto"/>
            <w:noWrap/>
            <w:tcMar>
              <w:top w:w="15" w:type="dxa"/>
              <w:left w:w="15" w:type="dxa"/>
              <w:right w:w="15" w:type="dxa"/>
            </w:tcMar>
            <w:vAlign w:val="center"/>
          </w:tcPr>
          <w:p w14:paraId="6FDC651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eastAsia" w:cs="Times New Roman"/>
                <w:i w:val="0"/>
                <w:color w:val="000000"/>
                <w:kern w:val="0"/>
                <w:sz w:val="21"/>
                <w:szCs w:val="21"/>
                <w:highlight w:val="none"/>
                <w:u w:val="none"/>
                <w:lang w:val="en-US" w:eastAsia="zh-CN" w:bidi="ar"/>
              </w:rPr>
              <w:t>5.00</w:t>
            </w:r>
          </w:p>
        </w:tc>
        <w:tc>
          <w:tcPr>
            <w:tcW w:w="629" w:type="pct"/>
            <w:tcBorders>
              <w:tl2br w:val="nil"/>
              <w:tr2bl w:val="nil"/>
            </w:tcBorders>
            <w:shd w:val="clear" w:color="auto" w:fill="auto"/>
            <w:noWrap/>
            <w:tcMar>
              <w:top w:w="15" w:type="dxa"/>
              <w:left w:w="15" w:type="dxa"/>
              <w:right w:w="15" w:type="dxa"/>
            </w:tcMar>
            <w:vAlign w:val="center"/>
          </w:tcPr>
          <w:p w14:paraId="285AC0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0.007</w:t>
            </w:r>
          </w:p>
        </w:tc>
        <w:tc>
          <w:tcPr>
            <w:tcW w:w="672" w:type="pct"/>
            <w:tcBorders>
              <w:tl2br w:val="nil"/>
              <w:tr2bl w:val="nil"/>
            </w:tcBorders>
            <w:shd w:val="clear" w:color="auto" w:fill="auto"/>
            <w:noWrap/>
            <w:tcMar>
              <w:top w:w="15" w:type="dxa"/>
              <w:left w:w="15" w:type="dxa"/>
              <w:right w:w="15" w:type="dxa"/>
            </w:tcMar>
            <w:vAlign w:val="center"/>
          </w:tcPr>
          <w:p w14:paraId="55D1BF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04318C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0.004</w:t>
            </w:r>
          </w:p>
        </w:tc>
        <w:tc>
          <w:tcPr>
            <w:tcW w:w="672" w:type="pct"/>
            <w:tcBorders>
              <w:tl2br w:val="nil"/>
              <w:tr2bl w:val="nil"/>
            </w:tcBorders>
            <w:shd w:val="clear" w:color="auto" w:fill="auto"/>
            <w:noWrap/>
            <w:tcMar>
              <w:top w:w="15" w:type="dxa"/>
              <w:left w:w="15" w:type="dxa"/>
              <w:right w:w="15" w:type="dxa"/>
            </w:tcMar>
            <w:vAlign w:val="center"/>
          </w:tcPr>
          <w:p w14:paraId="0F49C6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r>
      <w:tr w14:paraId="1AB63F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347" w:type="pct"/>
            <w:tcBorders>
              <w:tl2br w:val="nil"/>
              <w:tr2bl w:val="nil"/>
            </w:tcBorders>
            <w:shd w:val="clear" w:color="auto" w:fill="auto"/>
            <w:noWrap/>
            <w:tcMar>
              <w:top w:w="15" w:type="dxa"/>
              <w:left w:w="15" w:type="dxa"/>
              <w:right w:w="15" w:type="dxa"/>
            </w:tcMar>
            <w:vAlign w:val="center"/>
          </w:tcPr>
          <w:p w14:paraId="7CBC56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eastAsia="宋体" w:cs="Times New Roman"/>
                <w:i w:val="0"/>
                <w:color w:val="auto"/>
                <w:sz w:val="21"/>
                <w:szCs w:val="21"/>
                <w:highlight w:val="none"/>
                <w:u w:val="none"/>
                <w:lang w:val="en-US" w:eastAsia="zh-CN"/>
              </w:rPr>
              <w:t>15</w:t>
            </w:r>
          </w:p>
        </w:tc>
        <w:tc>
          <w:tcPr>
            <w:tcW w:w="1315" w:type="pct"/>
            <w:tcBorders>
              <w:tl2br w:val="nil"/>
              <w:tr2bl w:val="nil"/>
            </w:tcBorders>
            <w:shd w:val="clear" w:color="auto" w:fill="auto"/>
            <w:noWrap/>
            <w:tcMar>
              <w:top w:w="15" w:type="dxa"/>
              <w:left w:w="15" w:type="dxa"/>
              <w:right w:w="15" w:type="dxa"/>
            </w:tcMar>
            <w:vAlign w:val="center"/>
          </w:tcPr>
          <w:p w14:paraId="71A40A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砷</w:t>
            </w:r>
          </w:p>
        </w:tc>
        <w:tc>
          <w:tcPr>
            <w:tcW w:w="801" w:type="pct"/>
            <w:tcBorders>
              <w:tl2br w:val="nil"/>
              <w:tr2bl w:val="nil"/>
            </w:tcBorders>
            <w:shd w:val="clear" w:color="auto" w:fill="auto"/>
            <w:noWrap/>
            <w:tcMar>
              <w:top w:w="15" w:type="dxa"/>
              <w:left w:w="15" w:type="dxa"/>
              <w:right w:w="15" w:type="dxa"/>
            </w:tcMar>
            <w:vAlign w:val="center"/>
          </w:tcPr>
          <w:p w14:paraId="699ABEBC">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eastAsia="宋体" w:cs="Times New Roman"/>
                <w:i w:val="0"/>
                <w:color w:val="000000"/>
                <w:kern w:val="0"/>
                <w:sz w:val="22"/>
                <w:szCs w:val="22"/>
                <w:highlight w:val="none"/>
                <w:u w:val="none"/>
                <w:lang w:val="en-US" w:eastAsia="zh-CN" w:bidi="ar"/>
              </w:rPr>
              <w:t>0.05</w:t>
            </w:r>
          </w:p>
        </w:tc>
        <w:tc>
          <w:tcPr>
            <w:tcW w:w="629" w:type="pct"/>
            <w:tcBorders>
              <w:tl2br w:val="nil"/>
              <w:tr2bl w:val="nil"/>
            </w:tcBorders>
            <w:shd w:val="clear" w:color="auto" w:fill="auto"/>
            <w:noWrap/>
            <w:tcMar>
              <w:top w:w="15" w:type="dxa"/>
              <w:left w:w="15" w:type="dxa"/>
              <w:right w:w="15" w:type="dxa"/>
            </w:tcMar>
            <w:vAlign w:val="center"/>
          </w:tcPr>
          <w:p w14:paraId="63416D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0.0033</w:t>
            </w:r>
          </w:p>
        </w:tc>
        <w:tc>
          <w:tcPr>
            <w:tcW w:w="672" w:type="pct"/>
            <w:tcBorders>
              <w:tl2br w:val="nil"/>
              <w:tr2bl w:val="nil"/>
            </w:tcBorders>
            <w:shd w:val="clear" w:color="auto" w:fill="auto"/>
            <w:noWrap/>
            <w:tcMar>
              <w:top w:w="15" w:type="dxa"/>
              <w:left w:w="15" w:type="dxa"/>
              <w:right w:w="15" w:type="dxa"/>
            </w:tcMar>
            <w:vAlign w:val="center"/>
          </w:tcPr>
          <w:p w14:paraId="70F3F9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20FF77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0.0004</w:t>
            </w:r>
          </w:p>
        </w:tc>
        <w:tc>
          <w:tcPr>
            <w:tcW w:w="672" w:type="pct"/>
            <w:tcBorders>
              <w:tl2br w:val="nil"/>
              <w:tr2bl w:val="nil"/>
            </w:tcBorders>
            <w:shd w:val="clear" w:color="auto" w:fill="auto"/>
            <w:noWrap/>
            <w:tcMar>
              <w:top w:w="15" w:type="dxa"/>
              <w:left w:w="15" w:type="dxa"/>
              <w:right w:w="15" w:type="dxa"/>
            </w:tcMar>
            <w:vAlign w:val="center"/>
          </w:tcPr>
          <w:p w14:paraId="5A9DC5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r>
      <w:tr w14:paraId="595433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347" w:type="pct"/>
            <w:tcBorders>
              <w:tl2br w:val="nil"/>
              <w:tr2bl w:val="nil"/>
            </w:tcBorders>
            <w:shd w:val="clear" w:color="auto" w:fill="auto"/>
            <w:noWrap/>
            <w:tcMar>
              <w:top w:w="15" w:type="dxa"/>
              <w:left w:w="15" w:type="dxa"/>
              <w:right w:w="15" w:type="dxa"/>
            </w:tcMar>
            <w:vAlign w:val="center"/>
          </w:tcPr>
          <w:p w14:paraId="175931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eastAsia="宋体" w:cs="Times New Roman"/>
                <w:i w:val="0"/>
                <w:color w:val="auto"/>
                <w:sz w:val="21"/>
                <w:szCs w:val="21"/>
                <w:highlight w:val="none"/>
                <w:u w:val="none"/>
                <w:lang w:val="en-US" w:eastAsia="zh-CN"/>
              </w:rPr>
              <w:t>16</w:t>
            </w:r>
          </w:p>
        </w:tc>
        <w:tc>
          <w:tcPr>
            <w:tcW w:w="1315" w:type="pct"/>
            <w:tcBorders>
              <w:tl2br w:val="nil"/>
              <w:tr2bl w:val="nil"/>
            </w:tcBorders>
            <w:shd w:val="clear" w:color="auto" w:fill="auto"/>
            <w:noWrap/>
            <w:tcMar>
              <w:top w:w="15" w:type="dxa"/>
              <w:left w:w="15" w:type="dxa"/>
              <w:right w:w="15" w:type="dxa"/>
            </w:tcMar>
            <w:vAlign w:val="center"/>
          </w:tcPr>
          <w:p w14:paraId="2C95AE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铅</w:t>
            </w:r>
          </w:p>
        </w:tc>
        <w:tc>
          <w:tcPr>
            <w:tcW w:w="801" w:type="pct"/>
            <w:tcBorders>
              <w:tl2br w:val="nil"/>
              <w:tr2bl w:val="nil"/>
            </w:tcBorders>
            <w:shd w:val="clear" w:color="auto" w:fill="auto"/>
            <w:noWrap/>
            <w:tcMar>
              <w:top w:w="15" w:type="dxa"/>
              <w:left w:w="15" w:type="dxa"/>
              <w:right w:w="15" w:type="dxa"/>
            </w:tcMar>
            <w:vAlign w:val="center"/>
          </w:tcPr>
          <w:p w14:paraId="276DDEE9">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eastAsia="宋体" w:cs="Times New Roman"/>
                <w:i w:val="0"/>
                <w:color w:val="000000"/>
                <w:kern w:val="0"/>
                <w:sz w:val="22"/>
                <w:szCs w:val="22"/>
                <w:highlight w:val="none"/>
                <w:u w:val="none"/>
                <w:lang w:val="en-US" w:eastAsia="zh-CN" w:bidi="ar"/>
              </w:rPr>
              <w:t>0.1</w:t>
            </w:r>
            <w:r>
              <w:rPr>
                <w:rFonts w:hint="eastAsia" w:cs="Times New Roman"/>
                <w:i w:val="0"/>
                <w:color w:val="000000"/>
                <w:kern w:val="0"/>
                <w:sz w:val="22"/>
                <w:szCs w:val="22"/>
                <w:highlight w:val="none"/>
                <w:u w:val="none"/>
                <w:lang w:val="en-US" w:eastAsia="zh-CN" w:bidi="ar"/>
              </w:rPr>
              <w:t>0</w:t>
            </w:r>
          </w:p>
        </w:tc>
        <w:tc>
          <w:tcPr>
            <w:tcW w:w="629" w:type="pct"/>
            <w:tcBorders>
              <w:tl2br w:val="nil"/>
              <w:tr2bl w:val="nil"/>
            </w:tcBorders>
            <w:shd w:val="clear" w:color="auto" w:fill="auto"/>
            <w:noWrap/>
            <w:tcMar>
              <w:top w:w="15" w:type="dxa"/>
              <w:left w:w="15" w:type="dxa"/>
              <w:right w:w="15" w:type="dxa"/>
            </w:tcMar>
            <w:vAlign w:val="center"/>
          </w:tcPr>
          <w:p w14:paraId="4DF7FC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cs="Times New Roman"/>
                <w:i w:val="0"/>
                <w:color w:val="auto"/>
                <w:sz w:val="21"/>
                <w:szCs w:val="21"/>
                <w:highlight w:val="none"/>
                <w:u w:val="none"/>
                <w:lang w:val="en-US" w:eastAsia="zh-CN"/>
              </w:rPr>
              <w:t>＜0.0025</w:t>
            </w:r>
          </w:p>
        </w:tc>
        <w:tc>
          <w:tcPr>
            <w:tcW w:w="672" w:type="pct"/>
            <w:tcBorders>
              <w:tl2br w:val="nil"/>
              <w:tr2bl w:val="nil"/>
            </w:tcBorders>
            <w:shd w:val="clear" w:color="auto" w:fill="auto"/>
            <w:noWrap/>
            <w:tcMar>
              <w:top w:w="15" w:type="dxa"/>
              <w:left w:w="15" w:type="dxa"/>
              <w:right w:w="15" w:type="dxa"/>
            </w:tcMar>
            <w:vAlign w:val="center"/>
          </w:tcPr>
          <w:p w14:paraId="35FF71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i w:val="0"/>
                <w:color w:val="auto"/>
                <w:sz w:val="21"/>
                <w:szCs w:val="21"/>
                <w:highlight w:val="none"/>
                <w:u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6D3B2F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0.0084</w:t>
            </w:r>
          </w:p>
        </w:tc>
        <w:tc>
          <w:tcPr>
            <w:tcW w:w="672" w:type="pct"/>
            <w:tcBorders>
              <w:tl2br w:val="nil"/>
              <w:tr2bl w:val="nil"/>
            </w:tcBorders>
            <w:shd w:val="clear" w:color="auto" w:fill="auto"/>
            <w:noWrap/>
            <w:tcMar>
              <w:top w:w="15" w:type="dxa"/>
              <w:left w:w="15" w:type="dxa"/>
              <w:right w:w="15" w:type="dxa"/>
            </w:tcMar>
            <w:vAlign w:val="center"/>
          </w:tcPr>
          <w:p w14:paraId="713D85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r>
      <w:tr w14:paraId="78CA4B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72" w:hRule="atLeast"/>
          <w:jc w:val="center"/>
        </w:trPr>
        <w:tc>
          <w:tcPr>
            <w:tcW w:w="347" w:type="pct"/>
            <w:tcBorders>
              <w:tl2br w:val="nil"/>
              <w:tr2bl w:val="nil"/>
            </w:tcBorders>
            <w:shd w:val="clear" w:color="auto" w:fill="auto"/>
            <w:noWrap/>
            <w:tcMar>
              <w:top w:w="15" w:type="dxa"/>
              <w:left w:w="15" w:type="dxa"/>
              <w:right w:w="15" w:type="dxa"/>
            </w:tcMar>
            <w:vAlign w:val="center"/>
          </w:tcPr>
          <w:p w14:paraId="39B855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lang w:val="en-US" w:eastAsia="zh-CN"/>
              </w:rPr>
            </w:pPr>
            <w:r>
              <w:rPr>
                <w:rFonts w:hint="default" w:ascii="Times New Roman" w:hAnsi="Times New Roman" w:eastAsia="宋体" w:cs="Times New Roman"/>
                <w:i w:val="0"/>
                <w:color w:val="auto"/>
                <w:sz w:val="21"/>
                <w:szCs w:val="21"/>
                <w:highlight w:val="none"/>
                <w:u w:val="none"/>
                <w:lang w:val="en-US" w:eastAsia="zh-CN"/>
              </w:rPr>
              <w:t>17</w:t>
            </w:r>
          </w:p>
        </w:tc>
        <w:tc>
          <w:tcPr>
            <w:tcW w:w="1315" w:type="pct"/>
            <w:tcBorders>
              <w:tl2br w:val="nil"/>
              <w:tr2bl w:val="nil"/>
            </w:tcBorders>
            <w:shd w:val="clear" w:color="auto" w:fill="auto"/>
            <w:noWrap/>
            <w:tcMar>
              <w:top w:w="15" w:type="dxa"/>
              <w:left w:w="15" w:type="dxa"/>
              <w:right w:w="15" w:type="dxa"/>
            </w:tcMar>
            <w:vAlign w:val="center"/>
          </w:tcPr>
          <w:p w14:paraId="4C9E0B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石油类</w:t>
            </w:r>
          </w:p>
        </w:tc>
        <w:tc>
          <w:tcPr>
            <w:tcW w:w="801" w:type="pct"/>
            <w:tcBorders>
              <w:tl2br w:val="nil"/>
              <w:tr2bl w:val="nil"/>
            </w:tcBorders>
            <w:shd w:val="clear" w:color="auto" w:fill="auto"/>
            <w:noWrap/>
            <w:tcMar>
              <w:top w:w="15" w:type="dxa"/>
              <w:left w:w="15" w:type="dxa"/>
              <w:right w:w="15" w:type="dxa"/>
            </w:tcMar>
            <w:vAlign w:val="center"/>
          </w:tcPr>
          <w:p w14:paraId="5724559E">
            <w:pPr>
              <w:keepNext w:val="0"/>
              <w:keepLines w:val="0"/>
              <w:widowControl/>
              <w:suppressLineNumbers w:val="0"/>
              <w:spacing w:before="0" w:beforeAutospacing="0" w:after="0" w:afterAutospacing="0" w:line="240" w:lineRule="auto"/>
              <w:ind w:left="0" w:right="0"/>
              <w:jc w:val="center"/>
              <w:textAlignment w:val="top"/>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w:t>
            </w:r>
            <w:r>
              <w:rPr>
                <w:rFonts w:hint="default" w:ascii="Times New Roman" w:hAnsi="Times New Roman" w:cs="Times New Roman"/>
                <w:i w:val="0"/>
                <w:color w:val="000000"/>
                <w:kern w:val="0"/>
                <w:sz w:val="21"/>
                <w:szCs w:val="21"/>
                <w:highlight w:val="none"/>
                <w:u w:val="none"/>
                <w:lang w:val="en-US" w:eastAsia="zh-CN" w:bidi="ar"/>
              </w:rPr>
              <w:t>0.5</w:t>
            </w:r>
          </w:p>
        </w:tc>
        <w:tc>
          <w:tcPr>
            <w:tcW w:w="629" w:type="pct"/>
            <w:tcBorders>
              <w:tl2br w:val="nil"/>
              <w:tr2bl w:val="nil"/>
            </w:tcBorders>
            <w:shd w:val="clear" w:color="auto" w:fill="auto"/>
            <w:noWrap/>
            <w:tcMar>
              <w:top w:w="15" w:type="dxa"/>
              <w:left w:w="15" w:type="dxa"/>
              <w:right w:w="15" w:type="dxa"/>
            </w:tcMar>
            <w:vAlign w:val="center"/>
          </w:tcPr>
          <w:p w14:paraId="0971DA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0"/>
                <w:sz w:val="21"/>
                <w:szCs w:val="21"/>
                <w:highlight w:val="none"/>
                <w:u w:val="none"/>
                <w:lang w:val="en-US" w:eastAsia="zh-CN" w:bidi="ar"/>
              </w:rPr>
              <w:t>0.02</w:t>
            </w:r>
          </w:p>
        </w:tc>
        <w:tc>
          <w:tcPr>
            <w:tcW w:w="672" w:type="pct"/>
            <w:tcBorders>
              <w:tl2br w:val="nil"/>
              <w:tr2bl w:val="nil"/>
            </w:tcBorders>
            <w:shd w:val="clear" w:color="auto" w:fill="auto"/>
            <w:noWrap/>
            <w:tcMar>
              <w:top w:w="15" w:type="dxa"/>
              <w:left w:w="15" w:type="dxa"/>
              <w:right w:w="15" w:type="dxa"/>
            </w:tcMar>
            <w:vAlign w:val="center"/>
          </w:tcPr>
          <w:p w14:paraId="765DE55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c>
          <w:tcPr>
            <w:tcW w:w="561" w:type="pct"/>
            <w:tcBorders>
              <w:tl2br w:val="nil"/>
              <w:tr2bl w:val="nil"/>
            </w:tcBorders>
            <w:shd w:val="clear" w:color="auto" w:fill="auto"/>
            <w:noWrap/>
            <w:tcMar>
              <w:top w:w="15" w:type="dxa"/>
              <w:left w:w="15" w:type="dxa"/>
              <w:right w:w="15" w:type="dxa"/>
            </w:tcMar>
            <w:vAlign w:val="center"/>
          </w:tcPr>
          <w:p w14:paraId="43AD46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sz w:val="21"/>
                <w:szCs w:val="21"/>
                <w:highlight w:val="none"/>
                <w:u w:val="none"/>
              </w:rPr>
            </w:pPr>
            <w:r>
              <w:rPr>
                <w:rFonts w:hint="default" w:ascii="Times New Roman" w:hAnsi="Times New Roman" w:eastAsia="宋体" w:cs="Times New Roman"/>
                <w:i w:val="0"/>
                <w:color w:val="auto"/>
                <w:kern w:val="0"/>
                <w:sz w:val="21"/>
                <w:szCs w:val="21"/>
                <w:highlight w:val="none"/>
                <w:u w:val="none"/>
                <w:lang w:val="en-US" w:eastAsia="zh-CN" w:bidi="ar"/>
              </w:rPr>
              <w:t>0.03</w:t>
            </w:r>
          </w:p>
        </w:tc>
        <w:tc>
          <w:tcPr>
            <w:tcW w:w="672" w:type="pct"/>
            <w:tcBorders>
              <w:tl2br w:val="nil"/>
              <w:tr2bl w:val="nil"/>
            </w:tcBorders>
            <w:shd w:val="clear" w:color="auto" w:fill="auto"/>
            <w:noWrap/>
            <w:tcMar>
              <w:top w:w="15" w:type="dxa"/>
              <w:left w:w="15" w:type="dxa"/>
              <w:right w:w="15" w:type="dxa"/>
            </w:tcMar>
            <w:vAlign w:val="center"/>
          </w:tcPr>
          <w:p w14:paraId="653D4F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达标</w:t>
            </w:r>
          </w:p>
        </w:tc>
      </w:tr>
    </w:tbl>
    <w:p w14:paraId="66F1295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eastAsiaTheme="minorEastAsia"/>
          <w:color w:val="auto"/>
          <w:sz w:val="24"/>
          <w:szCs w:val="24"/>
          <w:highlight w:val="none"/>
          <w:shd w:val="clear" w:color="auto" w:fill="auto"/>
        </w:rPr>
      </w:pPr>
      <w:bookmarkStart w:id="45" w:name="_Toc3261"/>
      <w:bookmarkStart w:id="46" w:name="_Toc55399883"/>
      <w:r>
        <w:rPr>
          <w:rFonts w:hint="eastAsia" w:cs="Times New Roman" w:eastAsiaTheme="minorEastAsia"/>
          <w:color w:val="auto"/>
          <w:sz w:val="24"/>
          <w:szCs w:val="24"/>
          <w:highlight w:val="none"/>
          <w:shd w:val="clear" w:color="auto" w:fill="auto"/>
          <w:lang w:val="en-US" w:eastAsia="zh-CN"/>
        </w:rPr>
        <w:t>由表可知，地下水样品HR-W1、HR-W2各指标均满足</w:t>
      </w:r>
      <w:r>
        <w:rPr>
          <w:rFonts w:hint="default" w:ascii="Times New Roman" w:hAnsi="Times New Roman" w:cs="Times New Roman"/>
          <w:color w:val="000000" w:themeColor="text1"/>
          <w:sz w:val="24"/>
          <w:highlight w:val="none"/>
          <w14:textFill>
            <w14:solidFill>
              <w14:schemeClr w14:val="tx1"/>
            </w14:solidFill>
          </w14:textFill>
        </w:rPr>
        <w:t>《地下水质量标准》（</w:t>
      </w:r>
      <w:r>
        <w:rPr>
          <w:rFonts w:hint="default" w:ascii="Times New Roman" w:hAnsi="Times New Roman" w:cs="Times New Roman"/>
          <w:color w:val="000000" w:themeColor="text1"/>
          <w:sz w:val="24"/>
          <w:highlight w:val="none"/>
          <w:lang w:eastAsia="zh-CN"/>
          <w14:textFill>
            <w14:solidFill>
              <w14:schemeClr w14:val="tx1"/>
            </w14:solidFill>
          </w14:textFill>
        </w:rPr>
        <w:t>GB/T 14848-2017</w:t>
      </w:r>
      <w:r>
        <w:rPr>
          <w:rFonts w:hint="default" w:ascii="Times New Roman" w:hAnsi="Times New Roman" w:cs="Times New Roman"/>
          <w:color w:val="000000" w:themeColor="text1"/>
          <w:sz w:val="24"/>
          <w:highlight w:val="none"/>
          <w14:textFill>
            <w14:solidFill>
              <w14:schemeClr w14:val="tx1"/>
            </w14:solidFill>
          </w14:textFill>
        </w:rPr>
        <w:t>）中</w:t>
      </w:r>
      <w:r>
        <w:rPr>
          <w:rFonts w:hint="default" w:ascii="Times New Roman" w:hAnsi="Times New Roman" w:cs="Times New Roman"/>
          <w:color w:val="000000" w:themeColor="text1"/>
          <w:sz w:val="24"/>
          <w:highlight w:val="none"/>
          <w:lang w:eastAsia="zh-CN"/>
          <w14:textFill>
            <w14:solidFill>
              <w14:schemeClr w14:val="tx1"/>
            </w14:solidFill>
          </w14:textFill>
        </w:rPr>
        <w:t>Ⅳ</w:t>
      </w:r>
      <w:r>
        <w:rPr>
          <w:rFonts w:hint="default" w:ascii="Times New Roman" w:hAnsi="Times New Roman" w:cs="Times New Roman"/>
          <w:color w:val="000000" w:themeColor="text1"/>
          <w:sz w:val="24"/>
          <w:highlight w:val="none"/>
          <w14:textFill>
            <w14:solidFill>
              <w14:schemeClr w14:val="tx1"/>
            </w14:solidFill>
          </w14:textFill>
        </w:rPr>
        <w:t>类标准限值</w:t>
      </w:r>
      <w:r>
        <w:rPr>
          <w:rFonts w:hint="eastAsia" w:cs="Times New Roman"/>
          <w:color w:val="000000" w:themeColor="text1"/>
          <w:sz w:val="24"/>
          <w:highlight w:val="none"/>
          <w:lang w:val="en-US" w:eastAsia="zh-CN"/>
          <w14:textFill>
            <w14:solidFill>
              <w14:schemeClr w14:val="tx1"/>
            </w14:solidFill>
          </w14:textFill>
        </w:rPr>
        <w:t>要求，石油类满足《地表水环境质量标准》（GB3838-2002）（以下简称GB3838）</w:t>
      </w:r>
      <w:r>
        <w:rPr>
          <w:rFonts w:hint="default" w:ascii="Times New Roman" w:hAnsi="Times New Roman" w:cs="Times New Roman"/>
          <w:color w:val="000000" w:themeColor="text1"/>
          <w:sz w:val="24"/>
          <w:highlight w:val="none"/>
          <w:lang w:eastAsia="zh-CN"/>
          <w14:textFill>
            <w14:solidFill>
              <w14:schemeClr w14:val="tx1"/>
            </w14:solidFill>
          </w14:textFill>
        </w:rPr>
        <w:t>Ⅳ</w:t>
      </w:r>
      <w:r>
        <w:rPr>
          <w:rFonts w:hint="eastAsia" w:cs="Times New Roman"/>
          <w:color w:val="000000" w:themeColor="text1"/>
          <w:sz w:val="24"/>
          <w:highlight w:val="none"/>
          <w:lang w:val="en-US" w:eastAsia="zh-CN"/>
          <w14:textFill>
            <w14:solidFill>
              <w14:schemeClr w14:val="tx1"/>
            </w14:solidFill>
          </w14:textFill>
        </w:rPr>
        <w:t>类标准限值要求</w:t>
      </w:r>
      <w:r>
        <w:rPr>
          <w:rFonts w:hint="default" w:ascii="Times New Roman" w:hAnsi="Times New Roman" w:cs="Times New Roman" w:eastAsiaTheme="minorEastAsia"/>
          <w:color w:val="auto"/>
          <w:sz w:val="24"/>
          <w:szCs w:val="24"/>
          <w:highlight w:val="none"/>
          <w:shd w:val="clear" w:color="auto" w:fill="auto"/>
        </w:rPr>
        <w:t>。</w:t>
      </w:r>
    </w:p>
    <w:p w14:paraId="085E84D8">
      <w:pPr>
        <w:pStyle w:val="4"/>
        <w:tabs>
          <w:tab w:val="clear" w:pos="425"/>
        </w:tabs>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土壤环境质量评价</w:t>
      </w:r>
      <w:bookmarkEnd w:id="45"/>
    </w:p>
    <w:p w14:paraId="55217C50">
      <w:pPr>
        <w:pStyle w:val="5"/>
        <w:tabs>
          <w:tab w:val="left" w:pos="425"/>
        </w:tabs>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污染指数</w:t>
      </w:r>
    </w:p>
    <w:p w14:paraId="607E6EB4">
      <w:pPr>
        <w:pStyle w:val="2"/>
        <w:keepNext w:val="0"/>
        <w:keepLines w:val="0"/>
        <w:pageBreakBefore w:val="0"/>
        <w:widowControl w:val="0"/>
        <w:numPr>
          <w:ilvl w:val="0"/>
          <w:numId w:val="0"/>
        </w:numPr>
        <w:tabs>
          <w:tab w:val="center" w:pos="4855"/>
          <w:tab w:val="left" w:pos="7572"/>
        </w:tabs>
        <w:kinsoku/>
        <w:wordWrap/>
        <w:overflowPunct/>
        <w:topLinePunct w:val="0"/>
        <w:autoSpaceDE/>
        <w:autoSpaceDN/>
        <w:bidi w:val="0"/>
        <w:adjustRightInd/>
        <w:snapToGrid/>
        <w:spacing w:after="0" w:line="360" w:lineRule="auto"/>
        <w:ind w:firstLine="480" w:firstLineChars="200"/>
        <w:jc w:val="left"/>
        <w:textAlignment w:val="auto"/>
        <w:rPr>
          <w:rFonts w:hint="default" w:ascii="Times New Roman" w:hAnsi="Times New Roman" w:cs="Times New Roman"/>
          <w:highlight w:val="none"/>
          <w:lang w:val="en-US" w:eastAsia="zh-CN"/>
        </w:rPr>
      </w:pPr>
      <w:r>
        <w:rPr>
          <w:rFonts w:hint="default" w:ascii="Times New Roman" w:hAnsi="Times New Roman" w:cs="Times New Roman"/>
          <w:sz w:val="24"/>
          <w:szCs w:val="24"/>
          <w:highlight w:val="none"/>
          <w:lang w:eastAsia="zh-CN"/>
        </w:rPr>
        <w:t>由于本次工业园周边调查未出现超标情况，故只对已检出的污染项目进行土壤单项污染指数分析。</w:t>
      </w:r>
      <w:r>
        <w:rPr>
          <w:rFonts w:hint="default" w:ascii="Times New Roman" w:hAnsi="Times New Roman" w:cs="Times New Roman"/>
          <w:highlight w:val="none"/>
          <w:lang w:val="en-US" w:eastAsia="zh-CN"/>
        </w:rPr>
        <w:t>各项污染物项目单项污染指数见表5-4-1。</w:t>
      </w:r>
    </w:p>
    <w:p w14:paraId="6C838CE1">
      <w:pPr>
        <w:pStyle w:val="2"/>
        <w:keepNext w:val="0"/>
        <w:keepLines w:val="0"/>
        <w:pageBreakBefore w:val="0"/>
        <w:widowControl w:val="0"/>
        <w:numPr>
          <w:ilvl w:val="0"/>
          <w:numId w:val="0"/>
        </w:numPr>
        <w:tabs>
          <w:tab w:val="center" w:pos="4855"/>
          <w:tab w:val="left" w:pos="7572"/>
        </w:tabs>
        <w:kinsoku/>
        <w:wordWrap/>
        <w:overflowPunct/>
        <w:topLinePunct w:val="0"/>
        <w:autoSpaceDE/>
        <w:autoSpaceDN/>
        <w:bidi w:val="0"/>
        <w:adjustRightInd/>
        <w:snapToGrid/>
        <w:spacing w:after="0" w:line="360" w:lineRule="auto"/>
        <w:ind w:firstLine="480" w:firstLineChars="200"/>
        <w:jc w:val="left"/>
        <w:textAlignment w:val="auto"/>
        <w:rPr>
          <w:rFonts w:hint="default" w:ascii="Times New Roman" w:hAnsi="Times New Roman" w:cs="Times New Roman"/>
          <w:highlight w:val="none"/>
          <w:lang w:eastAsia="zh-CN"/>
        </w:rPr>
      </w:pPr>
    </w:p>
    <w:p w14:paraId="67917C04">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highlight w:val="none"/>
          <w:lang w:val="en-US" w:eastAsia="zh-CN"/>
        </w:rPr>
        <w:sectPr>
          <w:pgSz w:w="11849" w:h="16781"/>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0" w:charSpace="0"/>
        </w:sectPr>
      </w:pPr>
    </w:p>
    <w:p w14:paraId="3D5B7C0D">
      <w:pPr>
        <w:pStyle w:val="2"/>
        <w:keepNext w:val="0"/>
        <w:keepLines w:val="0"/>
        <w:pageBreakBefore w:val="0"/>
        <w:widowControl w:val="0"/>
        <w:numPr>
          <w:ilvl w:val="0"/>
          <w:numId w:val="0"/>
        </w:numPr>
        <w:kinsoku/>
        <w:wordWrap/>
        <w:overflowPunct/>
        <w:topLinePunct w:val="0"/>
        <w:autoSpaceDE/>
        <w:autoSpaceDN/>
        <w:bidi w:val="0"/>
        <w:adjustRightInd/>
        <w:snapToGrid/>
        <w:spacing w:before="157" w:beforeLines="50" w:after="0" w:line="240" w:lineRule="auto"/>
        <w:jc w:val="center"/>
        <w:textAlignment w:val="auto"/>
        <w:rPr>
          <w:rFonts w:hint="default" w:ascii="Times New Roman" w:hAnsi="Times New Roman" w:cs="Times New Roman"/>
          <w:highlight w:val="none"/>
        </w:rPr>
      </w:pPr>
      <w:r>
        <w:rPr>
          <w:rFonts w:hint="default" w:ascii="Times New Roman" w:hAnsi="Times New Roman" w:eastAsia="黑体" w:cs="Times New Roman"/>
          <w:b/>
          <w:bCs/>
          <w:sz w:val="24"/>
          <w:szCs w:val="24"/>
          <w:highlight w:val="none"/>
          <w:lang w:val="en-US" w:eastAsia="zh-CN"/>
        </w:rPr>
        <w:t>表5-4-1 土壤单项污染指数表</w:t>
      </w:r>
    </w:p>
    <w:tbl>
      <w:tblPr>
        <w:tblStyle w:val="21"/>
        <w:tblW w:w="14543"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894"/>
        <w:gridCol w:w="984"/>
        <w:gridCol w:w="1029"/>
        <w:gridCol w:w="894"/>
        <w:gridCol w:w="894"/>
        <w:gridCol w:w="980"/>
        <w:gridCol w:w="1017"/>
        <w:gridCol w:w="894"/>
        <w:gridCol w:w="894"/>
        <w:gridCol w:w="894"/>
        <w:gridCol w:w="919"/>
        <w:gridCol w:w="919"/>
        <w:gridCol w:w="1104"/>
        <w:gridCol w:w="895"/>
        <w:gridCol w:w="1332"/>
      </w:tblGrid>
      <w:tr w14:paraId="46A8E4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328" w:hRule="atLeast"/>
          <w:tblHeader/>
          <w:jc w:val="center"/>
        </w:trPr>
        <w:tc>
          <w:tcPr>
            <w:tcW w:w="894" w:type="dxa"/>
            <w:tcBorders>
              <w:bottom w:val="single" w:color="auto" w:sz="12" w:space="0"/>
            </w:tcBorders>
            <w:shd w:val="clear" w:color="auto" w:fill="auto"/>
            <w:noWrap/>
            <w:tcMar>
              <w:top w:w="15" w:type="dxa"/>
              <w:left w:w="15" w:type="dxa"/>
              <w:right w:w="15" w:type="dxa"/>
            </w:tcMar>
            <w:vAlign w:val="center"/>
          </w:tcPr>
          <w:p w14:paraId="43C306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序号</w:t>
            </w:r>
          </w:p>
        </w:tc>
        <w:tc>
          <w:tcPr>
            <w:tcW w:w="984" w:type="dxa"/>
            <w:tcBorders>
              <w:bottom w:val="single" w:color="auto" w:sz="12" w:space="0"/>
            </w:tcBorders>
            <w:shd w:val="clear" w:color="auto" w:fill="auto"/>
            <w:noWrap/>
            <w:tcMar>
              <w:top w:w="15" w:type="dxa"/>
              <w:left w:w="15" w:type="dxa"/>
              <w:right w:w="15" w:type="dxa"/>
            </w:tcMar>
            <w:vAlign w:val="center"/>
          </w:tcPr>
          <w:p w14:paraId="4EA9B9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样品编号</w:t>
            </w:r>
          </w:p>
        </w:tc>
        <w:tc>
          <w:tcPr>
            <w:tcW w:w="1029" w:type="dxa"/>
            <w:tcBorders>
              <w:bottom w:val="single" w:color="auto" w:sz="12" w:space="0"/>
            </w:tcBorders>
            <w:shd w:val="clear" w:color="auto" w:fill="auto"/>
            <w:noWrap/>
            <w:tcMar>
              <w:top w:w="15" w:type="dxa"/>
              <w:left w:w="15" w:type="dxa"/>
              <w:right w:w="15" w:type="dxa"/>
            </w:tcMar>
            <w:vAlign w:val="center"/>
          </w:tcPr>
          <w:p w14:paraId="778D45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eastAsia" w:cs="Times New Roman"/>
                <w:b/>
                <w:i w:val="0"/>
                <w:color w:val="000000"/>
                <w:kern w:val="0"/>
                <w:sz w:val="21"/>
                <w:szCs w:val="21"/>
                <w:highlight w:val="none"/>
                <w:u w:val="none"/>
                <w:lang w:val="en-US" w:eastAsia="zh-CN" w:bidi="ar"/>
              </w:rPr>
              <w:t>总氟化物</w:t>
            </w:r>
          </w:p>
        </w:tc>
        <w:tc>
          <w:tcPr>
            <w:tcW w:w="894" w:type="dxa"/>
            <w:tcBorders>
              <w:bottom w:val="single" w:color="auto" w:sz="12" w:space="0"/>
            </w:tcBorders>
            <w:shd w:val="clear" w:color="auto" w:fill="auto"/>
            <w:noWrap/>
            <w:tcMar>
              <w:top w:w="15" w:type="dxa"/>
              <w:left w:w="15" w:type="dxa"/>
              <w:right w:w="15" w:type="dxa"/>
            </w:tcMar>
            <w:vAlign w:val="center"/>
          </w:tcPr>
          <w:p w14:paraId="5430A0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铅</w:t>
            </w:r>
          </w:p>
        </w:tc>
        <w:tc>
          <w:tcPr>
            <w:tcW w:w="894" w:type="dxa"/>
            <w:tcBorders>
              <w:bottom w:val="single" w:color="auto" w:sz="12" w:space="0"/>
            </w:tcBorders>
            <w:shd w:val="clear" w:color="auto" w:fill="auto"/>
            <w:noWrap/>
            <w:tcMar>
              <w:top w:w="15" w:type="dxa"/>
              <w:left w:w="15" w:type="dxa"/>
              <w:right w:w="15" w:type="dxa"/>
            </w:tcMar>
            <w:vAlign w:val="center"/>
          </w:tcPr>
          <w:p w14:paraId="1A923E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汞</w:t>
            </w:r>
          </w:p>
        </w:tc>
        <w:tc>
          <w:tcPr>
            <w:tcW w:w="980" w:type="dxa"/>
            <w:tcBorders>
              <w:bottom w:val="single" w:color="auto" w:sz="12" w:space="0"/>
            </w:tcBorders>
            <w:shd w:val="clear" w:color="auto" w:fill="auto"/>
            <w:noWrap/>
            <w:tcMar>
              <w:top w:w="15" w:type="dxa"/>
              <w:left w:w="15" w:type="dxa"/>
              <w:right w:w="15" w:type="dxa"/>
            </w:tcMar>
            <w:vAlign w:val="center"/>
          </w:tcPr>
          <w:p w14:paraId="07DE3E2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钴</w:t>
            </w:r>
          </w:p>
        </w:tc>
        <w:tc>
          <w:tcPr>
            <w:tcW w:w="1017" w:type="dxa"/>
            <w:tcBorders>
              <w:bottom w:val="single" w:color="auto" w:sz="12" w:space="0"/>
            </w:tcBorders>
            <w:shd w:val="clear" w:color="auto" w:fill="auto"/>
            <w:noWrap/>
            <w:tcMar>
              <w:top w:w="15" w:type="dxa"/>
              <w:left w:w="15" w:type="dxa"/>
              <w:right w:w="15" w:type="dxa"/>
            </w:tcMar>
            <w:vAlign w:val="center"/>
          </w:tcPr>
          <w:p w14:paraId="3CADA7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镉</w:t>
            </w:r>
          </w:p>
        </w:tc>
        <w:tc>
          <w:tcPr>
            <w:tcW w:w="894" w:type="dxa"/>
            <w:tcBorders>
              <w:bottom w:val="single" w:color="auto" w:sz="12" w:space="0"/>
            </w:tcBorders>
            <w:shd w:val="clear" w:color="auto" w:fill="auto"/>
            <w:noWrap/>
            <w:tcMar>
              <w:top w:w="15" w:type="dxa"/>
              <w:left w:w="15" w:type="dxa"/>
              <w:right w:w="15" w:type="dxa"/>
            </w:tcMar>
            <w:vAlign w:val="center"/>
          </w:tcPr>
          <w:p w14:paraId="74A837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铜</w:t>
            </w:r>
          </w:p>
        </w:tc>
        <w:tc>
          <w:tcPr>
            <w:tcW w:w="894" w:type="dxa"/>
            <w:tcBorders>
              <w:bottom w:val="single" w:color="auto" w:sz="12" w:space="0"/>
            </w:tcBorders>
            <w:shd w:val="clear" w:color="auto" w:fill="auto"/>
            <w:noWrap/>
            <w:tcMar>
              <w:top w:w="15" w:type="dxa"/>
              <w:left w:w="15" w:type="dxa"/>
              <w:right w:w="15" w:type="dxa"/>
            </w:tcMar>
            <w:vAlign w:val="center"/>
          </w:tcPr>
          <w:p w14:paraId="47C4EB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镍</w:t>
            </w:r>
          </w:p>
        </w:tc>
        <w:tc>
          <w:tcPr>
            <w:tcW w:w="894" w:type="dxa"/>
            <w:tcBorders>
              <w:bottom w:val="single" w:color="auto" w:sz="12" w:space="0"/>
            </w:tcBorders>
            <w:shd w:val="clear" w:color="auto" w:fill="auto"/>
            <w:noWrap/>
            <w:tcMar>
              <w:top w:w="15" w:type="dxa"/>
              <w:left w:w="15" w:type="dxa"/>
              <w:right w:w="15" w:type="dxa"/>
            </w:tcMar>
            <w:vAlign w:val="center"/>
          </w:tcPr>
          <w:p w14:paraId="2F369C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铬</w:t>
            </w:r>
          </w:p>
        </w:tc>
        <w:tc>
          <w:tcPr>
            <w:tcW w:w="919" w:type="dxa"/>
            <w:tcBorders>
              <w:bottom w:val="single" w:color="auto" w:sz="12" w:space="0"/>
            </w:tcBorders>
            <w:shd w:val="clear" w:color="auto" w:fill="auto"/>
            <w:noWrap/>
            <w:tcMar>
              <w:top w:w="15" w:type="dxa"/>
              <w:left w:w="15" w:type="dxa"/>
              <w:right w:w="15" w:type="dxa"/>
            </w:tcMar>
            <w:vAlign w:val="center"/>
          </w:tcPr>
          <w:p w14:paraId="0D36DD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锌</w:t>
            </w:r>
          </w:p>
        </w:tc>
        <w:tc>
          <w:tcPr>
            <w:tcW w:w="919" w:type="dxa"/>
            <w:tcBorders>
              <w:bottom w:val="single" w:color="auto" w:sz="12" w:space="0"/>
            </w:tcBorders>
            <w:shd w:val="clear" w:color="auto" w:fill="auto"/>
            <w:noWrap/>
            <w:tcMar>
              <w:top w:w="15" w:type="dxa"/>
              <w:left w:w="15" w:type="dxa"/>
              <w:right w:w="15" w:type="dxa"/>
            </w:tcMar>
            <w:vAlign w:val="center"/>
          </w:tcPr>
          <w:p w14:paraId="372625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砷</w:t>
            </w:r>
          </w:p>
        </w:tc>
        <w:tc>
          <w:tcPr>
            <w:tcW w:w="1104" w:type="dxa"/>
            <w:tcBorders>
              <w:bottom w:val="single" w:color="auto" w:sz="12" w:space="0"/>
            </w:tcBorders>
            <w:shd w:val="clear" w:color="auto" w:fill="auto"/>
            <w:noWrap/>
            <w:tcMar>
              <w:top w:w="15" w:type="dxa"/>
              <w:left w:w="15" w:type="dxa"/>
              <w:right w:w="15" w:type="dxa"/>
            </w:tcMar>
            <w:vAlign w:val="center"/>
          </w:tcPr>
          <w:p w14:paraId="311C38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氰化物</w:t>
            </w:r>
          </w:p>
        </w:tc>
        <w:tc>
          <w:tcPr>
            <w:tcW w:w="895" w:type="dxa"/>
            <w:tcBorders>
              <w:bottom w:val="single" w:color="auto" w:sz="12" w:space="0"/>
            </w:tcBorders>
            <w:shd w:val="clear" w:color="auto" w:fill="auto"/>
            <w:noWrap/>
            <w:tcMar>
              <w:top w:w="15" w:type="dxa"/>
              <w:left w:w="15" w:type="dxa"/>
              <w:right w:w="15" w:type="dxa"/>
            </w:tcMar>
            <w:vAlign w:val="center"/>
          </w:tcPr>
          <w:p w14:paraId="640ED9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rPr>
            </w:pPr>
            <w:r>
              <w:rPr>
                <w:rFonts w:hint="default" w:ascii="Times New Roman" w:hAnsi="Times New Roman" w:eastAsia="宋体" w:cs="Times New Roman"/>
                <w:b/>
                <w:i w:val="0"/>
                <w:color w:val="000000"/>
                <w:kern w:val="0"/>
                <w:sz w:val="21"/>
                <w:szCs w:val="21"/>
                <w:highlight w:val="none"/>
                <w:u w:val="none"/>
                <w:lang w:val="en-US" w:eastAsia="zh-CN" w:bidi="ar"/>
              </w:rPr>
              <w:t>二噁英</w:t>
            </w:r>
          </w:p>
        </w:tc>
        <w:tc>
          <w:tcPr>
            <w:tcW w:w="1332" w:type="dxa"/>
            <w:tcBorders>
              <w:bottom w:val="single" w:color="auto" w:sz="12" w:space="0"/>
            </w:tcBorders>
            <w:shd w:val="clear" w:color="auto" w:fill="auto"/>
            <w:noWrap/>
            <w:tcMar>
              <w:top w:w="15" w:type="dxa"/>
              <w:left w:w="15" w:type="dxa"/>
              <w:right w:w="15" w:type="dxa"/>
            </w:tcMar>
            <w:vAlign w:val="center"/>
          </w:tcPr>
          <w:p w14:paraId="63D1E9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i w:val="0"/>
                <w:color w:val="000000"/>
                <w:sz w:val="21"/>
                <w:szCs w:val="21"/>
                <w:highlight w:val="none"/>
                <w:u w:val="none"/>
                <w:lang w:val="en-US"/>
              </w:rPr>
            </w:pPr>
            <w:r>
              <w:rPr>
                <w:rFonts w:hint="default" w:ascii="Times New Roman" w:hAnsi="Times New Roman" w:eastAsia="宋体" w:cs="Times New Roman"/>
                <w:b/>
                <w:i w:val="0"/>
                <w:color w:val="000000"/>
                <w:kern w:val="0"/>
                <w:sz w:val="21"/>
                <w:szCs w:val="21"/>
                <w:highlight w:val="none"/>
                <w:u w:val="none"/>
                <w:lang w:val="en-US" w:eastAsia="zh-CN" w:bidi="ar"/>
              </w:rPr>
              <w:t>石油烃</w:t>
            </w:r>
            <w:r>
              <w:rPr>
                <w:rFonts w:hint="eastAsia" w:cs="Times New Roman"/>
                <w:b/>
                <w:i w:val="0"/>
                <w:color w:val="000000"/>
                <w:kern w:val="0"/>
                <w:sz w:val="21"/>
                <w:szCs w:val="21"/>
                <w:highlight w:val="none"/>
                <w:u w:val="none"/>
                <w:lang w:val="en-US" w:eastAsia="zh-CN" w:bidi="ar"/>
              </w:rPr>
              <w:t>（C</w:t>
            </w:r>
            <w:r>
              <w:rPr>
                <w:rFonts w:hint="eastAsia" w:cs="Times New Roman"/>
                <w:b/>
                <w:i w:val="0"/>
                <w:color w:val="000000"/>
                <w:kern w:val="0"/>
                <w:sz w:val="21"/>
                <w:szCs w:val="21"/>
                <w:highlight w:val="none"/>
                <w:u w:val="none"/>
                <w:vertAlign w:val="subscript"/>
                <w:lang w:val="en-US" w:eastAsia="zh-CN" w:bidi="ar"/>
              </w:rPr>
              <w:t>10</w:t>
            </w:r>
            <w:r>
              <w:rPr>
                <w:rFonts w:hint="eastAsia" w:cs="Times New Roman"/>
                <w:b/>
                <w:i w:val="0"/>
                <w:color w:val="000000"/>
                <w:kern w:val="0"/>
                <w:sz w:val="21"/>
                <w:szCs w:val="21"/>
                <w:highlight w:val="none"/>
                <w:u w:val="none"/>
                <w:lang w:val="en-US" w:eastAsia="zh-CN" w:bidi="ar"/>
              </w:rPr>
              <w:t>-C</w:t>
            </w:r>
            <w:r>
              <w:rPr>
                <w:rFonts w:hint="eastAsia" w:cs="Times New Roman"/>
                <w:b/>
                <w:i w:val="0"/>
                <w:color w:val="000000"/>
                <w:kern w:val="0"/>
                <w:sz w:val="21"/>
                <w:szCs w:val="21"/>
                <w:highlight w:val="none"/>
                <w:u w:val="none"/>
                <w:vertAlign w:val="subscript"/>
                <w:lang w:val="en-US" w:eastAsia="zh-CN" w:bidi="ar"/>
              </w:rPr>
              <w:t>40</w:t>
            </w:r>
            <w:r>
              <w:rPr>
                <w:rFonts w:hint="eastAsia" w:cs="Times New Roman"/>
                <w:b/>
                <w:i w:val="0"/>
                <w:color w:val="000000"/>
                <w:kern w:val="0"/>
                <w:sz w:val="21"/>
                <w:szCs w:val="21"/>
                <w:highlight w:val="none"/>
                <w:u w:val="none"/>
                <w:lang w:val="en-US" w:eastAsia="zh-CN" w:bidi="ar"/>
              </w:rPr>
              <w:t>）</w:t>
            </w:r>
          </w:p>
        </w:tc>
      </w:tr>
      <w:tr w14:paraId="109775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894" w:type="dxa"/>
            <w:tcBorders>
              <w:top w:val="single" w:color="auto" w:sz="12" w:space="0"/>
              <w:tl2br w:val="nil"/>
              <w:tr2bl w:val="nil"/>
            </w:tcBorders>
            <w:shd w:val="clear" w:color="auto" w:fill="auto"/>
            <w:noWrap/>
            <w:tcMar>
              <w:top w:w="15" w:type="dxa"/>
              <w:left w:w="15" w:type="dxa"/>
              <w:right w:w="15" w:type="dxa"/>
            </w:tcMar>
            <w:vAlign w:val="center"/>
          </w:tcPr>
          <w:p w14:paraId="59E4D3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w:t>
            </w:r>
          </w:p>
        </w:tc>
        <w:tc>
          <w:tcPr>
            <w:tcW w:w="984" w:type="dxa"/>
            <w:tcBorders>
              <w:top w:val="single" w:color="auto" w:sz="12" w:space="0"/>
              <w:tl2br w:val="nil"/>
              <w:tr2bl w:val="nil"/>
            </w:tcBorders>
            <w:shd w:val="clear" w:color="auto" w:fill="auto"/>
            <w:noWrap/>
            <w:tcMar>
              <w:top w:w="15" w:type="dxa"/>
              <w:left w:w="15" w:type="dxa"/>
              <w:right w:w="15" w:type="dxa"/>
            </w:tcMar>
            <w:vAlign w:val="center"/>
          </w:tcPr>
          <w:p w14:paraId="2C17FB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HR-1-75</w:t>
            </w:r>
          </w:p>
        </w:tc>
        <w:tc>
          <w:tcPr>
            <w:tcW w:w="1029" w:type="dxa"/>
            <w:tcBorders>
              <w:top w:val="single" w:color="auto" w:sz="12" w:space="0"/>
              <w:tl2br w:val="nil"/>
              <w:tr2bl w:val="nil"/>
            </w:tcBorders>
            <w:shd w:val="clear" w:color="auto" w:fill="auto"/>
            <w:noWrap/>
            <w:tcMar>
              <w:top w:w="15" w:type="dxa"/>
              <w:left w:w="15" w:type="dxa"/>
              <w:right w:w="15" w:type="dxa"/>
            </w:tcMar>
            <w:vAlign w:val="center"/>
          </w:tcPr>
          <w:p w14:paraId="3F349D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0.0599</w:t>
            </w:r>
          </w:p>
        </w:tc>
        <w:tc>
          <w:tcPr>
            <w:tcW w:w="894" w:type="dxa"/>
            <w:tcBorders>
              <w:top w:val="single" w:color="auto" w:sz="12" w:space="0"/>
              <w:tl2br w:val="nil"/>
              <w:tr2bl w:val="nil"/>
            </w:tcBorders>
            <w:shd w:val="clear" w:color="auto" w:fill="auto"/>
            <w:noWrap/>
            <w:tcMar>
              <w:top w:w="15" w:type="dxa"/>
              <w:left w:w="15" w:type="dxa"/>
              <w:right w:w="15" w:type="dxa"/>
            </w:tcMar>
            <w:vAlign w:val="center"/>
          </w:tcPr>
          <w:p w14:paraId="121CA9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0.0244</w:t>
            </w:r>
          </w:p>
        </w:tc>
        <w:tc>
          <w:tcPr>
            <w:tcW w:w="894" w:type="dxa"/>
            <w:tcBorders>
              <w:top w:val="single" w:color="auto" w:sz="12" w:space="0"/>
              <w:tl2br w:val="nil"/>
              <w:tr2bl w:val="nil"/>
            </w:tcBorders>
            <w:shd w:val="clear" w:color="auto" w:fill="auto"/>
            <w:noWrap/>
            <w:tcMar>
              <w:top w:w="15" w:type="dxa"/>
              <w:left w:w="15" w:type="dxa"/>
              <w:right w:w="15" w:type="dxa"/>
            </w:tcMar>
            <w:vAlign w:val="center"/>
          </w:tcPr>
          <w:p w14:paraId="393C4D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0.0018</w:t>
            </w:r>
          </w:p>
        </w:tc>
        <w:tc>
          <w:tcPr>
            <w:tcW w:w="980" w:type="dxa"/>
            <w:tcBorders>
              <w:top w:val="single" w:color="auto" w:sz="12" w:space="0"/>
              <w:tl2br w:val="nil"/>
              <w:tr2bl w:val="nil"/>
            </w:tcBorders>
            <w:shd w:val="clear" w:color="auto" w:fill="auto"/>
            <w:noWrap/>
            <w:tcMar>
              <w:top w:w="15" w:type="dxa"/>
              <w:left w:w="15" w:type="dxa"/>
              <w:right w:w="15" w:type="dxa"/>
            </w:tcMar>
            <w:vAlign w:val="center"/>
          </w:tcPr>
          <w:p w14:paraId="57ADE3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0.1557</w:t>
            </w:r>
          </w:p>
        </w:tc>
        <w:tc>
          <w:tcPr>
            <w:tcW w:w="1017" w:type="dxa"/>
            <w:tcBorders>
              <w:top w:val="single" w:color="auto" w:sz="12" w:space="0"/>
              <w:tl2br w:val="nil"/>
              <w:tr2bl w:val="nil"/>
            </w:tcBorders>
            <w:shd w:val="clear" w:color="auto" w:fill="auto"/>
            <w:noWrap/>
            <w:tcMar>
              <w:top w:w="15" w:type="dxa"/>
              <w:left w:w="15" w:type="dxa"/>
              <w:right w:w="15" w:type="dxa"/>
            </w:tcMar>
            <w:vAlign w:val="center"/>
          </w:tcPr>
          <w:p w14:paraId="79CC05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0.0011</w:t>
            </w:r>
          </w:p>
        </w:tc>
        <w:tc>
          <w:tcPr>
            <w:tcW w:w="894" w:type="dxa"/>
            <w:tcBorders>
              <w:top w:val="single" w:color="auto" w:sz="12" w:space="0"/>
              <w:tl2br w:val="nil"/>
              <w:tr2bl w:val="nil"/>
            </w:tcBorders>
            <w:shd w:val="clear" w:color="auto" w:fill="auto"/>
            <w:noWrap/>
            <w:tcMar>
              <w:top w:w="15" w:type="dxa"/>
              <w:left w:w="15" w:type="dxa"/>
              <w:right w:w="15" w:type="dxa"/>
            </w:tcMar>
            <w:vAlign w:val="center"/>
          </w:tcPr>
          <w:p w14:paraId="030679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0.0016</w:t>
            </w:r>
          </w:p>
        </w:tc>
        <w:tc>
          <w:tcPr>
            <w:tcW w:w="894" w:type="dxa"/>
            <w:tcBorders>
              <w:top w:val="single" w:color="auto" w:sz="12" w:space="0"/>
              <w:tl2br w:val="nil"/>
              <w:tr2bl w:val="nil"/>
            </w:tcBorders>
            <w:shd w:val="clear" w:color="auto" w:fill="auto"/>
            <w:noWrap/>
            <w:tcMar>
              <w:top w:w="15" w:type="dxa"/>
              <w:left w:w="15" w:type="dxa"/>
              <w:right w:w="15" w:type="dxa"/>
            </w:tcMar>
            <w:vAlign w:val="center"/>
          </w:tcPr>
          <w:p w14:paraId="0D63BB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0.0544</w:t>
            </w:r>
          </w:p>
        </w:tc>
        <w:tc>
          <w:tcPr>
            <w:tcW w:w="894" w:type="dxa"/>
            <w:tcBorders>
              <w:top w:val="single" w:color="auto" w:sz="12" w:space="0"/>
              <w:tl2br w:val="nil"/>
              <w:tr2bl w:val="nil"/>
            </w:tcBorders>
            <w:shd w:val="clear" w:color="auto" w:fill="auto"/>
            <w:noWrap/>
            <w:tcMar>
              <w:top w:w="15" w:type="dxa"/>
              <w:left w:w="15" w:type="dxa"/>
              <w:right w:w="15" w:type="dxa"/>
            </w:tcMar>
            <w:vAlign w:val="center"/>
          </w:tcPr>
          <w:p w14:paraId="23B75C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0.0357</w:t>
            </w:r>
          </w:p>
        </w:tc>
        <w:tc>
          <w:tcPr>
            <w:tcW w:w="919" w:type="dxa"/>
            <w:tcBorders>
              <w:top w:val="single" w:color="auto" w:sz="12" w:space="0"/>
              <w:tl2br w:val="nil"/>
              <w:tr2bl w:val="nil"/>
            </w:tcBorders>
            <w:shd w:val="clear" w:color="auto" w:fill="auto"/>
            <w:noWrap/>
            <w:tcMar>
              <w:top w:w="15" w:type="dxa"/>
              <w:left w:w="15" w:type="dxa"/>
              <w:right w:w="15" w:type="dxa"/>
            </w:tcMar>
            <w:vAlign w:val="center"/>
          </w:tcPr>
          <w:p w14:paraId="140BEF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919" w:type="dxa"/>
            <w:tcBorders>
              <w:top w:val="single" w:color="auto" w:sz="12" w:space="0"/>
              <w:tl2br w:val="nil"/>
              <w:tr2bl w:val="nil"/>
            </w:tcBorders>
            <w:shd w:val="clear" w:color="auto" w:fill="auto"/>
            <w:noWrap/>
            <w:tcMar>
              <w:top w:w="15" w:type="dxa"/>
              <w:left w:w="15" w:type="dxa"/>
              <w:right w:w="15" w:type="dxa"/>
            </w:tcMar>
            <w:vAlign w:val="center"/>
          </w:tcPr>
          <w:p w14:paraId="4DC3D8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0.1767</w:t>
            </w:r>
          </w:p>
        </w:tc>
        <w:tc>
          <w:tcPr>
            <w:tcW w:w="1104" w:type="dxa"/>
            <w:tcBorders>
              <w:top w:val="single" w:color="auto" w:sz="12" w:space="0"/>
              <w:tl2br w:val="nil"/>
              <w:tr2bl w:val="nil"/>
            </w:tcBorders>
            <w:shd w:val="clear" w:color="auto" w:fill="auto"/>
            <w:noWrap/>
            <w:tcMar>
              <w:top w:w="15" w:type="dxa"/>
              <w:left w:w="15" w:type="dxa"/>
              <w:right w:w="15" w:type="dxa"/>
            </w:tcMar>
            <w:vAlign w:val="center"/>
          </w:tcPr>
          <w:p w14:paraId="2AD7E5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0.0002</w:t>
            </w:r>
          </w:p>
        </w:tc>
        <w:tc>
          <w:tcPr>
            <w:tcW w:w="895" w:type="dxa"/>
            <w:tcBorders>
              <w:top w:val="single" w:color="auto" w:sz="12" w:space="0"/>
              <w:tl2br w:val="nil"/>
              <w:tr2bl w:val="nil"/>
            </w:tcBorders>
            <w:shd w:val="clear" w:color="auto" w:fill="auto"/>
            <w:noWrap/>
            <w:tcMar>
              <w:top w:w="15" w:type="dxa"/>
              <w:left w:w="15" w:type="dxa"/>
              <w:right w:w="15" w:type="dxa"/>
            </w:tcMar>
            <w:vAlign w:val="center"/>
          </w:tcPr>
          <w:p w14:paraId="7357DC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332" w:type="dxa"/>
            <w:tcBorders>
              <w:top w:val="single" w:color="auto" w:sz="12" w:space="0"/>
              <w:tl2br w:val="nil"/>
              <w:tr2bl w:val="nil"/>
            </w:tcBorders>
            <w:shd w:val="clear" w:color="auto" w:fill="auto"/>
            <w:noWrap/>
            <w:tcMar>
              <w:top w:w="15" w:type="dxa"/>
              <w:left w:w="15" w:type="dxa"/>
              <w:right w:w="15" w:type="dxa"/>
            </w:tcMar>
            <w:vAlign w:val="center"/>
          </w:tcPr>
          <w:p w14:paraId="644C8D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0.0033</w:t>
            </w:r>
          </w:p>
        </w:tc>
      </w:tr>
      <w:tr w14:paraId="0750E3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894" w:type="dxa"/>
            <w:tcBorders>
              <w:tl2br w:val="nil"/>
              <w:tr2bl w:val="nil"/>
            </w:tcBorders>
            <w:shd w:val="clear" w:color="auto" w:fill="auto"/>
            <w:noWrap/>
            <w:tcMar>
              <w:top w:w="15" w:type="dxa"/>
              <w:left w:w="15" w:type="dxa"/>
              <w:right w:w="15" w:type="dxa"/>
            </w:tcMar>
            <w:vAlign w:val="center"/>
          </w:tcPr>
          <w:p w14:paraId="550D01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w:t>
            </w:r>
          </w:p>
        </w:tc>
        <w:tc>
          <w:tcPr>
            <w:tcW w:w="984" w:type="dxa"/>
            <w:tcBorders>
              <w:tl2br w:val="nil"/>
              <w:tr2bl w:val="nil"/>
            </w:tcBorders>
            <w:shd w:val="clear" w:color="auto" w:fill="auto"/>
            <w:noWrap/>
            <w:tcMar>
              <w:top w:w="15" w:type="dxa"/>
              <w:left w:w="15" w:type="dxa"/>
              <w:right w:w="15" w:type="dxa"/>
            </w:tcMar>
            <w:vAlign w:val="center"/>
          </w:tcPr>
          <w:p w14:paraId="5EDF23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HR-1-200</w:t>
            </w:r>
          </w:p>
        </w:tc>
        <w:tc>
          <w:tcPr>
            <w:tcW w:w="1029" w:type="dxa"/>
            <w:tcBorders>
              <w:tl2br w:val="nil"/>
              <w:tr2bl w:val="nil"/>
            </w:tcBorders>
            <w:shd w:val="clear" w:color="auto" w:fill="auto"/>
            <w:noWrap/>
            <w:tcMar>
              <w:top w:w="15" w:type="dxa"/>
              <w:left w:w="15" w:type="dxa"/>
              <w:right w:w="15" w:type="dxa"/>
            </w:tcMar>
            <w:vAlign w:val="center"/>
          </w:tcPr>
          <w:p w14:paraId="47726B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0.0547</w:t>
            </w:r>
          </w:p>
        </w:tc>
        <w:tc>
          <w:tcPr>
            <w:tcW w:w="894" w:type="dxa"/>
            <w:tcBorders>
              <w:tl2br w:val="nil"/>
              <w:tr2bl w:val="nil"/>
            </w:tcBorders>
            <w:shd w:val="clear" w:color="auto" w:fill="auto"/>
            <w:noWrap/>
            <w:tcMar>
              <w:top w:w="15" w:type="dxa"/>
              <w:left w:w="15" w:type="dxa"/>
              <w:right w:w="15" w:type="dxa"/>
            </w:tcMar>
            <w:vAlign w:val="center"/>
          </w:tcPr>
          <w:p w14:paraId="0D8AEE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0.0216</w:t>
            </w:r>
          </w:p>
        </w:tc>
        <w:tc>
          <w:tcPr>
            <w:tcW w:w="894" w:type="dxa"/>
            <w:tcBorders>
              <w:tl2br w:val="nil"/>
              <w:tr2bl w:val="nil"/>
            </w:tcBorders>
            <w:shd w:val="clear" w:color="auto" w:fill="auto"/>
            <w:noWrap/>
            <w:tcMar>
              <w:top w:w="15" w:type="dxa"/>
              <w:left w:w="15" w:type="dxa"/>
              <w:right w:w="15" w:type="dxa"/>
            </w:tcMar>
            <w:vAlign w:val="center"/>
          </w:tcPr>
          <w:p w14:paraId="2531BB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0.0021</w:t>
            </w:r>
          </w:p>
        </w:tc>
        <w:tc>
          <w:tcPr>
            <w:tcW w:w="980" w:type="dxa"/>
            <w:tcBorders>
              <w:tl2br w:val="nil"/>
              <w:tr2bl w:val="nil"/>
            </w:tcBorders>
            <w:shd w:val="clear" w:color="auto" w:fill="auto"/>
            <w:noWrap/>
            <w:tcMar>
              <w:top w:w="15" w:type="dxa"/>
              <w:left w:w="15" w:type="dxa"/>
              <w:right w:w="15" w:type="dxa"/>
            </w:tcMar>
            <w:vAlign w:val="center"/>
          </w:tcPr>
          <w:p w14:paraId="2DA15B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0.1471</w:t>
            </w:r>
          </w:p>
        </w:tc>
        <w:tc>
          <w:tcPr>
            <w:tcW w:w="1017" w:type="dxa"/>
            <w:tcBorders>
              <w:tl2br w:val="nil"/>
              <w:tr2bl w:val="nil"/>
            </w:tcBorders>
            <w:shd w:val="clear" w:color="auto" w:fill="auto"/>
            <w:noWrap/>
            <w:tcMar>
              <w:top w:w="15" w:type="dxa"/>
              <w:left w:w="15" w:type="dxa"/>
              <w:right w:w="15" w:type="dxa"/>
            </w:tcMar>
            <w:vAlign w:val="center"/>
          </w:tcPr>
          <w:p w14:paraId="1EEDC52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0.0012</w:t>
            </w:r>
          </w:p>
        </w:tc>
        <w:tc>
          <w:tcPr>
            <w:tcW w:w="894" w:type="dxa"/>
            <w:tcBorders>
              <w:tl2br w:val="nil"/>
              <w:tr2bl w:val="nil"/>
            </w:tcBorders>
            <w:shd w:val="clear" w:color="auto" w:fill="auto"/>
            <w:noWrap/>
            <w:tcMar>
              <w:top w:w="15" w:type="dxa"/>
              <w:left w:w="15" w:type="dxa"/>
              <w:right w:w="15" w:type="dxa"/>
            </w:tcMar>
            <w:vAlign w:val="center"/>
          </w:tcPr>
          <w:p w14:paraId="40A2D0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0.0016</w:t>
            </w:r>
          </w:p>
        </w:tc>
        <w:tc>
          <w:tcPr>
            <w:tcW w:w="894" w:type="dxa"/>
            <w:tcBorders>
              <w:tl2br w:val="nil"/>
              <w:tr2bl w:val="nil"/>
            </w:tcBorders>
            <w:shd w:val="clear" w:color="auto" w:fill="auto"/>
            <w:noWrap/>
            <w:tcMar>
              <w:top w:w="15" w:type="dxa"/>
              <w:left w:w="15" w:type="dxa"/>
              <w:right w:w="15" w:type="dxa"/>
            </w:tcMar>
            <w:vAlign w:val="center"/>
          </w:tcPr>
          <w:p w14:paraId="0B2DF0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0.0444</w:t>
            </w:r>
          </w:p>
        </w:tc>
        <w:tc>
          <w:tcPr>
            <w:tcW w:w="894" w:type="dxa"/>
            <w:tcBorders>
              <w:tl2br w:val="nil"/>
              <w:tr2bl w:val="nil"/>
            </w:tcBorders>
            <w:shd w:val="clear" w:color="auto" w:fill="auto"/>
            <w:noWrap/>
            <w:tcMar>
              <w:top w:w="15" w:type="dxa"/>
              <w:left w:w="15" w:type="dxa"/>
              <w:right w:w="15" w:type="dxa"/>
            </w:tcMar>
            <w:vAlign w:val="center"/>
          </w:tcPr>
          <w:p w14:paraId="367E95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0.0223</w:t>
            </w:r>
          </w:p>
        </w:tc>
        <w:tc>
          <w:tcPr>
            <w:tcW w:w="919" w:type="dxa"/>
            <w:tcBorders>
              <w:tl2br w:val="nil"/>
              <w:tr2bl w:val="nil"/>
            </w:tcBorders>
            <w:shd w:val="clear" w:color="auto" w:fill="auto"/>
            <w:noWrap/>
            <w:tcMar>
              <w:top w:w="15" w:type="dxa"/>
              <w:left w:w="15" w:type="dxa"/>
              <w:right w:w="15" w:type="dxa"/>
            </w:tcMar>
            <w:vAlign w:val="center"/>
          </w:tcPr>
          <w:p w14:paraId="1BDE5B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919" w:type="dxa"/>
            <w:tcBorders>
              <w:tl2br w:val="nil"/>
              <w:tr2bl w:val="nil"/>
            </w:tcBorders>
            <w:shd w:val="clear" w:color="auto" w:fill="auto"/>
            <w:noWrap/>
            <w:tcMar>
              <w:top w:w="15" w:type="dxa"/>
              <w:left w:w="15" w:type="dxa"/>
              <w:right w:w="15" w:type="dxa"/>
            </w:tcMar>
            <w:vAlign w:val="center"/>
          </w:tcPr>
          <w:p w14:paraId="72F317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0.1817</w:t>
            </w:r>
          </w:p>
        </w:tc>
        <w:tc>
          <w:tcPr>
            <w:tcW w:w="1104" w:type="dxa"/>
            <w:tcBorders>
              <w:tl2br w:val="nil"/>
              <w:tr2bl w:val="nil"/>
            </w:tcBorders>
            <w:shd w:val="clear" w:color="auto" w:fill="auto"/>
            <w:noWrap/>
            <w:tcMar>
              <w:top w:w="15" w:type="dxa"/>
              <w:left w:w="15" w:type="dxa"/>
              <w:right w:w="15" w:type="dxa"/>
            </w:tcMar>
            <w:vAlign w:val="center"/>
          </w:tcPr>
          <w:p w14:paraId="43BD74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0.0007</w:t>
            </w:r>
          </w:p>
        </w:tc>
        <w:tc>
          <w:tcPr>
            <w:tcW w:w="895" w:type="dxa"/>
            <w:tcBorders>
              <w:tl2br w:val="nil"/>
              <w:tr2bl w:val="nil"/>
            </w:tcBorders>
            <w:shd w:val="clear" w:color="auto" w:fill="auto"/>
            <w:noWrap/>
            <w:tcMar>
              <w:top w:w="15" w:type="dxa"/>
              <w:left w:w="15" w:type="dxa"/>
              <w:right w:w="15" w:type="dxa"/>
            </w:tcMar>
            <w:vAlign w:val="center"/>
          </w:tcPr>
          <w:p w14:paraId="168447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332" w:type="dxa"/>
            <w:tcBorders>
              <w:tl2br w:val="nil"/>
              <w:tr2bl w:val="nil"/>
            </w:tcBorders>
            <w:shd w:val="clear" w:color="auto" w:fill="auto"/>
            <w:noWrap/>
            <w:tcMar>
              <w:top w:w="15" w:type="dxa"/>
              <w:left w:w="15" w:type="dxa"/>
              <w:right w:w="15" w:type="dxa"/>
            </w:tcMar>
            <w:vAlign w:val="center"/>
          </w:tcPr>
          <w:p w14:paraId="4E616D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0.0016</w:t>
            </w:r>
          </w:p>
        </w:tc>
      </w:tr>
      <w:tr w14:paraId="1BDB2E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894" w:type="dxa"/>
            <w:tcBorders>
              <w:tl2br w:val="nil"/>
              <w:tr2bl w:val="nil"/>
            </w:tcBorders>
            <w:shd w:val="clear" w:color="auto" w:fill="auto"/>
            <w:noWrap/>
            <w:tcMar>
              <w:top w:w="15" w:type="dxa"/>
              <w:left w:w="15" w:type="dxa"/>
              <w:right w:w="15" w:type="dxa"/>
            </w:tcMar>
            <w:vAlign w:val="center"/>
          </w:tcPr>
          <w:p w14:paraId="6A7597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3</w:t>
            </w:r>
          </w:p>
        </w:tc>
        <w:tc>
          <w:tcPr>
            <w:tcW w:w="984" w:type="dxa"/>
            <w:tcBorders>
              <w:tl2br w:val="nil"/>
              <w:tr2bl w:val="nil"/>
            </w:tcBorders>
            <w:shd w:val="clear" w:color="auto" w:fill="auto"/>
            <w:noWrap/>
            <w:tcMar>
              <w:top w:w="15" w:type="dxa"/>
              <w:left w:w="15" w:type="dxa"/>
              <w:right w:w="15" w:type="dxa"/>
            </w:tcMar>
            <w:vAlign w:val="center"/>
          </w:tcPr>
          <w:p w14:paraId="7A9302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HR-1-400</w:t>
            </w:r>
          </w:p>
        </w:tc>
        <w:tc>
          <w:tcPr>
            <w:tcW w:w="1029" w:type="dxa"/>
            <w:tcBorders>
              <w:tl2br w:val="nil"/>
              <w:tr2bl w:val="nil"/>
            </w:tcBorders>
            <w:shd w:val="clear" w:color="auto" w:fill="auto"/>
            <w:noWrap/>
            <w:tcMar>
              <w:top w:w="15" w:type="dxa"/>
              <w:left w:w="15" w:type="dxa"/>
              <w:right w:w="15" w:type="dxa"/>
            </w:tcMar>
            <w:vAlign w:val="center"/>
          </w:tcPr>
          <w:p w14:paraId="693C1B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0.0603</w:t>
            </w:r>
          </w:p>
        </w:tc>
        <w:tc>
          <w:tcPr>
            <w:tcW w:w="894" w:type="dxa"/>
            <w:tcBorders>
              <w:tl2br w:val="nil"/>
              <w:tr2bl w:val="nil"/>
            </w:tcBorders>
            <w:shd w:val="clear" w:color="auto" w:fill="auto"/>
            <w:noWrap/>
            <w:tcMar>
              <w:top w:w="15" w:type="dxa"/>
              <w:left w:w="15" w:type="dxa"/>
              <w:right w:w="15" w:type="dxa"/>
            </w:tcMar>
            <w:vAlign w:val="center"/>
          </w:tcPr>
          <w:p w14:paraId="1F543F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0.0224</w:t>
            </w:r>
          </w:p>
        </w:tc>
        <w:tc>
          <w:tcPr>
            <w:tcW w:w="894" w:type="dxa"/>
            <w:tcBorders>
              <w:tl2br w:val="nil"/>
              <w:tr2bl w:val="nil"/>
            </w:tcBorders>
            <w:shd w:val="clear" w:color="auto" w:fill="auto"/>
            <w:noWrap/>
            <w:tcMar>
              <w:top w:w="15" w:type="dxa"/>
              <w:left w:w="15" w:type="dxa"/>
              <w:right w:w="15" w:type="dxa"/>
            </w:tcMar>
            <w:vAlign w:val="center"/>
          </w:tcPr>
          <w:p w14:paraId="493A73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0.0018</w:t>
            </w:r>
          </w:p>
        </w:tc>
        <w:tc>
          <w:tcPr>
            <w:tcW w:w="980" w:type="dxa"/>
            <w:tcBorders>
              <w:tl2br w:val="nil"/>
              <w:tr2bl w:val="nil"/>
            </w:tcBorders>
            <w:shd w:val="clear" w:color="auto" w:fill="auto"/>
            <w:noWrap/>
            <w:tcMar>
              <w:top w:w="15" w:type="dxa"/>
              <w:left w:w="15" w:type="dxa"/>
              <w:right w:w="15" w:type="dxa"/>
            </w:tcMar>
            <w:vAlign w:val="center"/>
          </w:tcPr>
          <w:p w14:paraId="422E59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0.1629</w:t>
            </w:r>
          </w:p>
        </w:tc>
        <w:tc>
          <w:tcPr>
            <w:tcW w:w="1017" w:type="dxa"/>
            <w:tcBorders>
              <w:tl2br w:val="nil"/>
              <w:tr2bl w:val="nil"/>
            </w:tcBorders>
            <w:shd w:val="clear" w:color="auto" w:fill="auto"/>
            <w:noWrap/>
            <w:tcMar>
              <w:top w:w="15" w:type="dxa"/>
              <w:left w:w="15" w:type="dxa"/>
              <w:right w:w="15" w:type="dxa"/>
            </w:tcMar>
            <w:vAlign w:val="center"/>
          </w:tcPr>
          <w:p w14:paraId="5BB668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0.0002</w:t>
            </w:r>
          </w:p>
        </w:tc>
        <w:tc>
          <w:tcPr>
            <w:tcW w:w="894" w:type="dxa"/>
            <w:tcBorders>
              <w:tl2br w:val="nil"/>
              <w:tr2bl w:val="nil"/>
            </w:tcBorders>
            <w:shd w:val="clear" w:color="auto" w:fill="auto"/>
            <w:noWrap/>
            <w:tcMar>
              <w:top w:w="15" w:type="dxa"/>
              <w:left w:w="15" w:type="dxa"/>
              <w:right w:w="15" w:type="dxa"/>
            </w:tcMar>
            <w:vAlign w:val="center"/>
          </w:tcPr>
          <w:p w14:paraId="7690E2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0.0016</w:t>
            </w:r>
          </w:p>
        </w:tc>
        <w:tc>
          <w:tcPr>
            <w:tcW w:w="894" w:type="dxa"/>
            <w:tcBorders>
              <w:tl2br w:val="nil"/>
              <w:tr2bl w:val="nil"/>
            </w:tcBorders>
            <w:shd w:val="clear" w:color="auto" w:fill="auto"/>
            <w:noWrap/>
            <w:tcMar>
              <w:top w:w="15" w:type="dxa"/>
              <w:left w:w="15" w:type="dxa"/>
              <w:right w:w="15" w:type="dxa"/>
            </w:tcMar>
            <w:vAlign w:val="center"/>
          </w:tcPr>
          <w:p w14:paraId="592B90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0.0389</w:t>
            </w:r>
          </w:p>
        </w:tc>
        <w:tc>
          <w:tcPr>
            <w:tcW w:w="894" w:type="dxa"/>
            <w:tcBorders>
              <w:tl2br w:val="nil"/>
              <w:tr2bl w:val="nil"/>
            </w:tcBorders>
            <w:shd w:val="clear" w:color="auto" w:fill="auto"/>
            <w:noWrap/>
            <w:tcMar>
              <w:top w:w="15" w:type="dxa"/>
              <w:left w:w="15" w:type="dxa"/>
              <w:right w:w="15" w:type="dxa"/>
            </w:tcMar>
            <w:vAlign w:val="center"/>
          </w:tcPr>
          <w:p w14:paraId="720299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0.0217</w:t>
            </w:r>
          </w:p>
        </w:tc>
        <w:tc>
          <w:tcPr>
            <w:tcW w:w="919" w:type="dxa"/>
            <w:tcBorders>
              <w:tl2br w:val="nil"/>
              <w:tr2bl w:val="nil"/>
            </w:tcBorders>
            <w:shd w:val="clear" w:color="auto" w:fill="auto"/>
            <w:noWrap/>
            <w:tcMar>
              <w:top w:w="15" w:type="dxa"/>
              <w:left w:w="15" w:type="dxa"/>
              <w:right w:w="15" w:type="dxa"/>
            </w:tcMar>
            <w:vAlign w:val="center"/>
          </w:tcPr>
          <w:p w14:paraId="01EAEA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919" w:type="dxa"/>
            <w:tcBorders>
              <w:tl2br w:val="nil"/>
              <w:tr2bl w:val="nil"/>
            </w:tcBorders>
            <w:shd w:val="clear" w:color="auto" w:fill="auto"/>
            <w:noWrap/>
            <w:tcMar>
              <w:top w:w="15" w:type="dxa"/>
              <w:left w:w="15" w:type="dxa"/>
              <w:right w:w="15" w:type="dxa"/>
            </w:tcMar>
            <w:vAlign w:val="center"/>
          </w:tcPr>
          <w:p w14:paraId="61780F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0.1833</w:t>
            </w:r>
          </w:p>
        </w:tc>
        <w:tc>
          <w:tcPr>
            <w:tcW w:w="1104" w:type="dxa"/>
            <w:tcBorders>
              <w:tl2br w:val="nil"/>
              <w:tr2bl w:val="nil"/>
            </w:tcBorders>
            <w:shd w:val="clear" w:color="auto" w:fill="auto"/>
            <w:noWrap/>
            <w:tcMar>
              <w:top w:w="15" w:type="dxa"/>
              <w:left w:w="15" w:type="dxa"/>
              <w:right w:w="15" w:type="dxa"/>
            </w:tcMar>
            <w:vAlign w:val="center"/>
          </w:tcPr>
          <w:p w14:paraId="3F7A06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0.0002</w:t>
            </w:r>
          </w:p>
        </w:tc>
        <w:tc>
          <w:tcPr>
            <w:tcW w:w="895" w:type="dxa"/>
            <w:tcBorders>
              <w:tl2br w:val="nil"/>
              <w:tr2bl w:val="nil"/>
            </w:tcBorders>
            <w:shd w:val="clear" w:color="auto" w:fill="auto"/>
            <w:noWrap/>
            <w:tcMar>
              <w:top w:w="15" w:type="dxa"/>
              <w:left w:w="15" w:type="dxa"/>
              <w:right w:w="15" w:type="dxa"/>
            </w:tcMar>
            <w:vAlign w:val="center"/>
          </w:tcPr>
          <w:p w14:paraId="49B308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332" w:type="dxa"/>
            <w:tcBorders>
              <w:tl2br w:val="nil"/>
              <w:tr2bl w:val="nil"/>
            </w:tcBorders>
            <w:shd w:val="clear" w:color="auto" w:fill="auto"/>
            <w:noWrap/>
            <w:tcMar>
              <w:top w:w="15" w:type="dxa"/>
              <w:left w:w="15" w:type="dxa"/>
              <w:right w:w="15" w:type="dxa"/>
            </w:tcMar>
            <w:vAlign w:val="center"/>
          </w:tcPr>
          <w:p w14:paraId="1C05BA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0.0040</w:t>
            </w:r>
          </w:p>
        </w:tc>
      </w:tr>
      <w:tr w14:paraId="6E66A2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894" w:type="dxa"/>
            <w:tcBorders>
              <w:tl2br w:val="nil"/>
              <w:tr2bl w:val="nil"/>
            </w:tcBorders>
            <w:shd w:val="clear" w:color="auto" w:fill="auto"/>
            <w:noWrap/>
            <w:tcMar>
              <w:top w:w="15" w:type="dxa"/>
              <w:left w:w="15" w:type="dxa"/>
              <w:right w:w="15" w:type="dxa"/>
            </w:tcMar>
            <w:vAlign w:val="center"/>
          </w:tcPr>
          <w:p w14:paraId="32A660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4</w:t>
            </w:r>
          </w:p>
        </w:tc>
        <w:tc>
          <w:tcPr>
            <w:tcW w:w="984" w:type="dxa"/>
            <w:tcBorders>
              <w:tl2br w:val="nil"/>
              <w:tr2bl w:val="nil"/>
            </w:tcBorders>
            <w:shd w:val="clear" w:color="auto" w:fill="auto"/>
            <w:noWrap/>
            <w:tcMar>
              <w:top w:w="15" w:type="dxa"/>
              <w:left w:w="15" w:type="dxa"/>
              <w:right w:w="15" w:type="dxa"/>
            </w:tcMar>
            <w:vAlign w:val="center"/>
          </w:tcPr>
          <w:p w14:paraId="032112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HR-2-75</w:t>
            </w:r>
          </w:p>
        </w:tc>
        <w:tc>
          <w:tcPr>
            <w:tcW w:w="1029" w:type="dxa"/>
            <w:tcBorders>
              <w:tl2br w:val="nil"/>
              <w:tr2bl w:val="nil"/>
            </w:tcBorders>
            <w:shd w:val="clear" w:color="auto" w:fill="auto"/>
            <w:noWrap/>
            <w:tcMar>
              <w:top w:w="15" w:type="dxa"/>
              <w:left w:w="15" w:type="dxa"/>
              <w:right w:w="15" w:type="dxa"/>
            </w:tcMar>
            <w:vAlign w:val="center"/>
          </w:tcPr>
          <w:p w14:paraId="09A548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0.0587</w:t>
            </w:r>
          </w:p>
        </w:tc>
        <w:tc>
          <w:tcPr>
            <w:tcW w:w="894" w:type="dxa"/>
            <w:tcBorders>
              <w:tl2br w:val="nil"/>
              <w:tr2bl w:val="nil"/>
            </w:tcBorders>
            <w:shd w:val="clear" w:color="auto" w:fill="auto"/>
            <w:noWrap/>
            <w:tcMar>
              <w:top w:w="15" w:type="dxa"/>
              <w:left w:w="15" w:type="dxa"/>
              <w:right w:w="15" w:type="dxa"/>
            </w:tcMar>
            <w:vAlign w:val="center"/>
          </w:tcPr>
          <w:p w14:paraId="7BF653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0.0376</w:t>
            </w:r>
          </w:p>
        </w:tc>
        <w:tc>
          <w:tcPr>
            <w:tcW w:w="894" w:type="dxa"/>
            <w:tcBorders>
              <w:tl2br w:val="nil"/>
              <w:tr2bl w:val="nil"/>
            </w:tcBorders>
            <w:shd w:val="clear" w:color="auto" w:fill="auto"/>
            <w:noWrap/>
            <w:tcMar>
              <w:top w:w="15" w:type="dxa"/>
              <w:left w:w="15" w:type="dxa"/>
              <w:right w:w="15" w:type="dxa"/>
            </w:tcMar>
            <w:vAlign w:val="center"/>
          </w:tcPr>
          <w:p w14:paraId="287169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0.0029</w:t>
            </w:r>
          </w:p>
        </w:tc>
        <w:tc>
          <w:tcPr>
            <w:tcW w:w="980" w:type="dxa"/>
            <w:tcBorders>
              <w:tl2br w:val="nil"/>
              <w:tr2bl w:val="nil"/>
            </w:tcBorders>
            <w:shd w:val="clear" w:color="auto" w:fill="auto"/>
            <w:noWrap/>
            <w:tcMar>
              <w:top w:w="15" w:type="dxa"/>
              <w:left w:w="15" w:type="dxa"/>
              <w:right w:w="15" w:type="dxa"/>
            </w:tcMar>
            <w:vAlign w:val="center"/>
          </w:tcPr>
          <w:p w14:paraId="1A649F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0.1230</w:t>
            </w:r>
          </w:p>
        </w:tc>
        <w:tc>
          <w:tcPr>
            <w:tcW w:w="1017" w:type="dxa"/>
            <w:tcBorders>
              <w:tl2br w:val="nil"/>
              <w:tr2bl w:val="nil"/>
            </w:tcBorders>
            <w:shd w:val="clear" w:color="auto" w:fill="auto"/>
            <w:noWrap/>
            <w:tcMar>
              <w:top w:w="15" w:type="dxa"/>
              <w:left w:w="15" w:type="dxa"/>
              <w:right w:w="15" w:type="dxa"/>
            </w:tcMar>
            <w:vAlign w:val="center"/>
          </w:tcPr>
          <w:p w14:paraId="25027A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0.0017</w:t>
            </w:r>
          </w:p>
        </w:tc>
        <w:tc>
          <w:tcPr>
            <w:tcW w:w="894" w:type="dxa"/>
            <w:tcBorders>
              <w:tl2br w:val="nil"/>
              <w:tr2bl w:val="nil"/>
            </w:tcBorders>
            <w:shd w:val="clear" w:color="auto" w:fill="auto"/>
            <w:noWrap/>
            <w:tcMar>
              <w:top w:w="15" w:type="dxa"/>
              <w:left w:w="15" w:type="dxa"/>
              <w:right w:w="15" w:type="dxa"/>
            </w:tcMar>
            <w:vAlign w:val="center"/>
          </w:tcPr>
          <w:p w14:paraId="36B804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0.0023</w:t>
            </w:r>
          </w:p>
        </w:tc>
        <w:tc>
          <w:tcPr>
            <w:tcW w:w="894" w:type="dxa"/>
            <w:tcBorders>
              <w:tl2br w:val="nil"/>
              <w:tr2bl w:val="nil"/>
            </w:tcBorders>
            <w:shd w:val="clear" w:color="auto" w:fill="auto"/>
            <w:noWrap/>
            <w:tcMar>
              <w:top w:w="15" w:type="dxa"/>
              <w:left w:w="15" w:type="dxa"/>
              <w:right w:w="15" w:type="dxa"/>
            </w:tcMar>
            <w:vAlign w:val="center"/>
          </w:tcPr>
          <w:p w14:paraId="3FD023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0.0289</w:t>
            </w:r>
          </w:p>
        </w:tc>
        <w:tc>
          <w:tcPr>
            <w:tcW w:w="894" w:type="dxa"/>
            <w:tcBorders>
              <w:tl2br w:val="nil"/>
              <w:tr2bl w:val="nil"/>
            </w:tcBorders>
            <w:shd w:val="clear" w:color="auto" w:fill="auto"/>
            <w:noWrap/>
            <w:tcMar>
              <w:top w:w="15" w:type="dxa"/>
              <w:left w:w="15" w:type="dxa"/>
              <w:right w:w="15" w:type="dxa"/>
            </w:tcMar>
            <w:vAlign w:val="center"/>
          </w:tcPr>
          <w:p w14:paraId="313BB1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0.0241</w:t>
            </w:r>
          </w:p>
        </w:tc>
        <w:tc>
          <w:tcPr>
            <w:tcW w:w="919" w:type="dxa"/>
            <w:tcBorders>
              <w:tl2br w:val="nil"/>
              <w:tr2bl w:val="nil"/>
            </w:tcBorders>
            <w:shd w:val="clear" w:color="auto" w:fill="auto"/>
            <w:noWrap/>
            <w:tcMar>
              <w:top w:w="15" w:type="dxa"/>
              <w:left w:w="15" w:type="dxa"/>
              <w:right w:w="15" w:type="dxa"/>
            </w:tcMar>
            <w:vAlign w:val="center"/>
          </w:tcPr>
          <w:p w14:paraId="17D94B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919" w:type="dxa"/>
            <w:tcBorders>
              <w:tl2br w:val="nil"/>
              <w:tr2bl w:val="nil"/>
            </w:tcBorders>
            <w:shd w:val="clear" w:color="auto" w:fill="auto"/>
            <w:noWrap/>
            <w:tcMar>
              <w:top w:w="15" w:type="dxa"/>
              <w:left w:w="15" w:type="dxa"/>
              <w:right w:w="15" w:type="dxa"/>
            </w:tcMar>
            <w:vAlign w:val="center"/>
          </w:tcPr>
          <w:p w14:paraId="4753026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0.1267</w:t>
            </w:r>
          </w:p>
        </w:tc>
        <w:tc>
          <w:tcPr>
            <w:tcW w:w="1104" w:type="dxa"/>
            <w:tcBorders>
              <w:tl2br w:val="nil"/>
              <w:tr2bl w:val="nil"/>
            </w:tcBorders>
            <w:shd w:val="clear" w:color="auto" w:fill="auto"/>
            <w:noWrap/>
            <w:tcMar>
              <w:top w:w="15" w:type="dxa"/>
              <w:left w:w="15" w:type="dxa"/>
              <w:right w:w="15" w:type="dxa"/>
            </w:tcMar>
            <w:vAlign w:val="center"/>
          </w:tcPr>
          <w:p w14:paraId="01C3A2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0.0002</w:t>
            </w:r>
          </w:p>
        </w:tc>
        <w:tc>
          <w:tcPr>
            <w:tcW w:w="895" w:type="dxa"/>
            <w:tcBorders>
              <w:tl2br w:val="nil"/>
              <w:tr2bl w:val="nil"/>
            </w:tcBorders>
            <w:shd w:val="clear" w:color="auto" w:fill="auto"/>
            <w:noWrap/>
            <w:tcMar>
              <w:top w:w="15" w:type="dxa"/>
              <w:left w:w="15" w:type="dxa"/>
              <w:right w:w="15" w:type="dxa"/>
            </w:tcMar>
            <w:vAlign w:val="center"/>
          </w:tcPr>
          <w:p w14:paraId="06E0CB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332" w:type="dxa"/>
            <w:tcBorders>
              <w:tl2br w:val="nil"/>
              <w:tr2bl w:val="nil"/>
            </w:tcBorders>
            <w:shd w:val="clear" w:color="auto" w:fill="auto"/>
            <w:noWrap/>
            <w:tcMar>
              <w:top w:w="15" w:type="dxa"/>
              <w:left w:w="15" w:type="dxa"/>
              <w:right w:w="15" w:type="dxa"/>
            </w:tcMar>
            <w:vAlign w:val="center"/>
          </w:tcPr>
          <w:p w14:paraId="531D54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0.0578</w:t>
            </w:r>
          </w:p>
        </w:tc>
      </w:tr>
      <w:tr w14:paraId="61D058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894" w:type="dxa"/>
            <w:tcBorders>
              <w:tl2br w:val="nil"/>
              <w:tr2bl w:val="nil"/>
            </w:tcBorders>
            <w:shd w:val="clear" w:color="auto" w:fill="auto"/>
            <w:noWrap/>
            <w:tcMar>
              <w:top w:w="15" w:type="dxa"/>
              <w:left w:w="15" w:type="dxa"/>
              <w:right w:w="15" w:type="dxa"/>
            </w:tcMar>
            <w:vAlign w:val="center"/>
          </w:tcPr>
          <w:p w14:paraId="1AF175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5</w:t>
            </w:r>
          </w:p>
        </w:tc>
        <w:tc>
          <w:tcPr>
            <w:tcW w:w="984" w:type="dxa"/>
            <w:tcBorders>
              <w:tl2br w:val="nil"/>
              <w:tr2bl w:val="nil"/>
            </w:tcBorders>
            <w:shd w:val="clear" w:color="auto" w:fill="auto"/>
            <w:noWrap/>
            <w:tcMar>
              <w:top w:w="15" w:type="dxa"/>
              <w:left w:w="15" w:type="dxa"/>
              <w:right w:w="15" w:type="dxa"/>
            </w:tcMar>
            <w:vAlign w:val="center"/>
          </w:tcPr>
          <w:p w14:paraId="7AEB4E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HR-2-200</w:t>
            </w:r>
          </w:p>
        </w:tc>
        <w:tc>
          <w:tcPr>
            <w:tcW w:w="1029" w:type="dxa"/>
            <w:tcBorders>
              <w:tl2br w:val="nil"/>
              <w:tr2bl w:val="nil"/>
            </w:tcBorders>
            <w:shd w:val="clear" w:color="auto" w:fill="auto"/>
            <w:noWrap/>
            <w:tcMar>
              <w:top w:w="15" w:type="dxa"/>
              <w:left w:w="15" w:type="dxa"/>
              <w:right w:w="15" w:type="dxa"/>
            </w:tcMar>
            <w:vAlign w:val="center"/>
          </w:tcPr>
          <w:p w14:paraId="1218D3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0.0590</w:t>
            </w:r>
          </w:p>
        </w:tc>
        <w:tc>
          <w:tcPr>
            <w:tcW w:w="894" w:type="dxa"/>
            <w:tcBorders>
              <w:tl2br w:val="nil"/>
              <w:tr2bl w:val="nil"/>
            </w:tcBorders>
            <w:shd w:val="clear" w:color="auto" w:fill="auto"/>
            <w:noWrap/>
            <w:tcMar>
              <w:top w:w="15" w:type="dxa"/>
              <w:left w:w="15" w:type="dxa"/>
              <w:right w:w="15" w:type="dxa"/>
            </w:tcMar>
            <w:vAlign w:val="center"/>
          </w:tcPr>
          <w:p w14:paraId="756814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0.0269</w:t>
            </w:r>
          </w:p>
        </w:tc>
        <w:tc>
          <w:tcPr>
            <w:tcW w:w="894" w:type="dxa"/>
            <w:tcBorders>
              <w:tl2br w:val="nil"/>
              <w:tr2bl w:val="nil"/>
            </w:tcBorders>
            <w:shd w:val="clear" w:color="auto" w:fill="auto"/>
            <w:noWrap/>
            <w:tcMar>
              <w:top w:w="15" w:type="dxa"/>
              <w:left w:w="15" w:type="dxa"/>
              <w:right w:w="15" w:type="dxa"/>
            </w:tcMar>
            <w:vAlign w:val="center"/>
          </w:tcPr>
          <w:p w14:paraId="1F4EE5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0.0021</w:t>
            </w:r>
          </w:p>
        </w:tc>
        <w:tc>
          <w:tcPr>
            <w:tcW w:w="980" w:type="dxa"/>
            <w:tcBorders>
              <w:tl2br w:val="nil"/>
              <w:tr2bl w:val="nil"/>
            </w:tcBorders>
            <w:shd w:val="clear" w:color="auto" w:fill="auto"/>
            <w:noWrap/>
            <w:tcMar>
              <w:top w:w="15" w:type="dxa"/>
              <w:left w:w="15" w:type="dxa"/>
              <w:right w:w="15" w:type="dxa"/>
            </w:tcMar>
            <w:vAlign w:val="center"/>
          </w:tcPr>
          <w:p w14:paraId="60CF33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0.1384</w:t>
            </w:r>
          </w:p>
        </w:tc>
        <w:tc>
          <w:tcPr>
            <w:tcW w:w="1017" w:type="dxa"/>
            <w:tcBorders>
              <w:tl2br w:val="nil"/>
              <w:tr2bl w:val="nil"/>
            </w:tcBorders>
            <w:shd w:val="clear" w:color="auto" w:fill="auto"/>
            <w:noWrap/>
            <w:tcMar>
              <w:top w:w="15" w:type="dxa"/>
              <w:left w:w="15" w:type="dxa"/>
              <w:right w:w="15" w:type="dxa"/>
            </w:tcMar>
            <w:vAlign w:val="center"/>
          </w:tcPr>
          <w:p w14:paraId="4CA4A7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0.0014</w:t>
            </w:r>
          </w:p>
        </w:tc>
        <w:tc>
          <w:tcPr>
            <w:tcW w:w="894" w:type="dxa"/>
            <w:tcBorders>
              <w:tl2br w:val="nil"/>
              <w:tr2bl w:val="nil"/>
            </w:tcBorders>
            <w:shd w:val="clear" w:color="auto" w:fill="auto"/>
            <w:noWrap/>
            <w:tcMar>
              <w:top w:w="15" w:type="dxa"/>
              <w:left w:w="15" w:type="dxa"/>
              <w:right w:w="15" w:type="dxa"/>
            </w:tcMar>
            <w:vAlign w:val="center"/>
          </w:tcPr>
          <w:p w14:paraId="5F1F62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0.0016</w:t>
            </w:r>
          </w:p>
        </w:tc>
        <w:tc>
          <w:tcPr>
            <w:tcW w:w="894" w:type="dxa"/>
            <w:tcBorders>
              <w:tl2br w:val="nil"/>
              <w:tr2bl w:val="nil"/>
            </w:tcBorders>
            <w:shd w:val="clear" w:color="auto" w:fill="auto"/>
            <w:noWrap/>
            <w:tcMar>
              <w:top w:w="15" w:type="dxa"/>
              <w:left w:w="15" w:type="dxa"/>
              <w:right w:w="15" w:type="dxa"/>
            </w:tcMar>
            <w:vAlign w:val="center"/>
          </w:tcPr>
          <w:p w14:paraId="422EE3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0.0467</w:t>
            </w:r>
          </w:p>
        </w:tc>
        <w:tc>
          <w:tcPr>
            <w:tcW w:w="894" w:type="dxa"/>
            <w:tcBorders>
              <w:tl2br w:val="nil"/>
              <w:tr2bl w:val="nil"/>
            </w:tcBorders>
            <w:shd w:val="clear" w:color="auto" w:fill="auto"/>
            <w:noWrap/>
            <w:tcMar>
              <w:top w:w="15" w:type="dxa"/>
              <w:left w:w="15" w:type="dxa"/>
              <w:right w:w="15" w:type="dxa"/>
            </w:tcMar>
            <w:vAlign w:val="center"/>
          </w:tcPr>
          <w:p w14:paraId="42F49F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0.0313</w:t>
            </w:r>
          </w:p>
        </w:tc>
        <w:tc>
          <w:tcPr>
            <w:tcW w:w="919" w:type="dxa"/>
            <w:tcBorders>
              <w:tl2br w:val="nil"/>
              <w:tr2bl w:val="nil"/>
            </w:tcBorders>
            <w:shd w:val="clear" w:color="auto" w:fill="auto"/>
            <w:noWrap/>
            <w:tcMar>
              <w:top w:w="15" w:type="dxa"/>
              <w:left w:w="15" w:type="dxa"/>
              <w:right w:w="15" w:type="dxa"/>
            </w:tcMar>
            <w:vAlign w:val="center"/>
          </w:tcPr>
          <w:p w14:paraId="2BA17E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919" w:type="dxa"/>
            <w:tcBorders>
              <w:tl2br w:val="nil"/>
              <w:tr2bl w:val="nil"/>
            </w:tcBorders>
            <w:shd w:val="clear" w:color="auto" w:fill="auto"/>
            <w:noWrap/>
            <w:tcMar>
              <w:top w:w="15" w:type="dxa"/>
              <w:left w:w="15" w:type="dxa"/>
              <w:right w:w="15" w:type="dxa"/>
            </w:tcMar>
            <w:vAlign w:val="center"/>
          </w:tcPr>
          <w:p w14:paraId="74EFD9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0.2067</w:t>
            </w:r>
          </w:p>
        </w:tc>
        <w:tc>
          <w:tcPr>
            <w:tcW w:w="1104" w:type="dxa"/>
            <w:tcBorders>
              <w:tl2br w:val="nil"/>
              <w:tr2bl w:val="nil"/>
            </w:tcBorders>
            <w:shd w:val="clear" w:color="auto" w:fill="auto"/>
            <w:noWrap/>
            <w:tcMar>
              <w:top w:w="15" w:type="dxa"/>
              <w:left w:w="15" w:type="dxa"/>
              <w:right w:w="15" w:type="dxa"/>
            </w:tcMar>
            <w:vAlign w:val="center"/>
          </w:tcPr>
          <w:p w14:paraId="2A10D9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0.0007</w:t>
            </w:r>
          </w:p>
        </w:tc>
        <w:tc>
          <w:tcPr>
            <w:tcW w:w="895" w:type="dxa"/>
            <w:tcBorders>
              <w:tl2br w:val="nil"/>
              <w:tr2bl w:val="nil"/>
            </w:tcBorders>
            <w:shd w:val="clear" w:color="auto" w:fill="auto"/>
            <w:noWrap/>
            <w:tcMar>
              <w:top w:w="15" w:type="dxa"/>
              <w:left w:w="15" w:type="dxa"/>
              <w:right w:w="15" w:type="dxa"/>
            </w:tcMar>
            <w:vAlign w:val="center"/>
          </w:tcPr>
          <w:p w14:paraId="3EAA01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332" w:type="dxa"/>
            <w:tcBorders>
              <w:tl2br w:val="nil"/>
              <w:tr2bl w:val="nil"/>
            </w:tcBorders>
            <w:shd w:val="clear" w:color="auto" w:fill="auto"/>
            <w:noWrap/>
            <w:tcMar>
              <w:top w:w="15" w:type="dxa"/>
              <w:left w:w="15" w:type="dxa"/>
              <w:right w:w="15" w:type="dxa"/>
            </w:tcMar>
            <w:vAlign w:val="center"/>
          </w:tcPr>
          <w:p w14:paraId="432F54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0.0027</w:t>
            </w:r>
          </w:p>
        </w:tc>
      </w:tr>
      <w:tr w14:paraId="1B1C46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894" w:type="dxa"/>
            <w:tcBorders>
              <w:tl2br w:val="nil"/>
              <w:tr2bl w:val="nil"/>
            </w:tcBorders>
            <w:shd w:val="clear" w:color="auto" w:fill="auto"/>
            <w:noWrap/>
            <w:tcMar>
              <w:top w:w="15" w:type="dxa"/>
              <w:left w:w="15" w:type="dxa"/>
              <w:right w:w="15" w:type="dxa"/>
            </w:tcMar>
            <w:vAlign w:val="center"/>
          </w:tcPr>
          <w:p w14:paraId="078420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6</w:t>
            </w:r>
          </w:p>
        </w:tc>
        <w:tc>
          <w:tcPr>
            <w:tcW w:w="984" w:type="dxa"/>
            <w:tcBorders>
              <w:tl2br w:val="nil"/>
              <w:tr2bl w:val="nil"/>
            </w:tcBorders>
            <w:shd w:val="clear" w:color="auto" w:fill="auto"/>
            <w:noWrap/>
            <w:tcMar>
              <w:top w:w="15" w:type="dxa"/>
              <w:left w:w="15" w:type="dxa"/>
              <w:right w:w="15" w:type="dxa"/>
            </w:tcMar>
            <w:vAlign w:val="center"/>
          </w:tcPr>
          <w:p w14:paraId="7F74E9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HR-2-400</w:t>
            </w:r>
          </w:p>
        </w:tc>
        <w:tc>
          <w:tcPr>
            <w:tcW w:w="1029" w:type="dxa"/>
            <w:tcBorders>
              <w:tl2br w:val="nil"/>
              <w:tr2bl w:val="nil"/>
            </w:tcBorders>
            <w:shd w:val="clear" w:color="auto" w:fill="auto"/>
            <w:noWrap/>
            <w:tcMar>
              <w:top w:w="15" w:type="dxa"/>
              <w:left w:w="15" w:type="dxa"/>
              <w:right w:w="15" w:type="dxa"/>
            </w:tcMar>
            <w:vAlign w:val="center"/>
          </w:tcPr>
          <w:p w14:paraId="5BAE51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0.0545</w:t>
            </w:r>
          </w:p>
        </w:tc>
        <w:tc>
          <w:tcPr>
            <w:tcW w:w="894" w:type="dxa"/>
            <w:tcBorders>
              <w:tl2br w:val="nil"/>
              <w:tr2bl w:val="nil"/>
            </w:tcBorders>
            <w:shd w:val="clear" w:color="auto" w:fill="auto"/>
            <w:noWrap/>
            <w:tcMar>
              <w:top w:w="15" w:type="dxa"/>
              <w:left w:w="15" w:type="dxa"/>
              <w:right w:w="15" w:type="dxa"/>
            </w:tcMar>
            <w:vAlign w:val="center"/>
          </w:tcPr>
          <w:p w14:paraId="078FCB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0.0371</w:t>
            </w:r>
          </w:p>
        </w:tc>
        <w:tc>
          <w:tcPr>
            <w:tcW w:w="894" w:type="dxa"/>
            <w:tcBorders>
              <w:tl2br w:val="nil"/>
              <w:tr2bl w:val="nil"/>
            </w:tcBorders>
            <w:shd w:val="clear" w:color="auto" w:fill="auto"/>
            <w:noWrap/>
            <w:tcMar>
              <w:top w:w="15" w:type="dxa"/>
              <w:left w:w="15" w:type="dxa"/>
              <w:right w:w="15" w:type="dxa"/>
            </w:tcMar>
            <w:vAlign w:val="center"/>
          </w:tcPr>
          <w:p w14:paraId="675EB7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0.0024</w:t>
            </w:r>
          </w:p>
        </w:tc>
        <w:tc>
          <w:tcPr>
            <w:tcW w:w="980" w:type="dxa"/>
            <w:tcBorders>
              <w:tl2br w:val="nil"/>
              <w:tr2bl w:val="nil"/>
            </w:tcBorders>
            <w:shd w:val="clear" w:color="auto" w:fill="auto"/>
            <w:noWrap/>
            <w:tcMar>
              <w:top w:w="15" w:type="dxa"/>
              <w:left w:w="15" w:type="dxa"/>
              <w:right w:w="15" w:type="dxa"/>
            </w:tcMar>
            <w:vAlign w:val="center"/>
          </w:tcPr>
          <w:p w14:paraId="052F64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0.1586</w:t>
            </w:r>
          </w:p>
        </w:tc>
        <w:tc>
          <w:tcPr>
            <w:tcW w:w="1017" w:type="dxa"/>
            <w:tcBorders>
              <w:tl2br w:val="nil"/>
              <w:tr2bl w:val="nil"/>
            </w:tcBorders>
            <w:shd w:val="clear" w:color="auto" w:fill="auto"/>
            <w:noWrap/>
            <w:tcMar>
              <w:top w:w="15" w:type="dxa"/>
              <w:left w:w="15" w:type="dxa"/>
              <w:right w:w="15" w:type="dxa"/>
            </w:tcMar>
            <w:vAlign w:val="center"/>
          </w:tcPr>
          <w:p w14:paraId="41E462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0.0035</w:t>
            </w:r>
          </w:p>
        </w:tc>
        <w:tc>
          <w:tcPr>
            <w:tcW w:w="894" w:type="dxa"/>
            <w:tcBorders>
              <w:tl2br w:val="nil"/>
              <w:tr2bl w:val="nil"/>
            </w:tcBorders>
            <w:shd w:val="clear" w:color="auto" w:fill="auto"/>
            <w:noWrap/>
            <w:tcMar>
              <w:top w:w="15" w:type="dxa"/>
              <w:left w:w="15" w:type="dxa"/>
              <w:right w:w="15" w:type="dxa"/>
            </w:tcMar>
            <w:vAlign w:val="center"/>
          </w:tcPr>
          <w:p w14:paraId="710182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0.0018</w:t>
            </w:r>
          </w:p>
        </w:tc>
        <w:tc>
          <w:tcPr>
            <w:tcW w:w="894" w:type="dxa"/>
            <w:tcBorders>
              <w:tl2br w:val="nil"/>
              <w:tr2bl w:val="nil"/>
            </w:tcBorders>
            <w:shd w:val="clear" w:color="auto" w:fill="auto"/>
            <w:noWrap/>
            <w:tcMar>
              <w:top w:w="15" w:type="dxa"/>
              <w:left w:w="15" w:type="dxa"/>
              <w:right w:w="15" w:type="dxa"/>
            </w:tcMar>
            <w:vAlign w:val="center"/>
          </w:tcPr>
          <w:p w14:paraId="3892F8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0.0422</w:t>
            </w:r>
          </w:p>
        </w:tc>
        <w:tc>
          <w:tcPr>
            <w:tcW w:w="894" w:type="dxa"/>
            <w:tcBorders>
              <w:tl2br w:val="nil"/>
              <w:tr2bl w:val="nil"/>
            </w:tcBorders>
            <w:shd w:val="clear" w:color="auto" w:fill="auto"/>
            <w:noWrap/>
            <w:tcMar>
              <w:top w:w="15" w:type="dxa"/>
              <w:left w:w="15" w:type="dxa"/>
              <w:right w:w="15" w:type="dxa"/>
            </w:tcMar>
            <w:vAlign w:val="center"/>
          </w:tcPr>
          <w:p w14:paraId="4C6781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0.0213</w:t>
            </w:r>
          </w:p>
        </w:tc>
        <w:tc>
          <w:tcPr>
            <w:tcW w:w="919" w:type="dxa"/>
            <w:tcBorders>
              <w:tl2br w:val="nil"/>
              <w:tr2bl w:val="nil"/>
            </w:tcBorders>
            <w:shd w:val="clear" w:color="auto" w:fill="auto"/>
            <w:noWrap/>
            <w:tcMar>
              <w:top w:w="15" w:type="dxa"/>
              <w:left w:w="15" w:type="dxa"/>
              <w:right w:w="15" w:type="dxa"/>
            </w:tcMar>
            <w:vAlign w:val="center"/>
          </w:tcPr>
          <w:p w14:paraId="722D2B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919" w:type="dxa"/>
            <w:tcBorders>
              <w:tl2br w:val="nil"/>
              <w:tr2bl w:val="nil"/>
            </w:tcBorders>
            <w:shd w:val="clear" w:color="auto" w:fill="auto"/>
            <w:noWrap/>
            <w:tcMar>
              <w:top w:w="15" w:type="dxa"/>
              <w:left w:w="15" w:type="dxa"/>
              <w:right w:w="15" w:type="dxa"/>
            </w:tcMar>
            <w:vAlign w:val="center"/>
          </w:tcPr>
          <w:p w14:paraId="093938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0.1967</w:t>
            </w:r>
          </w:p>
        </w:tc>
        <w:tc>
          <w:tcPr>
            <w:tcW w:w="1104" w:type="dxa"/>
            <w:tcBorders>
              <w:tl2br w:val="nil"/>
              <w:tr2bl w:val="nil"/>
            </w:tcBorders>
            <w:shd w:val="clear" w:color="auto" w:fill="auto"/>
            <w:noWrap/>
            <w:tcMar>
              <w:top w:w="15" w:type="dxa"/>
              <w:left w:w="15" w:type="dxa"/>
              <w:right w:w="15" w:type="dxa"/>
            </w:tcMar>
            <w:vAlign w:val="center"/>
          </w:tcPr>
          <w:p w14:paraId="70D7DB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0.0003</w:t>
            </w:r>
          </w:p>
        </w:tc>
        <w:tc>
          <w:tcPr>
            <w:tcW w:w="895" w:type="dxa"/>
            <w:tcBorders>
              <w:tl2br w:val="nil"/>
              <w:tr2bl w:val="nil"/>
            </w:tcBorders>
            <w:shd w:val="clear" w:color="auto" w:fill="auto"/>
            <w:noWrap/>
            <w:tcMar>
              <w:top w:w="15" w:type="dxa"/>
              <w:left w:w="15" w:type="dxa"/>
              <w:right w:w="15" w:type="dxa"/>
            </w:tcMar>
            <w:vAlign w:val="center"/>
          </w:tcPr>
          <w:p w14:paraId="4081DD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332" w:type="dxa"/>
            <w:tcBorders>
              <w:tl2br w:val="nil"/>
              <w:tr2bl w:val="nil"/>
            </w:tcBorders>
            <w:shd w:val="clear" w:color="auto" w:fill="auto"/>
            <w:noWrap/>
            <w:tcMar>
              <w:top w:w="15" w:type="dxa"/>
              <w:left w:w="15" w:type="dxa"/>
              <w:right w:w="15" w:type="dxa"/>
            </w:tcMar>
            <w:vAlign w:val="center"/>
          </w:tcPr>
          <w:p w14:paraId="733771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0.0071</w:t>
            </w:r>
          </w:p>
        </w:tc>
      </w:tr>
      <w:tr w14:paraId="1FD694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894" w:type="dxa"/>
            <w:tcBorders>
              <w:tl2br w:val="nil"/>
              <w:tr2bl w:val="nil"/>
            </w:tcBorders>
            <w:shd w:val="clear" w:color="auto" w:fill="auto"/>
            <w:noWrap/>
            <w:tcMar>
              <w:top w:w="15" w:type="dxa"/>
              <w:left w:w="15" w:type="dxa"/>
              <w:right w:w="15" w:type="dxa"/>
            </w:tcMar>
            <w:vAlign w:val="center"/>
          </w:tcPr>
          <w:p w14:paraId="09E26E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7</w:t>
            </w:r>
          </w:p>
        </w:tc>
        <w:tc>
          <w:tcPr>
            <w:tcW w:w="984" w:type="dxa"/>
            <w:tcBorders>
              <w:tl2br w:val="nil"/>
              <w:tr2bl w:val="nil"/>
            </w:tcBorders>
            <w:shd w:val="clear" w:color="auto" w:fill="auto"/>
            <w:noWrap/>
            <w:tcMar>
              <w:top w:w="15" w:type="dxa"/>
              <w:left w:w="15" w:type="dxa"/>
              <w:right w:w="15" w:type="dxa"/>
            </w:tcMar>
            <w:vAlign w:val="center"/>
          </w:tcPr>
          <w:p w14:paraId="02D40E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HR-3-75</w:t>
            </w:r>
          </w:p>
        </w:tc>
        <w:tc>
          <w:tcPr>
            <w:tcW w:w="1029" w:type="dxa"/>
            <w:tcBorders>
              <w:tl2br w:val="nil"/>
              <w:tr2bl w:val="nil"/>
            </w:tcBorders>
            <w:shd w:val="clear" w:color="auto" w:fill="auto"/>
            <w:noWrap/>
            <w:tcMar>
              <w:top w:w="15" w:type="dxa"/>
              <w:left w:w="15" w:type="dxa"/>
              <w:right w:w="15" w:type="dxa"/>
            </w:tcMar>
            <w:vAlign w:val="center"/>
          </w:tcPr>
          <w:p w14:paraId="73A6A1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894" w:type="dxa"/>
            <w:tcBorders>
              <w:tl2br w:val="nil"/>
              <w:tr2bl w:val="nil"/>
            </w:tcBorders>
            <w:shd w:val="clear" w:color="auto" w:fill="auto"/>
            <w:noWrap/>
            <w:tcMar>
              <w:top w:w="15" w:type="dxa"/>
              <w:left w:w="15" w:type="dxa"/>
              <w:right w:w="15" w:type="dxa"/>
            </w:tcMar>
            <w:vAlign w:val="center"/>
          </w:tcPr>
          <w:p w14:paraId="01A28B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0.1382</w:t>
            </w:r>
          </w:p>
        </w:tc>
        <w:tc>
          <w:tcPr>
            <w:tcW w:w="894" w:type="dxa"/>
            <w:tcBorders>
              <w:tl2br w:val="nil"/>
              <w:tr2bl w:val="nil"/>
            </w:tcBorders>
            <w:shd w:val="clear" w:color="auto" w:fill="auto"/>
            <w:noWrap/>
            <w:tcMar>
              <w:top w:w="15" w:type="dxa"/>
              <w:left w:w="15" w:type="dxa"/>
              <w:right w:w="15" w:type="dxa"/>
            </w:tcMar>
            <w:vAlign w:val="center"/>
          </w:tcPr>
          <w:p w14:paraId="46E27E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0.0677</w:t>
            </w:r>
          </w:p>
        </w:tc>
        <w:tc>
          <w:tcPr>
            <w:tcW w:w="980" w:type="dxa"/>
            <w:tcBorders>
              <w:tl2br w:val="nil"/>
              <w:tr2bl w:val="nil"/>
            </w:tcBorders>
            <w:shd w:val="clear" w:color="auto" w:fill="auto"/>
            <w:noWrap/>
            <w:tcMar>
              <w:top w:w="15" w:type="dxa"/>
              <w:left w:w="15" w:type="dxa"/>
              <w:right w:w="15" w:type="dxa"/>
            </w:tcMar>
            <w:vAlign w:val="center"/>
          </w:tcPr>
          <w:p w14:paraId="664A51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017" w:type="dxa"/>
            <w:tcBorders>
              <w:tl2br w:val="nil"/>
              <w:tr2bl w:val="nil"/>
            </w:tcBorders>
            <w:shd w:val="clear" w:color="auto" w:fill="auto"/>
            <w:noWrap/>
            <w:tcMar>
              <w:top w:w="15" w:type="dxa"/>
              <w:left w:w="15" w:type="dxa"/>
              <w:right w:w="15" w:type="dxa"/>
            </w:tcMar>
            <w:vAlign w:val="center"/>
          </w:tcPr>
          <w:p w14:paraId="229C7D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0.1167</w:t>
            </w:r>
          </w:p>
        </w:tc>
        <w:tc>
          <w:tcPr>
            <w:tcW w:w="894" w:type="dxa"/>
            <w:tcBorders>
              <w:tl2br w:val="nil"/>
              <w:tr2bl w:val="nil"/>
            </w:tcBorders>
            <w:shd w:val="clear" w:color="auto" w:fill="auto"/>
            <w:noWrap/>
            <w:tcMar>
              <w:top w:w="15" w:type="dxa"/>
              <w:left w:w="15" w:type="dxa"/>
              <w:right w:w="15" w:type="dxa"/>
            </w:tcMar>
            <w:vAlign w:val="center"/>
          </w:tcPr>
          <w:p w14:paraId="7BE4AB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0.2600</w:t>
            </w:r>
          </w:p>
        </w:tc>
        <w:tc>
          <w:tcPr>
            <w:tcW w:w="894" w:type="dxa"/>
            <w:tcBorders>
              <w:tl2br w:val="nil"/>
              <w:tr2bl w:val="nil"/>
            </w:tcBorders>
            <w:shd w:val="clear" w:color="auto" w:fill="auto"/>
            <w:noWrap/>
            <w:tcMar>
              <w:top w:w="15" w:type="dxa"/>
              <w:left w:w="15" w:type="dxa"/>
              <w:right w:w="15" w:type="dxa"/>
            </w:tcMar>
            <w:vAlign w:val="center"/>
          </w:tcPr>
          <w:p w14:paraId="279E9E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0.1368</w:t>
            </w:r>
          </w:p>
        </w:tc>
        <w:tc>
          <w:tcPr>
            <w:tcW w:w="894" w:type="dxa"/>
            <w:tcBorders>
              <w:tl2br w:val="nil"/>
              <w:tr2bl w:val="nil"/>
            </w:tcBorders>
            <w:shd w:val="clear" w:color="auto" w:fill="auto"/>
            <w:noWrap/>
            <w:tcMar>
              <w:top w:w="15" w:type="dxa"/>
              <w:left w:w="15" w:type="dxa"/>
              <w:right w:w="15" w:type="dxa"/>
            </w:tcMar>
            <w:vAlign w:val="center"/>
          </w:tcPr>
          <w:p w14:paraId="03214D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0.2200</w:t>
            </w:r>
          </w:p>
        </w:tc>
        <w:tc>
          <w:tcPr>
            <w:tcW w:w="919" w:type="dxa"/>
            <w:tcBorders>
              <w:tl2br w:val="nil"/>
              <w:tr2bl w:val="nil"/>
            </w:tcBorders>
            <w:shd w:val="clear" w:color="auto" w:fill="auto"/>
            <w:noWrap/>
            <w:tcMar>
              <w:top w:w="15" w:type="dxa"/>
              <w:left w:w="15" w:type="dxa"/>
              <w:right w:w="15" w:type="dxa"/>
            </w:tcMar>
            <w:vAlign w:val="center"/>
          </w:tcPr>
          <w:p w14:paraId="2952FD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0.2033</w:t>
            </w:r>
          </w:p>
        </w:tc>
        <w:tc>
          <w:tcPr>
            <w:tcW w:w="919" w:type="dxa"/>
            <w:tcBorders>
              <w:tl2br w:val="nil"/>
              <w:tr2bl w:val="nil"/>
            </w:tcBorders>
            <w:shd w:val="clear" w:color="auto" w:fill="auto"/>
            <w:noWrap/>
            <w:tcMar>
              <w:top w:w="15" w:type="dxa"/>
              <w:left w:w="15" w:type="dxa"/>
              <w:right w:w="15" w:type="dxa"/>
            </w:tcMar>
            <w:vAlign w:val="center"/>
          </w:tcPr>
          <w:p w14:paraId="2564CB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0.3720</w:t>
            </w:r>
          </w:p>
        </w:tc>
        <w:tc>
          <w:tcPr>
            <w:tcW w:w="1104" w:type="dxa"/>
            <w:tcBorders>
              <w:tl2br w:val="nil"/>
              <w:tr2bl w:val="nil"/>
            </w:tcBorders>
            <w:shd w:val="clear" w:color="auto" w:fill="auto"/>
            <w:noWrap/>
            <w:tcMar>
              <w:top w:w="15" w:type="dxa"/>
              <w:left w:w="15" w:type="dxa"/>
              <w:right w:w="15" w:type="dxa"/>
            </w:tcMar>
            <w:vAlign w:val="center"/>
          </w:tcPr>
          <w:p w14:paraId="1A12C4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895" w:type="dxa"/>
            <w:tcBorders>
              <w:tl2br w:val="nil"/>
              <w:tr2bl w:val="nil"/>
            </w:tcBorders>
            <w:shd w:val="clear" w:color="auto" w:fill="auto"/>
            <w:noWrap/>
            <w:tcMar>
              <w:top w:w="15" w:type="dxa"/>
              <w:left w:w="15" w:type="dxa"/>
              <w:right w:w="15" w:type="dxa"/>
            </w:tcMar>
            <w:vAlign w:val="center"/>
          </w:tcPr>
          <w:p w14:paraId="4848DC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332" w:type="dxa"/>
            <w:tcBorders>
              <w:tl2br w:val="nil"/>
              <w:tr2bl w:val="nil"/>
            </w:tcBorders>
            <w:shd w:val="clear" w:color="auto" w:fill="auto"/>
            <w:noWrap/>
            <w:tcMar>
              <w:top w:w="15" w:type="dxa"/>
              <w:left w:w="15" w:type="dxa"/>
              <w:right w:w="15" w:type="dxa"/>
            </w:tcMar>
            <w:vAlign w:val="center"/>
          </w:tcPr>
          <w:p w14:paraId="0BEFE7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0.0036</w:t>
            </w:r>
          </w:p>
        </w:tc>
      </w:tr>
      <w:tr w14:paraId="474B8A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894" w:type="dxa"/>
            <w:tcBorders>
              <w:tl2br w:val="nil"/>
              <w:tr2bl w:val="nil"/>
            </w:tcBorders>
            <w:shd w:val="clear" w:color="auto" w:fill="auto"/>
            <w:noWrap/>
            <w:tcMar>
              <w:top w:w="15" w:type="dxa"/>
              <w:left w:w="15" w:type="dxa"/>
              <w:right w:w="15" w:type="dxa"/>
            </w:tcMar>
            <w:vAlign w:val="center"/>
          </w:tcPr>
          <w:p w14:paraId="6545602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8</w:t>
            </w:r>
          </w:p>
        </w:tc>
        <w:tc>
          <w:tcPr>
            <w:tcW w:w="984" w:type="dxa"/>
            <w:tcBorders>
              <w:tl2br w:val="nil"/>
              <w:tr2bl w:val="nil"/>
            </w:tcBorders>
            <w:shd w:val="clear" w:color="auto" w:fill="auto"/>
            <w:noWrap/>
            <w:tcMar>
              <w:top w:w="15" w:type="dxa"/>
              <w:left w:w="15" w:type="dxa"/>
              <w:right w:w="15" w:type="dxa"/>
            </w:tcMar>
            <w:vAlign w:val="center"/>
          </w:tcPr>
          <w:p w14:paraId="56A4E6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HR-3-200</w:t>
            </w:r>
          </w:p>
        </w:tc>
        <w:tc>
          <w:tcPr>
            <w:tcW w:w="1029" w:type="dxa"/>
            <w:tcBorders>
              <w:tl2br w:val="nil"/>
              <w:tr2bl w:val="nil"/>
            </w:tcBorders>
            <w:shd w:val="clear" w:color="auto" w:fill="auto"/>
            <w:noWrap/>
            <w:tcMar>
              <w:top w:w="15" w:type="dxa"/>
              <w:left w:w="15" w:type="dxa"/>
              <w:right w:w="15" w:type="dxa"/>
            </w:tcMar>
            <w:vAlign w:val="center"/>
          </w:tcPr>
          <w:p w14:paraId="1E5BA9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894" w:type="dxa"/>
            <w:tcBorders>
              <w:tl2br w:val="nil"/>
              <w:tr2bl w:val="nil"/>
            </w:tcBorders>
            <w:shd w:val="clear" w:color="auto" w:fill="auto"/>
            <w:noWrap/>
            <w:tcMar>
              <w:top w:w="15" w:type="dxa"/>
              <w:left w:w="15" w:type="dxa"/>
              <w:right w:w="15" w:type="dxa"/>
            </w:tcMar>
            <w:vAlign w:val="center"/>
          </w:tcPr>
          <w:p w14:paraId="5BC91D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0.2118</w:t>
            </w:r>
          </w:p>
        </w:tc>
        <w:tc>
          <w:tcPr>
            <w:tcW w:w="894" w:type="dxa"/>
            <w:tcBorders>
              <w:tl2br w:val="nil"/>
              <w:tr2bl w:val="nil"/>
            </w:tcBorders>
            <w:shd w:val="clear" w:color="auto" w:fill="auto"/>
            <w:noWrap/>
            <w:tcMar>
              <w:top w:w="15" w:type="dxa"/>
              <w:left w:w="15" w:type="dxa"/>
              <w:right w:w="15" w:type="dxa"/>
            </w:tcMar>
            <w:vAlign w:val="center"/>
          </w:tcPr>
          <w:p w14:paraId="352099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0.0471</w:t>
            </w:r>
          </w:p>
        </w:tc>
        <w:tc>
          <w:tcPr>
            <w:tcW w:w="980" w:type="dxa"/>
            <w:tcBorders>
              <w:tl2br w:val="nil"/>
              <w:tr2bl w:val="nil"/>
            </w:tcBorders>
            <w:shd w:val="clear" w:color="auto" w:fill="auto"/>
            <w:noWrap/>
            <w:tcMar>
              <w:top w:w="15" w:type="dxa"/>
              <w:left w:w="15" w:type="dxa"/>
              <w:right w:w="15" w:type="dxa"/>
            </w:tcMar>
            <w:vAlign w:val="center"/>
          </w:tcPr>
          <w:p w14:paraId="7E498D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017" w:type="dxa"/>
            <w:tcBorders>
              <w:tl2br w:val="nil"/>
              <w:tr2bl w:val="nil"/>
            </w:tcBorders>
            <w:shd w:val="clear" w:color="auto" w:fill="auto"/>
            <w:noWrap/>
            <w:tcMar>
              <w:top w:w="15" w:type="dxa"/>
              <w:left w:w="15" w:type="dxa"/>
              <w:right w:w="15" w:type="dxa"/>
            </w:tcMar>
            <w:vAlign w:val="center"/>
          </w:tcPr>
          <w:p w14:paraId="3830BA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0.0833</w:t>
            </w:r>
          </w:p>
        </w:tc>
        <w:tc>
          <w:tcPr>
            <w:tcW w:w="894" w:type="dxa"/>
            <w:tcBorders>
              <w:tl2br w:val="nil"/>
              <w:tr2bl w:val="nil"/>
            </w:tcBorders>
            <w:shd w:val="clear" w:color="auto" w:fill="auto"/>
            <w:noWrap/>
            <w:tcMar>
              <w:top w:w="15" w:type="dxa"/>
              <w:left w:w="15" w:type="dxa"/>
              <w:right w:w="15" w:type="dxa"/>
            </w:tcMar>
            <w:vAlign w:val="center"/>
          </w:tcPr>
          <w:p w14:paraId="79FE6A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0.2800</w:t>
            </w:r>
          </w:p>
        </w:tc>
        <w:tc>
          <w:tcPr>
            <w:tcW w:w="894" w:type="dxa"/>
            <w:tcBorders>
              <w:tl2br w:val="nil"/>
              <w:tr2bl w:val="nil"/>
            </w:tcBorders>
            <w:shd w:val="clear" w:color="auto" w:fill="auto"/>
            <w:noWrap/>
            <w:tcMar>
              <w:top w:w="15" w:type="dxa"/>
              <w:left w:w="15" w:type="dxa"/>
              <w:right w:w="15" w:type="dxa"/>
            </w:tcMar>
            <w:vAlign w:val="center"/>
          </w:tcPr>
          <w:p w14:paraId="1F447A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0.3579</w:t>
            </w:r>
          </w:p>
        </w:tc>
        <w:tc>
          <w:tcPr>
            <w:tcW w:w="894" w:type="dxa"/>
            <w:tcBorders>
              <w:tl2br w:val="nil"/>
              <w:tr2bl w:val="nil"/>
            </w:tcBorders>
            <w:shd w:val="clear" w:color="auto" w:fill="auto"/>
            <w:noWrap/>
            <w:tcMar>
              <w:top w:w="15" w:type="dxa"/>
              <w:left w:w="15" w:type="dxa"/>
              <w:right w:w="15" w:type="dxa"/>
            </w:tcMar>
            <w:vAlign w:val="center"/>
          </w:tcPr>
          <w:p w14:paraId="0C2357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0.5280</w:t>
            </w:r>
          </w:p>
        </w:tc>
        <w:tc>
          <w:tcPr>
            <w:tcW w:w="919" w:type="dxa"/>
            <w:tcBorders>
              <w:tl2br w:val="nil"/>
              <w:tr2bl w:val="nil"/>
            </w:tcBorders>
            <w:shd w:val="clear" w:color="auto" w:fill="auto"/>
            <w:noWrap/>
            <w:tcMar>
              <w:top w:w="15" w:type="dxa"/>
              <w:left w:w="15" w:type="dxa"/>
              <w:right w:w="15" w:type="dxa"/>
            </w:tcMar>
            <w:vAlign w:val="center"/>
          </w:tcPr>
          <w:p w14:paraId="711BF6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0.2567</w:t>
            </w:r>
          </w:p>
        </w:tc>
        <w:tc>
          <w:tcPr>
            <w:tcW w:w="919" w:type="dxa"/>
            <w:tcBorders>
              <w:tl2br w:val="nil"/>
              <w:tr2bl w:val="nil"/>
            </w:tcBorders>
            <w:shd w:val="clear" w:color="auto" w:fill="auto"/>
            <w:noWrap/>
            <w:tcMar>
              <w:top w:w="15" w:type="dxa"/>
              <w:left w:w="15" w:type="dxa"/>
              <w:right w:w="15" w:type="dxa"/>
            </w:tcMar>
            <w:vAlign w:val="center"/>
          </w:tcPr>
          <w:p w14:paraId="5C0D9E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0.3920</w:t>
            </w:r>
          </w:p>
        </w:tc>
        <w:tc>
          <w:tcPr>
            <w:tcW w:w="1104" w:type="dxa"/>
            <w:tcBorders>
              <w:tl2br w:val="nil"/>
              <w:tr2bl w:val="nil"/>
            </w:tcBorders>
            <w:shd w:val="clear" w:color="auto" w:fill="auto"/>
            <w:noWrap/>
            <w:tcMar>
              <w:top w:w="15" w:type="dxa"/>
              <w:left w:w="15" w:type="dxa"/>
              <w:right w:w="15" w:type="dxa"/>
            </w:tcMar>
            <w:vAlign w:val="center"/>
          </w:tcPr>
          <w:p w14:paraId="3F626A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895" w:type="dxa"/>
            <w:tcBorders>
              <w:tl2br w:val="nil"/>
              <w:tr2bl w:val="nil"/>
            </w:tcBorders>
            <w:shd w:val="clear" w:color="auto" w:fill="auto"/>
            <w:noWrap/>
            <w:tcMar>
              <w:top w:w="15" w:type="dxa"/>
              <w:left w:w="15" w:type="dxa"/>
              <w:right w:w="15" w:type="dxa"/>
            </w:tcMar>
            <w:vAlign w:val="center"/>
          </w:tcPr>
          <w:p w14:paraId="385B13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332" w:type="dxa"/>
            <w:tcBorders>
              <w:tl2br w:val="nil"/>
              <w:tr2bl w:val="nil"/>
            </w:tcBorders>
            <w:shd w:val="clear" w:color="auto" w:fill="auto"/>
            <w:noWrap/>
            <w:tcMar>
              <w:top w:w="15" w:type="dxa"/>
              <w:left w:w="15" w:type="dxa"/>
              <w:right w:w="15" w:type="dxa"/>
            </w:tcMar>
            <w:vAlign w:val="center"/>
          </w:tcPr>
          <w:p w14:paraId="1A6FCB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0.0242</w:t>
            </w:r>
          </w:p>
        </w:tc>
      </w:tr>
      <w:tr w14:paraId="10A631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894" w:type="dxa"/>
            <w:tcBorders>
              <w:tl2br w:val="nil"/>
              <w:tr2bl w:val="nil"/>
            </w:tcBorders>
            <w:shd w:val="clear" w:color="auto" w:fill="auto"/>
            <w:noWrap/>
            <w:tcMar>
              <w:top w:w="15" w:type="dxa"/>
              <w:left w:w="15" w:type="dxa"/>
              <w:right w:w="15" w:type="dxa"/>
            </w:tcMar>
            <w:vAlign w:val="center"/>
          </w:tcPr>
          <w:p w14:paraId="0F764E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9</w:t>
            </w:r>
          </w:p>
        </w:tc>
        <w:tc>
          <w:tcPr>
            <w:tcW w:w="984" w:type="dxa"/>
            <w:tcBorders>
              <w:tl2br w:val="nil"/>
              <w:tr2bl w:val="nil"/>
            </w:tcBorders>
            <w:shd w:val="clear" w:color="auto" w:fill="auto"/>
            <w:noWrap/>
            <w:tcMar>
              <w:top w:w="15" w:type="dxa"/>
              <w:left w:w="15" w:type="dxa"/>
              <w:right w:w="15" w:type="dxa"/>
            </w:tcMar>
            <w:vAlign w:val="center"/>
          </w:tcPr>
          <w:p w14:paraId="74755C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HR-3-400</w:t>
            </w:r>
          </w:p>
        </w:tc>
        <w:tc>
          <w:tcPr>
            <w:tcW w:w="1029" w:type="dxa"/>
            <w:tcBorders>
              <w:tl2br w:val="nil"/>
              <w:tr2bl w:val="nil"/>
            </w:tcBorders>
            <w:shd w:val="clear" w:color="auto" w:fill="auto"/>
            <w:noWrap/>
            <w:tcMar>
              <w:top w:w="15" w:type="dxa"/>
              <w:left w:w="15" w:type="dxa"/>
              <w:right w:w="15" w:type="dxa"/>
            </w:tcMar>
            <w:vAlign w:val="center"/>
          </w:tcPr>
          <w:p w14:paraId="34A002E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894" w:type="dxa"/>
            <w:tcBorders>
              <w:tl2br w:val="nil"/>
              <w:tr2bl w:val="nil"/>
            </w:tcBorders>
            <w:shd w:val="clear" w:color="auto" w:fill="auto"/>
            <w:noWrap/>
            <w:tcMar>
              <w:top w:w="15" w:type="dxa"/>
              <w:left w:w="15" w:type="dxa"/>
              <w:right w:w="15" w:type="dxa"/>
            </w:tcMar>
            <w:vAlign w:val="center"/>
          </w:tcPr>
          <w:p w14:paraId="5CF450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0.1724</w:t>
            </w:r>
          </w:p>
        </w:tc>
        <w:tc>
          <w:tcPr>
            <w:tcW w:w="894" w:type="dxa"/>
            <w:tcBorders>
              <w:tl2br w:val="nil"/>
              <w:tr2bl w:val="nil"/>
            </w:tcBorders>
            <w:shd w:val="clear" w:color="auto" w:fill="auto"/>
            <w:noWrap/>
            <w:tcMar>
              <w:top w:w="15" w:type="dxa"/>
              <w:left w:w="15" w:type="dxa"/>
              <w:right w:w="15" w:type="dxa"/>
            </w:tcMar>
            <w:vAlign w:val="center"/>
          </w:tcPr>
          <w:p w14:paraId="16A108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0.0677</w:t>
            </w:r>
          </w:p>
        </w:tc>
        <w:tc>
          <w:tcPr>
            <w:tcW w:w="980" w:type="dxa"/>
            <w:tcBorders>
              <w:tl2br w:val="nil"/>
              <w:tr2bl w:val="nil"/>
            </w:tcBorders>
            <w:shd w:val="clear" w:color="auto" w:fill="auto"/>
            <w:noWrap/>
            <w:tcMar>
              <w:top w:w="15" w:type="dxa"/>
              <w:left w:w="15" w:type="dxa"/>
              <w:right w:w="15" w:type="dxa"/>
            </w:tcMar>
            <w:vAlign w:val="center"/>
          </w:tcPr>
          <w:p w14:paraId="51C98F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017" w:type="dxa"/>
            <w:tcBorders>
              <w:tl2br w:val="nil"/>
              <w:tr2bl w:val="nil"/>
            </w:tcBorders>
            <w:shd w:val="clear" w:color="auto" w:fill="auto"/>
            <w:noWrap/>
            <w:tcMar>
              <w:top w:w="15" w:type="dxa"/>
              <w:left w:w="15" w:type="dxa"/>
              <w:right w:w="15" w:type="dxa"/>
            </w:tcMar>
            <w:vAlign w:val="center"/>
          </w:tcPr>
          <w:p w14:paraId="08512A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0.1500</w:t>
            </w:r>
          </w:p>
        </w:tc>
        <w:tc>
          <w:tcPr>
            <w:tcW w:w="894" w:type="dxa"/>
            <w:tcBorders>
              <w:tl2br w:val="nil"/>
              <w:tr2bl w:val="nil"/>
            </w:tcBorders>
            <w:shd w:val="clear" w:color="auto" w:fill="auto"/>
            <w:noWrap/>
            <w:tcMar>
              <w:top w:w="15" w:type="dxa"/>
              <w:left w:w="15" w:type="dxa"/>
              <w:right w:w="15" w:type="dxa"/>
            </w:tcMar>
            <w:vAlign w:val="center"/>
          </w:tcPr>
          <w:p w14:paraId="237FE4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0.3100</w:t>
            </w:r>
          </w:p>
        </w:tc>
        <w:tc>
          <w:tcPr>
            <w:tcW w:w="894" w:type="dxa"/>
            <w:tcBorders>
              <w:tl2br w:val="nil"/>
              <w:tr2bl w:val="nil"/>
            </w:tcBorders>
            <w:shd w:val="clear" w:color="auto" w:fill="auto"/>
            <w:noWrap/>
            <w:tcMar>
              <w:top w:w="15" w:type="dxa"/>
              <w:left w:w="15" w:type="dxa"/>
              <w:right w:w="15" w:type="dxa"/>
            </w:tcMar>
            <w:vAlign w:val="center"/>
          </w:tcPr>
          <w:p w14:paraId="1C1860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0.3737</w:t>
            </w:r>
          </w:p>
        </w:tc>
        <w:tc>
          <w:tcPr>
            <w:tcW w:w="894" w:type="dxa"/>
            <w:tcBorders>
              <w:tl2br w:val="nil"/>
              <w:tr2bl w:val="nil"/>
            </w:tcBorders>
            <w:shd w:val="clear" w:color="auto" w:fill="auto"/>
            <w:noWrap/>
            <w:tcMar>
              <w:top w:w="15" w:type="dxa"/>
              <w:left w:w="15" w:type="dxa"/>
              <w:right w:w="15" w:type="dxa"/>
            </w:tcMar>
            <w:vAlign w:val="center"/>
          </w:tcPr>
          <w:p w14:paraId="19C532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0.6880</w:t>
            </w:r>
          </w:p>
        </w:tc>
        <w:tc>
          <w:tcPr>
            <w:tcW w:w="919" w:type="dxa"/>
            <w:tcBorders>
              <w:tl2br w:val="nil"/>
              <w:tr2bl w:val="nil"/>
            </w:tcBorders>
            <w:shd w:val="clear" w:color="auto" w:fill="auto"/>
            <w:noWrap/>
            <w:tcMar>
              <w:top w:w="15" w:type="dxa"/>
              <w:left w:w="15" w:type="dxa"/>
              <w:right w:w="15" w:type="dxa"/>
            </w:tcMar>
            <w:vAlign w:val="center"/>
          </w:tcPr>
          <w:p w14:paraId="216A722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0.3033</w:t>
            </w:r>
          </w:p>
        </w:tc>
        <w:tc>
          <w:tcPr>
            <w:tcW w:w="919" w:type="dxa"/>
            <w:tcBorders>
              <w:tl2br w:val="nil"/>
              <w:tr2bl w:val="nil"/>
            </w:tcBorders>
            <w:shd w:val="clear" w:color="auto" w:fill="auto"/>
            <w:noWrap/>
            <w:tcMar>
              <w:top w:w="15" w:type="dxa"/>
              <w:left w:w="15" w:type="dxa"/>
              <w:right w:w="15" w:type="dxa"/>
            </w:tcMar>
            <w:vAlign w:val="center"/>
          </w:tcPr>
          <w:p w14:paraId="41B87C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0.3360</w:t>
            </w:r>
          </w:p>
        </w:tc>
        <w:tc>
          <w:tcPr>
            <w:tcW w:w="1104" w:type="dxa"/>
            <w:tcBorders>
              <w:tl2br w:val="nil"/>
              <w:tr2bl w:val="nil"/>
            </w:tcBorders>
            <w:shd w:val="clear" w:color="auto" w:fill="auto"/>
            <w:noWrap/>
            <w:tcMar>
              <w:top w:w="15" w:type="dxa"/>
              <w:left w:w="15" w:type="dxa"/>
              <w:right w:w="15" w:type="dxa"/>
            </w:tcMar>
            <w:vAlign w:val="center"/>
          </w:tcPr>
          <w:p w14:paraId="780F41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895" w:type="dxa"/>
            <w:tcBorders>
              <w:tl2br w:val="nil"/>
              <w:tr2bl w:val="nil"/>
            </w:tcBorders>
            <w:shd w:val="clear" w:color="auto" w:fill="auto"/>
            <w:noWrap/>
            <w:tcMar>
              <w:top w:w="15" w:type="dxa"/>
              <w:left w:w="15" w:type="dxa"/>
              <w:right w:w="15" w:type="dxa"/>
            </w:tcMar>
            <w:vAlign w:val="center"/>
          </w:tcPr>
          <w:p w14:paraId="552839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332" w:type="dxa"/>
            <w:tcBorders>
              <w:tl2br w:val="nil"/>
              <w:tr2bl w:val="nil"/>
            </w:tcBorders>
            <w:shd w:val="clear" w:color="auto" w:fill="auto"/>
            <w:noWrap/>
            <w:tcMar>
              <w:top w:w="15" w:type="dxa"/>
              <w:left w:w="15" w:type="dxa"/>
              <w:right w:w="15" w:type="dxa"/>
            </w:tcMar>
            <w:vAlign w:val="center"/>
          </w:tcPr>
          <w:p w14:paraId="210A7F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0.0509</w:t>
            </w:r>
          </w:p>
        </w:tc>
      </w:tr>
      <w:tr w14:paraId="0B9D0E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894" w:type="dxa"/>
            <w:tcBorders>
              <w:tl2br w:val="nil"/>
              <w:tr2bl w:val="nil"/>
            </w:tcBorders>
            <w:shd w:val="clear" w:color="auto" w:fill="auto"/>
            <w:noWrap/>
            <w:tcMar>
              <w:top w:w="15" w:type="dxa"/>
              <w:left w:w="15" w:type="dxa"/>
              <w:right w:w="15" w:type="dxa"/>
            </w:tcMar>
            <w:vAlign w:val="center"/>
          </w:tcPr>
          <w:p w14:paraId="32B2F9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10</w:t>
            </w:r>
          </w:p>
        </w:tc>
        <w:tc>
          <w:tcPr>
            <w:tcW w:w="984" w:type="dxa"/>
            <w:tcBorders>
              <w:tl2br w:val="nil"/>
              <w:tr2bl w:val="nil"/>
            </w:tcBorders>
            <w:shd w:val="clear" w:color="auto" w:fill="auto"/>
            <w:noWrap/>
            <w:tcMar>
              <w:top w:w="15" w:type="dxa"/>
              <w:left w:w="15" w:type="dxa"/>
              <w:right w:w="15" w:type="dxa"/>
            </w:tcMar>
            <w:vAlign w:val="center"/>
          </w:tcPr>
          <w:p w14:paraId="52D4AE7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HR-4-75</w:t>
            </w:r>
          </w:p>
        </w:tc>
        <w:tc>
          <w:tcPr>
            <w:tcW w:w="1029" w:type="dxa"/>
            <w:tcBorders>
              <w:tl2br w:val="nil"/>
              <w:tr2bl w:val="nil"/>
            </w:tcBorders>
            <w:shd w:val="clear" w:color="auto" w:fill="auto"/>
            <w:noWrap/>
            <w:tcMar>
              <w:top w:w="15" w:type="dxa"/>
              <w:left w:w="15" w:type="dxa"/>
              <w:right w:w="15" w:type="dxa"/>
            </w:tcMar>
            <w:vAlign w:val="center"/>
          </w:tcPr>
          <w:p w14:paraId="633849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894" w:type="dxa"/>
            <w:tcBorders>
              <w:tl2br w:val="nil"/>
              <w:tr2bl w:val="nil"/>
            </w:tcBorders>
            <w:shd w:val="clear" w:color="auto" w:fill="auto"/>
            <w:noWrap/>
            <w:tcMar>
              <w:top w:w="15" w:type="dxa"/>
              <w:left w:w="15" w:type="dxa"/>
              <w:right w:w="15" w:type="dxa"/>
            </w:tcMar>
            <w:vAlign w:val="center"/>
          </w:tcPr>
          <w:p w14:paraId="19D5C2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0.2122</w:t>
            </w:r>
          </w:p>
        </w:tc>
        <w:tc>
          <w:tcPr>
            <w:tcW w:w="894" w:type="dxa"/>
            <w:tcBorders>
              <w:tl2br w:val="nil"/>
              <w:tr2bl w:val="nil"/>
            </w:tcBorders>
            <w:shd w:val="clear" w:color="auto" w:fill="auto"/>
            <w:noWrap/>
            <w:tcMar>
              <w:top w:w="15" w:type="dxa"/>
              <w:left w:w="15" w:type="dxa"/>
              <w:right w:w="15" w:type="dxa"/>
            </w:tcMar>
            <w:vAlign w:val="center"/>
          </w:tcPr>
          <w:p w14:paraId="6A1738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0.0667</w:t>
            </w:r>
          </w:p>
        </w:tc>
        <w:tc>
          <w:tcPr>
            <w:tcW w:w="980" w:type="dxa"/>
            <w:tcBorders>
              <w:tl2br w:val="nil"/>
              <w:tr2bl w:val="nil"/>
            </w:tcBorders>
            <w:shd w:val="clear" w:color="auto" w:fill="auto"/>
            <w:noWrap/>
            <w:tcMar>
              <w:top w:w="15" w:type="dxa"/>
              <w:left w:w="15" w:type="dxa"/>
              <w:right w:w="15" w:type="dxa"/>
            </w:tcMar>
            <w:vAlign w:val="center"/>
          </w:tcPr>
          <w:p w14:paraId="481367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017" w:type="dxa"/>
            <w:tcBorders>
              <w:tl2br w:val="nil"/>
              <w:tr2bl w:val="nil"/>
            </w:tcBorders>
            <w:shd w:val="clear" w:color="auto" w:fill="auto"/>
            <w:noWrap/>
            <w:tcMar>
              <w:top w:w="15" w:type="dxa"/>
              <w:left w:w="15" w:type="dxa"/>
              <w:right w:w="15" w:type="dxa"/>
            </w:tcMar>
            <w:vAlign w:val="center"/>
          </w:tcPr>
          <w:p w14:paraId="026FD6F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0.2667</w:t>
            </w:r>
          </w:p>
        </w:tc>
        <w:tc>
          <w:tcPr>
            <w:tcW w:w="894" w:type="dxa"/>
            <w:tcBorders>
              <w:tl2br w:val="nil"/>
              <w:tr2bl w:val="nil"/>
            </w:tcBorders>
            <w:shd w:val="clear" w:color="auto" w:fill="auto"/>
            <w:noWrap/>
            <w:tcMar>
              <w:top w:w="15" w:type="dxa"/>
              <w:left w:w="15" w:type="dxa"/>
              <w:right w:w="15" w:type="dxa"/>
            </w:tcMar>
            <w:vAlign w:val="center"/>
          </w:tcPr>
          <w:p w14:paraId="7CC26E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0.4200</w:t>
            </w:r>
          </w:p>
        </w:tc>
        <w:tc>
          <w:tcPr>
            <w:tcW w:w="894" w:type="dxa"/>
            <w:tcBorders>
              <w:tl2br w:val="nil"/>
              <w:tr2bl w:val="nil"/>
            </w:tcBorders>
            <w:shd w:val="clear" w:color="auto" w:fill="auto"/>
            <w:noWrap/>
            <w:tcMar>
              <w:top w:w="15" w:type="dxa"/>
              <w:left w:w="15" w:type="dxa"/>
              <w:right w:w="15" w:type="dxa"/>
            </w:tcMar>
            <w:vAlign w:val="center"/>
          </w:tcPr>
          <w:p w14:paraId="5517F1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0.3000</w:t>
            </w:r>
          </w:p>
        </w:tc>
        <w:tc>
          <w:tcPr>
            <w:tcW w:w="894" w:type="dxa"/>
            <w:tcBorders>
              <w:tl2br w:val="nil"/>
              <w:tr2bl w:val="nil"/>
            </w:tcBorders>
            <w:shd w:val="clear" w:color="auto" w:fill="auto"/>
            <w:noWrap/>
            <w:tcMar>
              <w:top w:w="15" w:type="dxa"/>
              <w:left w:w="15" w:type="dxa"/>
              <w:right w:w="15" w:type="dxa"/>
            </w:tcMar>
            <w:vAlign w:val="center"/>
          </w:tcPr>
          <w:p w14:paraId="271392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0.3533</w:t>
            </w:r>
          </w:p>
        </w:tc>
        <w:tc>
          <w:tcPr>
            <w:tcW w:w="919" w:type="dxa"/>
            <w:tcBorders>
              <w:tl2br w:val="nil"/>
              <w:tr2bl w:val="nil"/>
            </w:tcBorders>
            <w:shd w:val="clear" w:color="auto" w:fill="auto"/>
            <w:noWrap/>
            <w:tcMar>
              <w:top w:w="15" w:type="dxa"/>
              <w:left w:w="15" w:type="dxa"/>
              <w:right w:w="15" w:type="dxa"/>
            </w:tcMar>
            <w:vAlign w:val="center"/>
          </w:tcPr>
          <w:p w14:paraId="7C0304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0.2600</w:t>
            </w:r>
          </w:p>
        </w:tc>
        <w:tc>
          <w:tcPr>
            <w:tcW w:w="919" w:type="dxa"/>
            <w:tcBorders>
              <w:tl2br w:val="nil"/>
              <w:tr2bl w:val="nil"/>
            </w:tcBorders>
            <w:shd w:val="clear" w:color="auto" w:fill="auto"/>
            <w:noWrap/>
            <w:tcMar>
              <w:top w:w="15" w:type="dxa"/>
              <w:left w:w="15" w:type="dxa"/>
              <w:right w:w="15" w:type="dxa"/>
            </w:tcMar>
            <w:vAlign w:val="center"/>
          </w:tcPr>
          <w:p w14:paraId="0FECE8D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0.1700</w:t>
            </w:r>
          </w:p>
        </w:tc>
        <w:tc>
          <w:tcPr>
            <w:tcW w:w="1104" w:type="dxa"/>
            <w:tcBorders>
              <w:tl2br w:val="nil"/>
              <w:tr2bl w:val="nil"/>
            </w:tcBorders>
            <w:shd w:val="clear" w:color="auto" w:fill="auto"/>
            <w:noWrap/>
            <w:tcMar>
              <w:top w:w="15" w:type="dxa"/>
              <w:left w:w="15" w:type="dxa"/>
              <w:right w:w="15" w:type="dxa"/>
            </w:tcMar>
            <w:vAlign w:val="center"/>
          </w:tcPr>
          <w:p w14:paraId="26864D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895" w:type="dxa"/>
            <w:tcBorders>
              <w:tl2br w:val="nil"/>
              <w:tr2bl w:val="nil"/>
            </w:tcBorders>
            <w:shd w:val="clear" w:color="auto" w:fill="auto"/>
            <w:noWrap/>
            <w:tcMar>
              <w:top w:w="15" w:type="dxa"/>
              <w:left w:w="15" w:type="dxa"/>
              <w:right w:w="15" w:type="dxa"/>
            </w:tcMar>
            <w:vAlign w:val="center"/>
          </w:tcPr>
          <w:p w14:paraId="07F6F8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332" w:type="dxa"/>
            <w:tcBorders>
              <w:tl2br w:val="nil"/>
              <w:tr2bl w:val="nil"/>
            </w:tcBorders>
            <w:shd w:val="clear" w:color="auto" w:fill="auto"/>
            <w:noWrap/>
            <w:tcMar>
              <w:top w:w="15" w:type="dxa"/>
              <w:left w:w="15" w:type="dxa"/>
              <w:right w:w="15" w:type="dxa"/>
            </w:tcMar>
            <w:vAlign w:val="center"/>
          </w:tcPr>
          <w:p w14:paraId="13692B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0.0036</w:t>
            </w:r>
          </w:p>
        </w:tc>
      </w:tr>
      <w:tr w14:paraId="50B77A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894" w:type="dxa"/>
            <w:tcBorders>
              <w:tl2br w:val="nil"/>
              <w:tr2bl w:val="nil"/>
            </w:tcBorders>
            <w:shd w:val="clear" w:color="auto" w:fill="auto"/>
            <w:noWrap/>
            <w:tcMar>
              <w:top w:w="15" w:type="dxa"/>
              <w:left w:w="15" w:type="dxa"/>
              <w:right w:w="15" w:type="dxa"/>
            </w:tcMar>
            <w:vAlign w:val="center"/>
          </w:tcPr>
          <w:p w14:paraId="0BD5DA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11</w:t>
            </w:r>
          </w:p>
        </w:tc>
        <w:tc>
          <w:tcPr>
            <w:tcW w:w="984" w:type="dxa"/>
            <w:tcBorders>
              <w:tl2br w:val="nil"/>
              <w:tr2bl w:val="nil"/>
            </w:tcBorders>
            <w:shd w:val="clear" w:color="auto" w:fill="auto"/>
            <w:noWrap/>
            <w:tcMar>
              <w:top w:w="15" w:type="dxa"/>
              <w:left w:w="15" w:type="dxa"/>
              <w:right w:w="15" w:type="dxa"/>
            </w:tcMar>
            <w:vAlign w:val="center"/>
          </w:tcPr>
          <w:p w14:paraId="3CDFDC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HR-4-200</w:t>
            </w:r>
          </w:p>
        </w:tc>
        <w:tc>
          <w:tcPr>
            <w:tcW w:w="1029" w:type="dxa"/>
            <w:tcBorders>
              <w:tl2br w:val="nil"/>
              <w:tr2bl w:val="nil"/>
            </w:tcBorders>
            <w:shd w:val="clear" w:color="auto" w:fill="auto"/>
            <w:noWrap/>
            <w:tcMar>
              <w:top w:w="15" w:type="dxa"/>
              <w:left w:w="15" w:type="dxa"/>
              <w:right w:w="15" w:type="dxa"/>
            </w:tcMar>
            <w:vAlign w:val="center"/>
          </w:tcPr>
          <w:p w14:paraId="39DFD9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894" w:type="dxa"/>
            <w:tcBorders>
              <w:tl2br w:val="nil"/>
              <w:tr2bl w:val="nil"/>
            </w:tcBorders>
            <w:shd w:val="clear" w:color="auto" w:fill="auto"/>
            <w:noWrap/>
            <w:tcMar>
              <w:top w:w="15" w:type="dxa"/>
              <w:left w:w="15" w:type="dxa"/>
              <w:right w:w="15" w:type="dxa"/>
            </w:tcMar>
            <w:vAlign w:val="center"/>
          </w:tcPr>
          <w:p w14:paraId="2E8EF6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0.1367</w:t>
            </w:r>
          </w:p>
        </w:tc>
        <w:tc>
          <w:tcPr>
            <w:tcW w:w="894" w:type="dxa"/>
            <w:tcBorders>
              <w:tl2br w:val="nil"/>
              <w:tr2bl w:val="nil"/>
            </w:tcBorders>
            <w:shd w:val="clear" w:color="auto" w:fill="auto"/>
            <w:noWrap/>
            <w:tcMar>
              <w:top w:w="15" w:type="dxa"/>
              <w:left w:w="15" w:type="dxa"/>
              <w:right w:w="15" w:type="dxa"/>
            </w:tcMar>
            <w:vAlign w:val="center"/>
          </w:tcPr>
          <w:p w14:paraId="268E0E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0.0375</w:t>
            </w:r>
          </w:p>
        </w:tc>
        <w:tc>
          <w:tcPr>
            <w:tcW w:w="980" w:type="dxa"/>
            <w:tcBorders>
              <w:tl2br w:val="nil"/>
              <w:tr2bl w:val="nil"/>
            </w:tcBorders>
            <w:shd w:val="clear" w:color="auto" w:fill="auto"/>
            <w:noWrap/>
            <w:tcMar>
              <w:top w:w="15" w:type="dxa"/>
              <w:left w:w="15" w:type="dxa"/>
              <w:right w:w="15" w:type="dxa"/>
            </w:tcMar>
            <w:vAlign w:val="center"/>
          </w:tcPr>
          <w:p w14:paraId="3BDB90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017" w:type="dxa"/>
            <w:tcBorders>
              <w:tl2br w:val="nil"/>
              <w:tr2bl w:val="nil"/>
            </w:tcBorders>
            <w:shd w:val="clear" w:color="auto" w:fill="auto"/>
            <w:noWrap/>
            <w:tcMar>
              <w:top w:w="15" w:type="dxa"/>
              <w:left w:w="15" w:type="dxa"/>
              <w:right w:w="15" w:type="dxa"/>
            </w:tcMar>
            <w:vAlign w:val="center"/>
          </w:tcPr>
          <w:p w14:paraId="7D575A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0.0667</w:t>
            </w:r>
          </w:p>
        </w:tc>
        <w:tc>
          <w:tcPr>
            <w:tcW w:w="894" w:type="dxa"/>
            <w:tcBorders>
              <w:tl2br w:val="nil"/>
              <w:tr2bl w:val="nil"/>
            </w:tcBorders>
            <w:shd w:val="clear" w:color="auto" w:fill="auto"/>
            <w:noWrap/>
            <w:tcMar>
              <w:top w:w="15" w:type="dxa"/>
              <w:left w:w="15" w:type="dxa"/>
              <w:right w:w="15" w:type="dxa"/>
            </w:tcMar>
            <w:vAlign w:val="center"/>
          </w:tcPr>
          <w:p w14:paraId="48D479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0.2100</w:t>
            </w:r>
          </w:p>
        </w:tc>
        <w:tc>
          <w:tcPr>
            <w:tcW w:w="894" w:type="dxa"/>
            <w:tcBorders>
              <w:tl2br w:val="nil"/>
              <w:tr2bl w:val="nil"/>
            </w:tcBorders>
            <w:shd w:val="clear" w:color="auto" w:fill="auto"/>
            <w:noWrap/>
            <w:tcMar>
              <w:top w:w="15" w:type="dxa"/>
              <w:left w:w="15" w:type="dxa"/>
              <w:right w:w="15" w:type="dxa"/>
            </w:tcMar>
            <w:vAlign w:val="center"/>
          </w:tcPr>
          <w:p w14:paraId="71DE20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0.2700</w:t>
            </w:r>
          </w:p>
        </w:tc>
        <w:tc>
          <w:tcPr>
            <w:tcW w:w="894" w:type="dxa"/>
            <w:tcBorders>
              <w:tl2br w:val="nil"/>
              <w:tr2bl w:val="nil"/>
            </w:tcBorders>
            <w:shd w:val="clear" w:color="auto" w:fill="auto"/>
            <w:noWrap/>
            <w:tcMar>
              <w:top w:w="15" w:type="dxa"/>
              <w:left w:w="15" w:type="dxa"/>
              <w:right w:w="15" w:type="dxa"/>
            </w:tcMar>
            <w:vAlign w:val="center"/>
          </w:tcPr>
          <w:p w14:paraId="6BD76B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0.2550</w:t>
            </w:r>
          </w:p>
        </w:tc>
        <w:tc>
          <w:tcPr>
            <w:tcW w:w="919" w:type="dxa"/>
            <w:tcBorders>
              <w:tl2br w:val="nil"/>
              <w:tr2bl w:val="nil"/>
            </w:tcBorders>
            <w:shd w:val="clear" w:color="auto" w:fill="auto"/>
            <w:noWrap/>
            <w:tcMar>
              <w:top w:w="15" w:type="dxa"/>
              <w:left w:w="15" w:type="dxa"/>
              <w:right w:w="15" w:type="dxa"/>
            </w:tcMar>
            <w:vAlign w:val="center"/>
          </w:tcPr>
          <w:p w14:paraId="4586C1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0.1640</w:t>
            </w:r>
          </w:p>
        </w:tc>
        <w:tc>
          <w:tcPr>
            <w:tcW w:w="919" w:type="dxa"/>
            <w:tcBorders>
              <w:tl2br w:val="nil"/>
              <w:tr2bl w:val="nil"/>
            </w:tcBorders>
            <w:shd w:val="clear" w:color="auto" w:fill="auto"/>
            <w:noWrap/>
            <w:tcMar>
              <w:top w:w="15" w:type="dxa"/>
              <w:left w:w="15" w:type="dxa"/>
              <w:right w:w="15" w:type="dxa"/>
            </w:tcMar>
            <w:vAlign w:val="center"/>
          </w:tcPr>
          <w:p w14:paraId="37C8BE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0.1933</w:t>
            </w:r>
          </w:p>
        </w:tc>
        <w:tc>
          <w:tcPr>
            <w:tcW w:w="1104" w:type="dxa"/>
            <w:tcBorders>
              <w:tl2br w:val="nil"/>
              <w:tr2bl w:val="nil"/>
            </w:tcBorders>
            <w:shd w:val="clear" w:color="auto" w:fill="auto"/>
            <w:noWrap/>
            <w:tcMar>
              <w:top w:w="15" w:type="dxa"/>
              <w:left w:w="15" w:type="dxa"/>
              <w:right w:w="15" w:type="dxa"/>
            </w:tcMar>
            <w:vAlign w:val="center"/>
          </w:tcPr>
          <w:p w14:paraId="3A2465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895" w:type="dxa"/>
            <w:tcBorders>
              <w:tl2br w:val="nil"/>
              <w:tr2bl w:val="nil"/>
            </w:tcBorders>
            <w:shd w:val="clear" w:color="auto" w:fill="auto"/>
            <w:noWrap/>
            <w:tcMar>
              <w:top w:w="15" w:type="dxa"/>
              <w:left w:w="15" w:type="dxa"/>
              <w:right w:w="15" w:type="dxa"/>
            </w:tcMar>
            <w:vAlign w:val="center"/>
          </w:tcPr>
          <w:p w14:paraId="736442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332" w:type="dxa"/>
            <w:tcBorders>
              <w:tl2br w:val="nil"/>
              <w:tr2bl w:val="nil"/>
            </w:tcBorders>
            <w:shd w:val="clear" w:color="auto" w:fill="auto"/>
            <w:noWrap/>
            <w:tcMar>
              <w:top w:w="15" w:type="dxa"/>
              <w:left w:w="15" w:type="dxa"/>
              <w:right w:w="15" w:type="dxa"/>
            </w:tcMar>
            <w:vAlign w:val="center"/>
          </w:tcPr>
          <w:p w14:paraId="60C854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0.0036</w:t>
            </w:r>
          </w:p>
        </w:tc>
      </w:tr>
      <w:tr w14:paraId="27E648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894" w:type="dxa"/>
            <w:tcBorders>
              <w:tl2br w:val="nil"/>
              <w:tr2bl w:val="nil"/>
            </w:tcBorders>
            <w:shd w:val="clear" w:color="auto" w:fill="auto"/>
            <w:noWrap/>
            <w:tcMar>
              <w:top w:w="15" w:type="dxa"/>
              <w:left w:w="15" w:type="dxa"/>
              <w:right w:w="15" w:type="dxa"/>
            </w:tcMar>
            <w:vAlign w:val="center"/>
          </w:tcPr>
          <w:p w14:paraId="73C2B0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12</w:t>
            </w:r>
          </w:p>
        </w:tc>
        <w:tc>
          <w:tcPr>
            <w:tcW w:w="984" w:type="dxa"/>
            <w:tcBorders>
              <w:tl2br w:val="nil"/>
              <w:tr2bl w:val="nil"/>
            </w:tcBorders>
            <w:shd w:val="clear" w:color="auto" w:fill="auto"/>
            <w:noWrap/>
            <w:tcMar>
              <w:top w:w="15" w:type="dxa"/>
              <w:left w:w="15" w:type="dxa"/>
              <w:right w:w="15" w:type="dxa"/>
            </w:tcMar>
            <w:vAlign w:val="center"/>
          </w:tcPr>
          <w:p w14:paraId="608190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HR-4-400</w:t>
            </w:r>
          </w:p>
        </w:tc>
        <w:tc>
          <w:tcPr>
            <w:tcW w:w="1029" w:type="dxa"/>
            <w:tcBorders>
              <w:tl2br w:val="nil"/>
              <w:tr2bl w:val="nil"/>
            </w:tcBorders>
            <w:shd w:val="clear" w:color="auto" w:fill="auto"/>
            <w:noWrap/>
            <w:tcMar>
              <w:top w:w="15" w:type="dxa"/>
              <w:left w:w="15" w:type="dxa"/>
              <w:right w:w="15" w:type="dxa"/>
            </w:tcMar>
            <w:vAlign w:val="center"/>
          </w:tcPr>
          <w:p w14:paraId="31E0DD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894" w:type="dxa"/>
            <w:tcBorders>
              <w:tl2br w:val="nil"/>
              <w:tr2bl w:val="nil"/>
            </w:tcBorders>
            <w:shd w:val="clear" w:color="auto" w:fill="auto"/>
            <w:noWrap/>
            <w:tcMar>
              <w:top w:w="15" w:type="dxa"/>
              <w:left w:w="15" w:type="dxa"/>
              <w:right w:w="15" w:type="dxa"/>
            </w:tcMar>
            <w:vAlign w:val="center"/>
          </w:tcPr>
          <w:p w14:paraId="22C401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0.1724</w:t>
            </w:r>
          </w:p>
        </w:tc>
        <w:tc>
          <w:tcPr>
            <w:tcW w:w="894" w:type="dxa"/>
            <w:tcBorders>
              <w:tl2br w:val="nil"/>
              <w:tr2bl w:val="nil"/>
            </w:tcBorders>
            <w:shd w:val="clear" w:color="auto" w:fill="auto"/>
            <w:noWrap/>
            <w:tcMar>
              <w:top w:w="15" w:type="dxa"/>
              <w:left w:w="15" w:type="dxa"/>
              <w:right w:w="15" w:type="dxa"/>
            </w:tcMar>
            <w:vAlign w:val="center"/>
          </w:tcPr>
          <w:p w14:paraId="42B2CF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0.0677</w:t>
            </w:r>
          </w:p>
        </w:tc>
        <w:tc>
          <w:tcPr>
            <w:tcW w:w="980" w:type="dxa"/>
            <w:tcBorders>
              <w:tl2br w:val="nil"/>
              <w:tr2bl w:val="nil"/>
            </w:tcBorders>
            <w:shd w:val="clear" w:color="auto" w:fill="auto"/>
            <w:noWrap/>
            <w:tcMar>
              <w:top w:w="15" w:type="dxa"/>
              <w:left w:w="15" w:type="dxa"/>
              <w:right w:w="15" w:type="dxa"/>
            </w:tcMar>
            <w:vAlign w:val="center"/>
          </w:tcPr>
          <w:p w14:paraId="31559C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017" w:type="dxa"/>
            <w:tcBorders>
              <w:tl2br w:val="nil"/>
              <w:tr2bl w:val="nil"/>
            </w:tcBorders>
            <w:shd w:val="clear" w:color="auto" w:fill="auto"/>
            <w:noWrap/>
            <w:tcMar>
              <w:top w:w="15" w:type="dxa"/>
              <w:left w:w="15" w:type="dxa"/>
              <w:right w:w="15" w:type="dxa"/>
            </w:tcMar>
            <w:vAlign w:val="center"/>
          </w:tcPr>
          <w:p w14:paraId="661416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0.1500</w:t>
            </w:r>
          </w:p>
        </w:tc>
        <w:tc>
          <w:tcPr>
            <w:tcW w:w="894" w:type="dxa"/>
            <w:tcBorders>
              <w:tl2br w:val="nil"/>
              <w:tr2bl w:val="nil"/>
            </w:tcBorders>
            <w:shd w:val="clear" w:color="auto" w:fill="auto"/>
            <w:noWrap/>
            <w:tcMar>
              <w:top w:w="15" w:type="dxa"/>
              <w:left w:w="15" w:type="dxa"/>
              <w:right w:w="15" w:type="dxa"/>
            </w:tcMar>
            <w:vAlign w:val="center"/>
          </w:tcPr>
          <w:p w14:paraId="30C717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0.3100</w:t>
            </w:r>
          </w:p>
        </w:tc>
        <w:tc>
          <w:tcPr>
            <w:tcW w:w="894" w:type="dxa"/>
            <w:tcBorders>
              <w:tl2br w:val="nil"/>
              <w:tr2bl w:val="nil"/>
            </w:tcBorders>
            <w:shd w:val="clear" w:color="auto" w:fill="auto"/>
            <w:noWrap/>
            <w:tcMar>
              <w:top w:w="15" w:type="dxa"/>
              <w:left w:w="15" w:type="dxa"/>
              <w:right w:w="15" w:type="dxa"/>
            </w:tcMar>
            <w:vAlign w:val="center"/>
          </w:tcPr>
          <w:p w14:paraId="4A230D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0.3737</w:t>
            </w:r>
          </w:p>
        </w:tc>
        <w:tc>
          <w:tcPr>
            <w:tcW w:w="894" w:type="dxa"/>
            <w:tcBorders>
              <w:tl2br w:val="nil"/>
              <w:tr2bl w:val="nil"/>
            </w:tcBorders>
            <w:shd w:val="clear" w:color="auto" w:fill="auto"/>
            <w:noWrap/>
            <w:tcMar>
              <w:top w:w="15" w:type="dxa"/>
              <w:left w:w="15" w:type="dxa"/>
              <w:right w:w="15" w:type="dxa"/>
            </w:tcMar>
            <w:vAlign w:val="center"/>
          </w:tcPr>
          <w:p w14:paraId="25D80A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0.6880</w:t>
            </w:r>
          </w:p>
        </w:tc>
        <w:tc>
          <w:tcPr>
            <w:tcW w:w="919" w:type="dxa"/>
            <w:tcBorders>
              <w:tl2br w:val="nil"/>
              <w:tr2bl w:val="nil"/>
            </w:tcBorders>
            <w:shd w:val="clear" w:color="auto" w:fill="auto"/>
            <w:noWrap/>
            <w:tcMar>
              <w:top w:w="15" w:type="dxa"/>
              <w:left w:w="15" w:type="dxa"/>
              <w:right w:w="15" w:type="dxa"/>
            </w:tcMar>
            <w:vAlign w:val="center"/>
          </w:tcPr>
          <w:p w14:paraId="5558D8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0.3033</w:t>
            </w:r>
          </w:p>
        </w:tc>
        <w:tc>
          <w:tcPr>
            <w:tcW w:w="919" w:type="dxa"/>
            <w:tcBorders>
              <w:tl2br w:val="nil"/>
              <w:tr2bl w:val="nil"/>
            </w:tcBorders>
            <w:shd w:val="clear" w:color="auto" w:fill="auto"/>
            <w:noWrap/>
            <w:tcMar>
              <w:top w:w="15" w:type="dxa"/>
              <w:left w:w="15" w:type="dxa"/>
              <w:right w:w="15" w:type="dxa"/>
            </w:tcMar>
            <w:vAlign w:val="center"/>
          </w:tcPr>
          <w:p w14:paraId="270FF4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0.3360</w:t>
            </w:r>
          </w:p>
        </w:tc>
        <w:tc>
          <w:tcPr>
            <w:tcW w:w="1104" w:type="dxa"/>
            <w:tcBorders>
              <w:tl2br w:val="nil"/>
              <w:tr2bl w:val="nil"/>
            </w:tcBorders>
            <w:shd w:val="clear" w:color="auto" w:fill="auto"/>
            <w:noWrap/>
            <w:tcMar>
              <w:top w:w="15" w:type="dxa"/>
              <w:left w:w="15" w:type="dxa"/>
              <w:right w:w="15" w:type="dxa"/>
            </w:tcMar>
            <w:vAlign w:val="center"/>
          </w:tcPr>
          <w:p w14:paraId="7A8C58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895" w:type="dxa"/>
            <w:tcBorders>
              <w:tl2br w:val="nil"/>
              <w:tr2bl w:val="nil"/>
            </w:tcBorders>
            <w:shd w:val="clear" w:color="auto" w:fill="auto"/>
            <w:noWrap/>
            <w:tcMar>
              <w:top w:w="15" w:type="dxa"/>
              <w:left w:w="15" w:type="dxa"/>
              <w:right w:w="15" w:type="dxa"/>
            </w:tcMar>
            <w:vAlign w:val="center"/>
          </w:tcPr>
          <w:p w14:paraId="68E67A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332" w:type="dxa"/>
            <w:tcBorders>
              <w:tl2br w:val="nil"/>
              <w:tr2bl w:val="nil"/>
            </w:tcBorders>
            <w:shd w:val="clear" w:color="auto" w:fill="auto"/>
            <w:noWrap/>
            <w:tcMar>
              <w:top w:w="15" w:type="dxa"/>
              <w:left w:w="15" w:type="dxa"/>
              <w:right w:w="15" w:type="dxa"/>
            </w:tcMar>
            <w:vAlign w:val="center"/>
          </w:tcPr>
          <w:p w14:paraId="638D7B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0.0496</w:t>
            </w:r>
          </w:p>
        </w:tc>
      </w:tr>
      <w:tr w14:paraId="7194D7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894" w:type="dxa"/>
            <w:tcBorders>
              <w:tl2br w:val="nil"/>
              <w:tr2bl w:val="nil"/>
            </w:tcBorders>
            <w:shd w:val="clear" w:color="auto" w:fill="auto"/>
            <w:noWrap/>
            <w:tcMar>
              <w:top w:w="15" w:type="dxa"/>
              <w:left w:w="15" w:type="dxa"/>
              <w:right w:w="15" w:type="dxa"/>
            </w:tcMar>
            <w:vAlign w:val="center"/>
          </w:tcPr>
          <w:p w14:paraId="6910E9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13</w:t>
            </w:r>
          </w:p>
        </w:tc>
        <w:tc>
          <w:tcPr>
            <w:tcW w:w="984" w:type="dxa"/>
            <w:tcBorders>
              <w:tl2br w:val="nil"/>
              <w:tr2bl w:val="nil"/>
            </w:tcBorders>
            <w:shd w:val="clear" w:color="auto" w:fill="auto"/>
            <w:noWrap/>
            <w:tcMar>
              <w:top w:w="15" w:type="dxa"/>
              <w:left w:w="15" w:type="dxa"/>
              <w:right w:w="15" w:type="dxa"/>
            </w:tcMar>
            <w:vAlign w:val="center"/>
          </w:tcPr>
          <w:p w14:paraId="4D5385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HR-5</w:t>
            </w:r>
          </w:p>
        </w:tc>
        <w:tc>
          <w:tcPr>
            <w:tcW w:w="1029" w:type="dxa"/>
            <w:tcBorders>
              <w:tl2br w:val="nil"/>
              <w:tr2bl w:val="nil"/>
            </w:tcBorders>
            <w:shd w:val="clear" w:color="auto" w:fill="auto"/>
            <w:noWrap/>
            <w:tcMar>
              <w:top w:w="15" w:type="dxa"/>
              <w:left w:w="15" w:type="dxa"/>
              <w:right w:w="15" w:type="dxa"/>
            </w:tcMar>
            <w:vAlign w:val="center"/>
          </w:tcPr>
          <w:p w14:paraId="624A8F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894" w:type="dxa"/>
            <w:tcBorders>
              <w:tl2br w:val="nil"/>
              <w:tr2bl w:val="nil"/>
            </w:tcBorders>
            <w:shd w:val="clear" w:color="auto" w:fill="auto"/>
            <w:noWrap/>
            <w:tcMar>
              <w:top w:w="15" w:type="dxa"/>
              <w:left w:w="15" w:type="dxa"/>
              <w:right w:w="15" w:type="dxa"/>
            </w:tcMar>
            <w:vAlign w:val="center"/>
          </w:tcPr>
          <w:p w14:paraId="4EE886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0.1683</w:t>
            </w:r>
          </w:p>
        </w:tc>
        <w:tc>
          <w:tcPr>
            <w:tcW w:w="894" w:type="dxa"/>
            <w:tcBorders>
              <w:tl2br w:val="nil"/>
              <w:tr2bl w:val="nil"/>
            </w:tcBorders>
            <w:shd w:val="clear" w:color="auto" w:fill="auto"/>
            <w:noWrap/>
            <w:tcMar>
              <w:top w:w="15" w:type="dxa"/>
              <w:left w:w="15" w:type="dxa"/>
              <w:right w:w="15" w:type="dxa"/>
            </w:tcMar>
            <w:vAlign w:val="center"/>
          </w:tcPr>
          <w:p w14:paraId="11E52B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0.0583</w:t>
            </w:r>
          </w:p>
        </w:tc>
        <w:tc>
          <w:tcPr>
            <w:tcW w:w="980" w:type="dxa"/>
            <w:tcBorders>
              <w:tl2br w:val="nil"/>
              <w:tr2bl w:val="nil"/>
            </w:tcBorders>
            <w:shd w:val="clear" w:color="auto" w:fill="auto"/>
            <w:noWrap/>
            <w:tcMar>
              <w:top w:w="15" w:type="dxa"/>
              <w:left w:w="15" w:type="dxa"/>
              <w:right w:w="15" w:type="dxa"/>
            </w:tcMar>
            <w:vAlign w:val="center"/>
          </w:tcPr>
          <w:p w14:paraId="647BFD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017" w:type="dxa"/>
            <w:tcBorders>
              <w:tl2br w:val="nil"/>
              <w:tr2bl w:val="nil"/>
            </w:tcBorders>
            <w:shd w:val="clear" w:color="auto" w:fill="auto"/>
            <w:noWrap/>
            <w:tcMar>
              <w:top w:w="15" w:type="dxa"/>
              <w:left w:w="15" w:type="dxa"/>
              <w:right w:w="15" w:type="dxa"/>
            </w:tcMar>
            <w:vAlign w:val="center"/>
          </w:tcPr>
          <w:p w14:paraId="7BA4E8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0.2667</w:t>
            </w:r>
          </w:p>
        </w:tc>
        <w:tc>
          <w:tcPr>
            <w:tcW w:w="894" w:type="dxa"/>
            <w:tcBorders>
              <w:tl2br w:val="nil"/>
              <w:tr2bl w:val="nil"/>
            </w:tcBorders>
            <w:shd w:val="clear" w:color="auto" w:fill="auto"/>
            <w:noWrap/>
            <w:tcMar>
              <w:top w:w="15" w:type="dxa"/>
              <w:left w:w="15" w:type="dxa"/>
              <w:right w:w="15" w:type="dxa"/>
            </w:tcMar>
            <w:vAlign w:val="center"/>
          </w:tcPr>
          <w:p w14:paraId="64BFF0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0.2200</w:t>
            </w:r>
          </w:p>
        </w:tc>
        <w:tc>
          <w:tcPr>
            <w:tcW w:w="894" w:type="dxa"/>
            <w:tcBorders>
              <w:tl2br w:val="nil"/>
              <w:tr2bl w:val="nil"/>
            </w:tcBorders>
            <w:shd w:val="clear" w:color="auto" w:fill="auto"/>
            <w:noWrap/>
            <w:tcMar>
              <w:top w:w="15" w:type="dxa"/>
              <w:left w:w="15" w:type="dxa"/>
              <w:right w:w="15" w:type="dxa"/>
            </w:tcMar>
            <w:vAlign w:val="center"/>
          </w:tcPr>
          <w:p w14:paraId="3CF631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0.2500</w:t>
            </w:r>
          </w:p>
        </w:tc>
        <w:tc>
          <w:tcPr>
            <w:tcW w:w="894" w:type="dxa"/>
            <w:tcBorders>
              <w:tl2br w:val="nil"/>
              <w:tr2bl w:val="nil"/>
            </w:tcBorders>
            <w:shd w:val="clear" w:color="auto" w:fill="auto"/>
            <w:noWrap/>
            <w:tcMar>
              <w:top w:w="15" w:type="dxa"/>
              <w:left w:w="15" w:type="dxa"/>
              <w:right w:w="15" w:type="dxa"/>
            </w:tcMar>
            <w:vAlign w:val="center"/>
          </w:tcPr>
          <w:p w14:paraId="5E8439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0.2050</w:t>
            </w:r>
          </w:p>
        </w:tc>
        <w:tc>
          <w:tcPr>
            <w:tcW w:w="919" w:type="dxa"/>
            <w:tcBorders>
              <w:tl2br w:val="nil"/>
              <w:tr2bl w:val="nil"/>
            </w:tcBorders>
            <w:shd w:val="clear" w:color="auto" w:fill="auto"/>
            <w:noWrap/>
            <w:tcMar>
              <w:top w:w="15" w:type="dxa"/>
              <w:left w:w="15" w:type="dxa"/>
              <w:right w:w="15" w:type="dxa"/>
            </w:tcMar>
            <w:vAlign w:val="center"/>
          </w:tcPr>
          <w:p w14:paraId="6DAD0A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0.2040</w:t>
            </w:r>
          </w:p>
        </w:tc>
        <w:tc>
          <w:tcPr>
            <w:tcW w:w="919" w:type="dxa"/>
            <w:tcBorders>
              <w:tl2br w:val="nil"/>
              <w:tr2bl w:val="nil"/>
            </w:tcBorders>
            <w:shd w:val="clear" w:color="auto" w:fill="auto"/>
            <w:noWrap/>
            <w:tcMar>
              <w:top w:w="15" w:type="dxa"/>
              <w:left w:w="15" w:type="dxa"/>
              <w:right w:w="15" w:type="dxa"/>
            </w:tcMar>
            <w:vAlign w:val="center"/>
          </w:tcPr>
          <w:p w14:paraId="4A9E19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0.2400</w:t>
            </w:r>
          </w:p>
        </w:tc>
        <w:tc>
          <w:tcPr>
            <w:tcW w:w="1104" w:type="dxa"/>
            <w:tcBorders>
              <w:tl2br w:val="nil"/>
              <w:tr2bl w:val="nil"/>
            </w:tcBorders>
            <w:shd w:val="clear" w:color="auto" w:fill="auto"/>
            <w:noWrap/>
            <w:tcMar>
              <w:top w:w="15" w:type="dxa"/>
              <w:left w:w="15" w:type="dxa"/>
              <w:right w:w="15" w:type="dxa"/>
            </w:tcMar>
            <w:vAlign w:val="center"/>
          </w:tcPr>
          <w:p w14:paraId="50F8A8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895" w:type="dxa"/>
            <w:tcBorders>
              <w:tl2br w:val="nil"/>
              <w:tr2bl w:val="nil"/>
            </w:tcBorders>
            <w:shd w:val="clear" w:color="auto" w:fill="auto"/>
            <w:noWrap/>
            <w:tcMar>
              <w:top w:w="15" w:type="dxa"/>
              <w:left w:w="15" w:type="dxa"/>
              <w:right w:w="15" w:type="dxa"/>
            </w:tcMar>
            <w:vAlign w:val="center"/>
          </w:tcPr>
          <w:p w14:paraId="7A36C3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332" w:type="dxa"/>
            <w:tcBorders>
              <w:tl2br w:val="nil"/>
              <w:tr2bl w:val="nil"/>
            </w:tcBorders>
            <w:shd w:val="clear" w:color="auto" w:fill="auto"/>
            <w:noWrap/>
            <w:tcMar>
              <w:top w:w="15" w:type="dxa"/>
              <w:left w:w="15" w:type="dxa"/>
              <w:right w:w="15" w:type="dxa"/>
            </w:tcMar>
            <w:vAlign w:val="center"/>
          </w:tcPr>
          <w:p w14:paraId="54F142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0.0036</w:t>
            </w:r>
          </w:p>
        </w:tc>
      </w:tr>
      <w:tr w14:paraId="3CABBB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894" w:type="dxa"/>
            <w:tcBorders>
              <w:tl2br w:val="nil"/>
              <w:tr2bl w:val="nil"/>
            </w:tcBorders>
            <w:shd w:val="clear" w:color="auto" w:fill="auto"/>
            <w:noWrap/>
            <w:tcMar>
              <w:top w:w="15" w:type="dxa"/>
              <w:left w:w="15" w:type="dxa"/>
              <w:right w:w="15" w:type="dxa"/>
            </w:tcMar>
            <w:vAlign w:val="center"/>
          </w:tcPr>
          <w:p w14:paraId="0E7FA8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14</w:t>
            </w:r>
          </w:p>
        </w:tc>
        <w:tc>
          <w:tcPr>
            <w:tcW w:w="984" w:type="dxa"/>
            <w:tcBorders>
              <w:tl2br w:val="nil"/>
              <w:tr2bl w:val="nil"/>
            </w:tcBorders>
            <w:shd w:val="clear" w:color="auto" w:fill="auto"/>
            <w:noWrap/>
            <w:tcMar>
              <w:top w:w="15" w:type="dxa"/>
              <w:left w:w="15" w:type="dxa"/>
              <w:right w:w="15" w:type="dxa"/>
            </w:tcMar>
            <w:vAlign w:val="center"/>
          </w:tcPr>
          <w:p w14:paraId="6A95DC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HR-6</w:t>
            </w:r>
          </w:p>
        </w:tc>
        <w:tc>
          <w:tcPr>
            <w:tcW w:w="1029" w:type="dxa"/>
            <w:tcBorders>
              <w:tl2br w:val="nil"/>
              <w:tr2bl w:val="nil"/>
            </w:tcBorders>
            <w:shd w:val="clear" w:color="auto" w:fill="auto"/>
            <w:noWrap/>
            <w:tcMar>
              <w:top w:w="15" w:type="dxa"/>
              <w:left w:w="15" w:type="dxa"/>
              <w:right w:w="15" w:type="dxa"/>
            </w:tcMar>
            <w:vAlign w:val="center"/>
          </w:tcPr>
          <w:p w14:paraId="3A82E6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894" w:type="dxa"/>
            <w:tcBorders>
              <w:tl2br w:val="nil"/>
              <w:tr2bl w:val="nil"/>
            </w:tcBorders>
            <w:shd w:val="clear" w:color="auto" w:fill="auto"/>
            <w:noWrap/>
            <w:tcMar>
              <w:top w:w="15" w:type="dxa"/>
              <w:left w:w="15" w:type="dxa"/>
              <w:right w:w="15" w:type="dxa"/>
            </w:tcMar>
            <w:vAlign w:val="center"/>
          </w:tcPr>
          <w:p w14:paraId="7693D8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0.1683</w:t>
            </w:r>
          </w:p>
        </w:tc>
        <w:tc>
          <w:tcPr>
            <w:tcW w:w="894" w:type="dxa"/>
            <w:tcBorders>
              <w:tl2br w:val="nil"/>
              <w:tr2bl w:val="nil"/>
            </w:tcBorders>
            <w:shd w:val="clear" w:color="auto" w:fill="auto"/>
            <w:noWrap/>
            <w:tcMar>
              <w:top w:w="15" w:type="dxa"/>
              <w:left w:w="15" w:type="dxa"/>
              <w:right w:w="15" w:type="dxa"/>
            </w:tcMar>
            <w:vAlign w:val="center"/>
          </w:tcPr>
          <w:p w14:paraId="77760D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0.0583</w:t>
            </w:r>
          </w:p>
        </w:tc>
        <w:tc>
          <w:tcPr>
            <w:tcW w:w="980" w:type="dxa"/>
            <w:tcBorders>
              <w:tl2br w:val="nil"/>
              <w:tr2bl w:val="nil"/>
            </w:tcBorders>
            <w:shd w:val="clear" w:color="auto" w:fill="auto"/>
            <w:noWrap/>
            <w:tcMar>
              <w:top w:w="15" w:type="dxa"/>
              <w:left w:w="15" w:type="dxa"/>
              <w:right w:w="15" w:type="dxa"/>
            </w:tcMar>
            <w:vAlign w:val="center"/>
          </w:tcPr>
          <w:p w14:paraId="655D0C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017" w:type="dxa"/>
            <w:tcBorders>
              <w:tl2br w:val="nil"/>
              <w:tr2bl w:val="nil"/>
            </w:tcBorders>
            <w:shd w:val="clear" w:color="auto" w:fill="auto"/>
            <w:noWrap/>
            <w:tcMar>
              <w:top w:w="15" w:type="dxa"/>
              <w:left w:w="15" w:type="dxa"/>
              <w:right w:w="15" w:type="dxa"/>
            </w:tcMar>
            <w:vAlign w:val="center"/>
          </w:tcPr>
          <w:p w14:paraId="45C45C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0.2667</w:t>
            </w:r>
          </w:p>
        </w:tc>
        <w:tc>
          <w:tcPr>
            <w:tcW w:w="894" w:type="dxa"/>
            <w:tcBorders>
              <w:tl2br w:val="nil"/>
              <w:tr2bl w:val="nil"/>
            </w:tcBorders>
            <w:shd w:val="clear" w:color="auto" w:fill="auto"/>
            <w:noWrap/>
            <w:tcMar>
              <w:top w:w="15" w:type="dxa"/>
              <w:left w:w="15" w:type="dxa"/>
              <w:right w:w="15" w:type="dxa"/>
            </w:tcMar>
            <w:vAlign w:val="center"/>
          </w:tcPr>
          <w:p w14:paraId="7CB983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0.2200</w:t>
            </w:r>
          </w:p>
        </w:tc>
        <w:tc>
          <w:tcPr>
            <w:tcW w:w="894" w:type="dxa"/>
            <w:tcBorders>
              <w:tl2br w:val="nil"/>
              <w:tr2bl w:val="nil"/>
            </w:tcBorders>
            <w:shd w:val="clear" w:color="auto" w:fill="auto"/>
            <w:noWrap/>
            <w:tcMar>
              <w:top w:w="15" w:type="dxa"/>
              <w:left w:w="15" w:type="dxa"/>
              <w:right w:w="15" w:type="dxa"/>
            </w:tcMar>
            <w:vAlign w:val="center"/>
          </w:tcPr>
          <w:p w14:paraId="300212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0.2500</w:t>
            </w:r>
          </w:p>
        </w:tc>
        <w:tc>
          <w:tcPr>
            <w:tcW w:w="894" w:type="dxa"/>
            <w:tcBorders>
              <w:tl2br w:val="nil"/>
              <w:tr2bl w:val="nil"/>
            </w:tcBorders>
            <w:shd w:val="clear" w:color="auto" w:fill="auto"/>
            <w:noWrap/>
            <w:tcMar>
              <w:top w:w="15" w:type="dxa"/>
              <w:left w:w="15" w:type="dxa"/>
              <w:right w:w="15" w:type="dxa"/>
            </w:tcMar>
            <w:vAlign w:val="center"/>
          </w:tcPr>
          <w:p w14:paraId="619A96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0.2050</w:t>
            </w:r>
          </w:p>
        </w:tc>
        <w:tc>
          <w:tcPr>
            <w:tcW w:w="919" w:type="dxa"/>
            <w:tcBorders>
              <w:tl2br w:val="nil"/>
              <w:tr2bl w:val="nil"/>
            </w:tcBorders>
            <w:shd w:val="clear" w:color="auto" w:fill="auto"/>
            <w:noWrap/>
            <w:tcMar>
              <w:top w:w="15" w:type="dxa"/>
              <w:left w:w="15" w:type="dxa"/>
              <w:right w:w="15" w:type="dxa"/>
            </w:tcMar>
            <w:vAlign w:val="center"/>
          </w:tcPr>
          <w:p w14:paraId="32B46A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0.2040</w:t>
            </w:r>
          </w:p>
        </w:tc>
        <w:tc>
          <w:tcPr>
            <w:tcW w:w="919" w:type="dxa"/>
            <w:tcBorders>
              <w:tl2br w:val="nil"/>
              <w:tr2bl w:val="nil"/>
            </w:tcBorders>
            <w:shd w:val="clear" w:color="auto" w:fill="auto"/>
            <w:noWrap/>
            <w:tcMar>
              <w:top w:w="15" w:type="dxa"/>
              <w:left w:w="15" w:type="dxa"/>
              <w:right w:w="15" w:type="dxa"/>
            </w:tcMar>
            <w:vAlign w:val="center"/>
          </w:tcPr>
          <w:p w14:paraId="7485A4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0.2400</w:t>
            </w:r>
          </w:p>
        </w:tc>
        <w:tc>
          <w:tcPr>
            <w:tcW w:w="1104" w:type="dxa"/>
            <w:tcBorders>
              <w:tl2br w:val="nil"/>
              <w:tr2bl w:val="nil"/>
            </w:tcBorders>
            <w:shd w:val="clear" w:color="auto" w:fill="auto"/>
            <w:noWrap/>
            <w:tcMar>
              <w:top w:w="15" w:type="dxa"/>
              <w:left w:w="15" w:type="dxa"/>
              <w:right w:w="15" w:type="dxa"/>
            </w:tcMar>
            <w:vAlign w:val="center"/>
          </w:tcPr>
          <w:p w14:paraId="588A2A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895" w:type="dxa"/>
            <w:tcBorders>
              <w:tl2br w:val="nil"/>
              <w:tr2bl w:val="nil"/>
            </w:tcBorders>
            <w:shd w:val="clear" w:color="auto" w:fill="auto"/>
            <w:noWrap/>
            <w:tcMar>
              <w:top w:w="15" w:type="dxa"/>
              <w:left w:w="15" w:type="dxa"/>
              <w:right w:w="15" w:type="dxa"/>
            </w:tcMar>
            <w:vAlign w:val="center"/>
          </w:tcPr>
          <w:p w14:paraId="6A82C5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332" w:type="dxa"/>
            <w:tcBorders>
              <w:tl2br w:val="nil"/>
              <w:tr2bl w:val="nil"/>
            </w:tcBorders>
            <w:shd w:val="clear" w:color="auto" w:fill="auto"/>
            <w:noWrap/>
            <w:tcMar>
              <w:top w:w="15" w:type="dxa"/>
              <w:left w:w="15" w:type="dxa"/>
              <w:right w:w="15" w:type="dxa"/>
            </w:tcMar>
            <w:vAlign w:val="center"/>
          </w:tcPr>
          <w:p w14:paraId="61D7B8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0.0036</w:t>
            </w:r>
          </w:p>
        </w:tc>
      </w:tr>
      <w:tr w14:paraId="7D21F3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894" w:type="dxa"/>
            <w:tcBorders>
              <w:tl2br w:val="nil"/>
              <w:tr2bl w:val="nil"/>
            </w:tcBorders>
            <w:shd w:val="clear" w:color="auto" w:fill="auto"/>
            <w:noWrap/>
            <w:tcMar>
              <w:top w:w="15" w:type="dxa"/>
              <w:left w:w="15" w:type="dxa"/>
              <w:right w:w="15" w:type="dxa"/>
            </w:tcMar>
            <w:vAlign w:val="center"/>
          </w:tcPr>
          <w:p w14:paraId="65F1C1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15</w:t>
            </w:r>
          </w:p>
        </w:tc>
        <w:tc>
          <w:tcPr>
            <w:tcW w:w="984" w:type="dxa"/>
            <w:tcBorders>
              <w:tl2br w:val="nil"/>
              <w:tr2bl w:val="nil"/>
            </w:tcBorders>
            <w:shd w:val="clear" w:color="auto" w:fill="auto"/>
            <w:noWrap/>
            <w:tcMar>
              <w:top w:w="15" w:type="dxa"/>
              <w:left w:w="15" w:type="dxa"/>
              <w:right w:w="15" w:type="dxa"/>
            </w:tcMar>
            <w:vAlign w:val="center"/>
          </w:tcPr>
          <w:p w14:paraId="024F5E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HR-JJ-1</w:t>
            </w:r>
          </w:p>
        </w:tc>
        <w:tc>
          <w:tcPr>
            <w:tcW w:w="1029" w:type="dxa"/>
            <w:tcBorders>
              <w:tl2br w:val="nil"/>
              <w:tr2bl w:val="nil"/>
            </w:tcBorders>
            <w:shd w:val="clear" w:color="auto" w:fill="auto"/>
            <w:noWrap/>
            <w:tcMar>
              <w:top w:w="15" w:type="dxa"/>
              <w:left w:w="15" w:type="dxa"/>
              <w:right w:w="15" w:type="dxa"/>
            </w:tcMar>
            <w:vAlign w:val="center"/>
          </w:tcPr>
          <w:p w14:paraId="71D33B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0.2694</w:t>
            </w:r>
          </w:p>
        </w:tc>
        <w:tc>
          <w:tcPr>
            <w:tcW w:w="894" w:type="dxa"/>
            <w:tcBorders>
              <w:tl2br w:val="nil"/>
              <w:tr2bl w:val="nil"/>
            </w:tcBorders>
            <w:shd w:val="clear" w:color="auto" w:fill="auto"/>
            <w:noWrap/>
            <w:tcMar>
              <w:top w:w="15" w:type="dxa"/>
              <w:left w:w="15" w:type="dxa"/>
              <w:right w:w="15" w:type="dxa"/>
            </w:tcMar>
            <w:vAlign w:val="center"/>
          </w:tcPr>
          <w:p w14:paraId="3F9972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0.0638</w:t>
            </w:r>
          </w:p>
        </w:tc>
        <w:tc>
          <w:tcPr>
            <w:tcW w:w="894" w:type="dxa"/>
            <w:tcBorders>
              <w:tl2br w:val="nil"/>
              <w:tr2bl w:val="nil"/>
            </w:tcBorders>
            <w:shd w:val="clear" w:color="auto" w:fill="auto"/>
            <w:noWrap/>
            <w:tcMar>
              <w:top w:w="15" w:type="dxa"/>
              <w:left w:w="15" w:type="dxa"/>
              <w:right w:w="15" w:type="dxa"/>
            </w:tcMar>
            <w:vAlign w:val="center"/>
          </w:tcPr>
          <w:p w14:paraId="65E56F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0.0150</w:t>
            </w:r>
          </w:p>
        </w:tc>
        <w:tc>
          <w:tcPr>
            <w:tcW w:w="980" w:type="dxa"/>
            <w:tcBorders>
              <w:tl2br w:val="nil"/>
              <w:tr2bl w:val="nil"/>
            </w:tcBorders>
            <w:shd w:val="clear" w:color="auto" w:fill="auto"/>
            <w:noWrap/>
            <w:tcMar>
              <w:top w:w="15" w:type="dxa"/>
              <w:left w:w="15" w:type="dxa"/>
              <w:right w:w="15" w:type="dxa"/>
            </w:tcMar>
            <w:vAlign w:val="center"/>
          </w:tcPr>
          <w:p w14:paraId="77537A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0.6600</w:t>
            </w:r>
          </w:p>
        </w:tc>
        <w:tc>
          <w:tcPr>
            <w:tcW w:w="1017" w:type="dxa"/>
            <w:tcBorders>
              <w:tl2br w:val="nil"/>
              <w:tr2bl w:val="nil"/>
            </w:tcBorders>
            <w:shd w:val="clear" w:color="auto" w:fill="auto"/>
            <w:noWrap/>
            <w:tcMar>
              <w:top w:w="15" w:type="dxa"/>
              <w:left w:w="15" w:type="dxa"/>
              <w:right w:w="15" w:type="dxa"/>
            </w:tcMar>
            <w:vAlign w:val="center"/>
          </w:tcPr>
          <w:p w14:paraId="1E84F9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0.0045</w:t>
            </w:r>
          </w:p>
        </w:tc>
        <w:tc>
          <w:tcPr>
            <w:tcW w:w="894" w:type="dxa"/>
            <w:tcBorders>
              <w:tl2br w:val="nil"/>
              <w:tr2bl w:val="nil"/>
            </w:tcBorders>
            <w:shd w:val="clear" w:color="auto" w:fill="auto"/>
            <w:noWrap/>
            <w:tcMar>
              <w:top w:w="15" w:type="dxa"/>
              <w:left w:w="15" w:type="dxa"/>
              <w:right w:w="15" w:type="dxa"/>
            </w:tcMar>
            <w:vAlign w:val="center"/>
          </w:tcPr>
          <w:p w14:paraId="08CC7B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0.0125</w:t>
            </w:r>
          </w:p>
        </w:tc>
        <w:tc>
          <w:tcPr>
            <w:tcW w:w="894" w:type="dxa"/>
            <w:tcBorders>
              <w:tl2br w:val="nil"/>
              <w:tr2bl w:val="nil"/>
            </w:tcBorders>
            <w:shd w:val="clear" w:color="auto" w:fill="auto"/>
            <w:noWrap/>
            <w:tcMar>
              <w:top w:w="15" w:type="dxa"/>
              <w:left w:w="15" w:type="dxa"/>
              <w:right w:w="15" w:type="dxa"/>
            </w:tcMar>
            <w:vAlign w:val="center"/>
          </w:tcPr>
          <w:p w14:paraId="231390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0.2800</w:t>
            </w:r>
          </w:p>
        </w:tc>
        <w:tc>
          <w:tcPr>
            <w:tcW w:w="894" w:type="dxa"/>
            <w:tcBorders>
              <w:tl2br w:val="nil"/>
              <w:tr2bl w:val="nil"/>
            </w:tcBorders>
            <w:shd w:val="clear" w:color="auto" w:fill="auto"/>
            <w:noWrap/>
            <w:tcMar>
              <w:top w:w="15" w:type="dxa"/>
              <w:left w:w="15" w:type="dxa"/>
              <w:right w:w="15" w:type="dxa"/>
            </w:tcMar>
            <w:vAlign w:val="center"/>
          </w:tcPr>
          <w:p w14:paraId="43BABD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0.0653</w:t>
            </w:r>
          </w:p>
        </w:tc>
        <w:tc>
          <w:tcPr>
            <w:tcW w:w="919" w:type="dxa"/>
            <w:tcBorders>
              <w:tl2br w:val="nil"/>
              <w:tr2bl w:val="nil"/>
            </w:tcBorders>
            <w:shd w:val="clear" w:color="auto" w:fill="auto"/>
            <w:noWrap/>
            <w:tcMar>
              <w:top w:w="15" w:type="dxa"/>
              <w:left w:w="15" w:type="dxa"/>
              <w:right w:w="15" w:type="dxa"/>
            </w:tcMar>
            <w:vAlign w:val="center"/>
          </w:tcPr>
          <w:p w14:paraId="435535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919" w:type="dxa"/>
            <w:tcBorders>
              <w:tl2br w:val="nil"/>
              <w:tr2bl w:val="nil"/>
            </w:tcBorders>
            <w:shd w:val="clear" w:color="auto" w:fill="auto"/>
            <w:noWrap/>
            <w:tcMar>
              <w:top w:w="15" w:type="dxa"/>
              <w:left w:w="15" w:type="dxa"/>
              <w:right w:w="15" w:type="dxa"/>
            </w:tcMar>
            <w:vAlign w:val="center"/>
          </w:tcPr>
          <w:p w14:paraId="343785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0.5200</w:t>
            </w:r>
          </w:p>
        </w:tc>
        <w:tc>
          <w:tcPr>
            <w:tcW w:w="1104" w:type="dxa"/>
            <w:tcBorders>
              <w:tl2br w:val="nil"/>
              <w:tr2bl w:val="nil"/>
            </w:tcBorders>
            <w:shd w:val="clear" w:color="auto" w:fill="auto"/>
            <w:noWrap/>
            <w:tcMar>
              <w:top w:w="15" w:type="dxa"/>
              <w:left w:w="15" w:type="dxa"/>
              <w:right w:w="15" w:type="dxa"/>
            </w:tcMar>
            <w:vAlign w:val="center"/>
          </w:tcPr>
          <w:p w14:paraId="10507D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0.0005</w:t>
            </w:r>
          </w:p>
        </w:tc>
        <w:tc>
          <w:tcPr>
            <w:tcW w:w="895" w:type="dxa"/>
            <w:tcBorders>
              <w:tl2br w:val="nil"/>
              <w:tr2bl w:val="nil"/>
            </w:tcBorders>
            <w:shd w:val="clear" w:color="auto" w:fill="auto"/>
            <w:noWrap/>
            <w:tcMar>
              <w:top w:w="15" w:type="dxa"/>
              <w:left w:w="15" w:type="dxa"/>
              <w:right w:w="15" w:type="dxa"/>
            </w:tcMar>
            <w:vAlign w:val="center"/>
          </w:tcPr>
          <w:p w14:paraId="6B303D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0.2100</w:t>
            </w:r>
          </w:p>
        </w:tc>
        <w:tc>
          <w:tcPr>
            <w:tcW w:w="1332" w:type="dxa"/>
            <w:tcBorders>
              <w:tl2br w:val="nil"/>
              <w:tr2bl w:val="nil"/>
            </w:tcBorders>
            <w:shd w:val="clear" w:color="auto" w:fill="auto"/>
            <w:noWrap/>
            <w:tcMar>
              <w:top w:w="15" w:type="dxa"/>
              <w:left w:w="15" w:type="dxa"/>
              <w:right w:w="15" w:type="dxa"/>
            </w:tcMar>
            <w:vAlign w:val="center"/>
          </w:tcPr>
          <w:p w14:paraId="5ADFAF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0.0036</w:t>
            </w:r>
          </w:p>
        </w:tc>
      </w:tr>
      <w:tr w14:paraId="54431E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894" w:type="dxa"/>
            <w:tcBorders>
              <w:tl2br w:val="nil"/>
              <w:tr2bl w:val="nil"/>
            </w:tcBorders>
            <w:shd w:val="clear" w:color="auto" w:fill="auto"/>
            <w:noWrap/>
            <w:tcMar>
              <w:top w:w="15" w:type="dxa"/>
              <w:left w:w="15" w:type="dxa"/>
              <w:right w:w="15" w:type="dxa"/>
            </w:tcMar>
            <w:vAlign w:val="center"/>
          </w:tcPr>
          <w:p w14:paraId="12F043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16</w:t>
            </w:r>
          </w:p>
        </w:tc>
        <w:tc>
          <w:tcPr>
            <w:tcW w:w="984" w:type="dxa"/>
            <w:tcBorders>
              <w:tl2br w:val="nil"/>
              <w:tr2bl w:val="nil"/>
            </w:tcBorders>
            <w:shd w:val="clear" w:color="auto" w:fill="auto"/>
            <w:noWrap/>
            <w:tcMar>
              <w:top w:w="15" w:type="dxa"/>
              <w:left w:w="15" w:type="dxa"/>
              <w:right w:w="15" w:type="dxa"/>
            </w:tcMar>
            <w:vAlign w:val="center"/>
          </w:tcPr>
          <w:p w14:paraId="103114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HR-JJ-2</w:t>
            </w:r>
          </w:p>
        </w:tc>
        <w:tc>
          <w:tcPr>
            <w:tcW w:w="1029" w:type="dxa"/>
            <w:tcBorders>
              <w:tl2br w:val="nil"/>
              <w:tr2bl w:val="nil"/>
            </w:tcBorders>
            <w:shd w:val="clear" w:color="auto" w:fill="auto"/>
            <w:noWrap/>
            <w:tcMar>
              <w:top w:w="15" w:type="dxa"/>
              <w:left w:w="15" w:type="dxa"/>
              <w:right w:w="15" w:type="dxa"/>
            </w:tcMar>
            <w:vAlign w:val="center"/>
          </w:tcPr>
          <w:p w14:paraId="0AC071E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0.0462</w:t>
            </w:r>
          </w:p>
        </w:tc>
        <w:tc>
          <w:tcPr>
            <w:tcW w:w="894" w:type="dxa"/>
            <w:tcBorders>
              <w:tl2br w:val="nil"/>
              <w:tr2bl w:val="nil"/>
            </w:tcBorders>
            <w:shd w:val="clear" w:color="auto" w:fill="auto"/>
            <w:noWrap/>
            <w:tcMar>
              <w:top w:w="15" w:type="dxa"/>
              <w:left w:w="15" w:type="dxa"/>
              <w:right w:w="15" w:type="dxa"/>
            </w:tcMar>
            <w:vAlign w:val="center"/>
          </w:tcPr>
          <w:p w14:paraId="072AC6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0.0365</w:t>
            </w:r>
          </w:p>
        </w:tc>
        <w:tc>
          <w:tcPr>
            <w:tcW w:w="894" w:type="dxa"/>
            <w:tcBorders>
              <w:tl2br w:val="nil"/>
              <w:tr2bl w:val="nil"/>
            </w:tcBorders>
            <w:shd w:val="clear" w:color="auto" w:fill="auto"/>
            <w:noWrap/>
            <w:tcMar>
              <w:top w:w="15" w:type="dxa"/>
              <w:left w:w="15" w:type="dxa"/>
              <w:right w:w="15" w:type="dxa"/>
            </w:tcMar>
            <w:vAlign w:val="center"/>
          </w:tcPr>
          <w:p w14:paraId="57E89A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0.0034</w:t>
            </w:r>
          </w:p>
        </w:tc>
        <w:tc>
          <w:tcPr>
            <w:tcW w:w="980" w:type="dxa"/>
            <w:tcBorders>
              <w:tl2br w:val="nil"/>
              <w:tr2bl w:val="nil"/>
            </w:tcBorders>
            <w:shd w:val="clear" w:color="auto" w:fill="auto"/>
            <w:noWrap/>
            <w:tcMar>
              <w:top w:w="15" w:type="dxa"/>
              <w:left w:w="15" w:type="dxa"/>
              <w:right w:w="15" w:type="dxa"/>
            </w:tcMar>
            <w:vAlign w:val="center"/>
          </w:tcPr>
          <w:p w14:paraId="7A8A74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0.1671</w:t>
            </w:r>
          </w:p>
        </w:tc>
        <w:tc>
          <w:tcPr>
            <w:tcW w:w="1017" w:type="dxa"/>
            <w:tcBorders>
              <w:tl2br w:val="nil"/>
              <w:tr2bl w:val="nil"/>
            </w:tcBorders>
            <w:shd w:val="clear" w:color="auto" w:fill="auto"/>
            <w:noWrap/>
            <w:tcMar>
              <w:top w:w="15" w:type="dxa"/>
              <w:left w:w="15" w:type="dxa"/>
              <w:right w:w="15" w:type="dxa"/>
            </w:tcMar>
            <w:vAlign w:val="center"/>
          </w:tcPr>
          <w:p w14:paraId="754765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0.0017</w:t>
            </w:r>
          </w:p>
        </w:tc>
        <w:tc>
          <w:tcPr>
            <w:tcW w:w="894" w:type="dxa"/>
            <w:tcBorders>
              <w:tl2br w:val="nil"/>
              <w:tr2bl w:val="nil"/>
            </w:tcBorders>
            <w:shd w:val="clear" w:color="auto" w:fill="auto"/>
            <w:noWrap/>
            <w:tcMar>
              <w:top w:w="15" w:type="dxa"/>
              <w:left w:w="15" w:type="dxa"/>
              <w:right w:w="15" w:type="dxa"/>
            </w:tcMar>
            <w:vAlign w:val="center"/>
          </w:tcPr>
          <w:p w14:paraId="6E862A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0.0013</w:t>
            </w:r>
          </w:p>
        </w:tc>
        <w:tc>
          <w:tcPr>
            <w:tcW w:w="894" w:type="dxa"/>
            <w:tcBorders>
              <w:tl2br w:val="nil"/>
              <w:tr2bl w:val="nil"/>
            </w:tcBorders>
            <w:shd w:val="clear" w:color="auto" w:fill="auto"/>
            <w:noWrap/>
            <w:tcMar>
              <w:top w:w="15" w:type="dxa"/>
              <w:left w:w="15" w:type="dxa"/>
              <w:right w:w="15" w:type="dxa"/>
            </w:tcMar>
            <w:vAlign w:val="center"/>
          </w:tcPr>
          <w:p w14:paraId="6E6345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0.0467</w:t>
            </w:r>
          </w:p>
        </w:tc>
        <w:tc>
          <w:tcPr>
            <w:tcW w:w="894" w:type="dxa"/>
            <w:tcBorders>
              <w:tl2br w:val="nil"/>
              <w:tr2bl w:val="nil"/>
            </w:tcBorders>
            <w:shd w:val="clear" w:color="auto" w:fill="auto"/>
            <w:noWrap/>
            <w:tcMar>
              <w:top w:w="15" w:type="dxa"/>
              <w:left w:w="15" w:type="dxa"/>
              <w:right w:w="15" w:type="dxa"/>
            </w:tcMar>
            <w:vAlign w:val="center"/>
          </w:tcPr>
          <w:p w14:paraId="52AB4A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0.0282</w:t>
            </w:r>
          </w:p>
        </w:tc>
        <w:tc>
          <w:tcPr>
            <w:tcW w:w="919" w:type="dxa"/>
            <w:tcBorders>
              <w:tl2br w:val="nil"/>
              <w:tr2bl w:val="nil"/>
            </w:tcBorders>
            <w:shd w:val="clear" w:color="auto" w:fill="auto"/>
            <w:noWrap/>
            <w:tcMar>
              <w:top w:w="15" w:type="dxa"/>
              <w:left w:w="15" w:type="dxa"/>
              <w:right w:w="15" w:type="dxa"/>
            </w:tcMar>
            <w:vAlign w:val="center"/>
          </w:tcPr>
          <w:p w14:paraId="47B685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919" w:type="dxa"/>
            <w:tcBorders>
              <w:tl2br w:val="nil"/>
              <w:tr2bl w:val="nil"/>
            </w:tcBorders>
            <w:shd w:val="clear" w:color="auto" w:fill="auto"/>
            <w:noWrap/>
            <w:tcMar>
              <w:top w:w="15" w:type="dxa"/>
              <w:left w:w="15" w:type="dxa"/>
              <w:right w:w="15" w:type="dxa"/>
            </w:tcMar>
            <w:vAlign w:val="center"/>
          </w:tcPr>
          <w:p w14:paraId="39CA32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0.1617</w:t>
            </w:r>
          </w:p>
        </w:tc>
        <w:tc>
          <w:tcPr>
            <w:tcW w:w="1104" w:type="dxa"/>
            <w:tcBorders>
              <w:tl2br w:val="nil"/>
              <w:tr2bl w:val="nil"/>
            </w:tcBorders>
            <w:shd w:val="clear" w:color="auto" w:fill="auto"/>
            <w:noWrap/>
            <w:tcMar>
              <w:top w:w="15" w:type="dxa"/>
              <w:left w:w="15" w:type="dxa"/>
              <w:right w:w="15" w:type="dxa"/>
            </w:tcMar>
            <w:vAlign w:val="center"/>
          </w:tcPr>
          <w:p w14:paraId="427208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0.0004</w:t>
            </w:r>
          </w:p>
        </w:tc>
        <w:tc>
          <w:tcPr>
            <w:tcW w:w="895" w:type="dxa"/>
            <w:tcBorders>
              <w:tl2br w:val="nil"/>
              <w:tr2bl w:val="nil"/>
            </w:tcBorders>
            <w:shd w:val="clear" w:color="auto" w:fill="auto"/>
            <w:noWrap/>
            <w:tcMar>
              <w:top w:w="15" w:type="dxa"/>
              <w:left w:w="15" w:type="dxa"/>
              <w:right w:w="15" w:type="dxa"/>
            </w:tcMar>
            <w:vAlign w:val="center"/>
          </w:tcPr>
          <w:p w14:paraId="05CFA1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0.0218</w:t>
            </w:r>
          </w:p>
        </w:tc>
        <w:tc>
          <w:tcPr>
            <w:tcW w:w="1332" w:type="dxa"/>
            <w:tcBorders>
              <w:tl2br w:val="nil"/>
              <w:tr2bl w:val="nil"/>
            </w:tcBorders>
            <w:shd w:val="clear" w:color="auto" w:fill="auto"/>
            <w:noWrap/>
            <w:tcMar>
              <w:top w:w="15" w:type="dxa"/>
              <w:left w:w="15" w:type="dxa"/>
              <w:right w:w="15" w:type="dxa"/>
            </w:tcMar>
            <w:vAlign w:val="center"/>
          </w:tcPr>
          <w:p w14:paraId="2755AE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0.0007</w:t>
            </w:r>
          </w:p>
        </w:tc>
      </w:tr>
      <w:tr w14:paraId="1F0E8C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894" w:type="dxa"/>
            <w:tcBorders>
              <w:tl2br w:val="nil"/>
              <w:tr2bl w:val="nil"/>
            </w:tcBorders>
            <w:shd w:val="clear" w:color="auto" w:fill="auto"/>
            <w:noWrap/>
            <w:tcMar>
              <w:top w:w="15" w:type="dxa"/>
              <w:left w:w="15" w:type="dxa"/>
              <w:right w:w="15" w:type="dxa"/>
            </w:tcMar>
            <w:vAlign w:val="center"/>
          </w:tcPr>
          <w:p w14:paraId="607FCD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17</w:t>
            </w:r>
          </w:p>
        </w:tc>
        <w:tc>
          <w:tcPr>
            <w:tcW w:w="984" w:type="dxa"/>
            <w:tcBorders>
              <w:tl2br w:val="nil"/>
              <w:tr2bl w:val="nil"/>
            </w:tcBorders>
            <w:shd w:val="clear" w:color="auto" w:fill="auto"/>
            <w:noWrap/>
            <w:tcMar>
              <w:top w:w="15" w:type="dxa"/>
              <w:left w:w="15" w:type="dxa"/>
              <w:right w:w="15" w:type="dxa"/>
            </w:tcMar>
            <w:vAlign w:val="center"/>
          </w:tcPr>
          <w:p w14:paraId="74035E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HR-JJ-3</w:t>
            </w:r>
          </w:p>
        </w:tc>
        <w:tc>
          <w:tcPr>
            <w:tcW w:w="1029" w:type="dxa"/>
            <w:tcBorders>
              <w:tl2br w:val="nil"/>
              <w:tr2bl w:val="nil"/>
            </w:tcBorders>
            <w:shd w:val="clear" w:color="auto" w:fill="auto"/>
            <w:noWrap/>
            <w:tcMar>
              <w:top w:w="15" w:type="dxa"/>
              <w:left w:w="15" w:type="dxa"/>
              <w:right w:w="15" w:type="dxa"/>
            </w:tcMar>
            <w:vAlign w:val="center"/>
          </w:tcPr>
          <w:p w14:paraId="201C4D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0.0554</w:t>
            </w:r>
          </w:p>
        </w:tc>
        <w:tc>
          <w:tcPr>
            <w:tcW w:w="894" w:type="dxa"/>
            <w:tcBorders>
              <w:tl2br w:val="nil"/>
              <w:tr2bl w:val="nil"/>
            </w:tcBorders>
            <w:shd w:val="clear" w:color="auto" w:fill="auto"/>
            <w:noWrap/>
            <w:tcMar>
              <w:top w:w="15" w:type="dxa"/>
              <w:left w:w="15" w:type="dxa"/>
              <w:right w:w="15" w:type="dxa"/>
            </w:tcMar>
            <w:vAlign w:val="center"/>
          </w:tcPr>
          <w:p w14:paraId="0509A9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0.0244</w:t>
            </w:r>
          </w:p>
        </w:tc>
        <w:tc>
          <w:tcPr>
            <w:tcW w:w="894" w:type="dxa"/>
            <w:tcBorders>
              <w:tl2br w:val="nil"/>
              <w:tr2bl w:val="nil"/>
            </w:tcBorders>
            <w:shd w:val="clear" w:color="auto" w:fill="auto"/>
            <w:noWrap/>
            <w:tcMar>
              <w:top w:w="15" w:type="dxa"/>
              <w:left w:w="15" w:type="dxa"/>
              <w:right w:w="15" w:type="dxa"/>
            </w:tcMar>
            <w:vAlign w:val="center"/>
          </w:tcPr>
          <w:p w14:paraId="5FED5C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0.0029</w:t>
            </w:r>
          </w:p>
        </w:tc>
        <w:tc>
          <w:tcPr>
            <w:tcW w:w="980" w:type="dxa"/>
            <w:tcBorders>
              <w:tl2br w:val="nil"/>
              <w:tr2bl w:val="nil"/>
            </w:tcBorders>
            <w:shd w:val="clear" w:color="auto" w:fill="auto"/>
            <w:noWrap/>
            <w:tcMar>
              <w:top w:w="15" w:type="dxa"/>
              <w:left w:w="15" w:type="dxa"/>
              <w:right w:w="15" w:type="dxa"/>
            </w:tcMar>
            <w:vAlign w:val="center"/>
          </w:tcPr>
          <w:p w14:paraId="163935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0.1156</w:t>
            </w:r>
          </w:p>
        </w:tc>
        <w:tc>
          <w:tcPr>
            <w:tcW w:w="1017" w:type="dxa"/>
            <w:tcBorders>
              <w:tl2br w:val="nil"/>
              <w:tr2bl w:val="nil"/>
            </w:tcBorders>
            <w:shd w:val="clear" w:color="auto" w:fill="auto"/>
            <w:noWrap/>
            <w:tcMar>
              <w:top w:w="15" w:type="dxa"/>
              <w:left w:w="15" w:type="dxa"/>
              <w:right w:w="15" w:type="dxa"/>
            </w:tcMar>
            <w:vAlign w:val="center"/>
          </w:tcPr>
          <w:p w14:paraId="4F4030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0.0003</w:t>
            </w:r>
          </w:p>
        </w:tc>
        <w:tc>
          <w:tcPr>
            <w:tcW w:w="894" w:type="dxa"/>
            <w:tcBorders>
              <w:tl2br w:val="nil"/>
              <w:tr2bl w:val="nil"/>
            </w:tcBorders>
            <w:shd w:val="clear" w:color="auto" w:fill="auto"/>
            <w:noWrap/>
            <w:tcMar>
              <w:top w:w="15" w:type="dxa"/>
              <w:left w:w="15" w:type="dxa"/>
              <w:right w:w="15" w:type="dxa"/>
            </w:tcMar>
            <w:vAlign w:val="center"/>
          </w:tcPr>
          <w:p w14:paraId="0E7C96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0.0014</w:t>
            </w:r>
          </w:p>
        </w:tc>
        <w:tc>
          <w:tcPr>
            <w:tcW w:w="894" w:type="dxa"/>
            <w:tcBorders>
              <w:tl2br w:val="nil"/>
              <w:tr2bl w:val="nil"/>
            </w:tcBorders>
            <w:shd w:val="clear" w:color="auto" w:fill="auto"/>
            <w:noWrap/>
            <w:tcMar>
              <w:top w:w="15" w:type="dxa"/>
              <w:left w:w="15" w:type="dxa"/>
              <w:right w:w="15" w:type="dxa"/>
            </w:tcMar>
            <w:vAlign w:val="center"/>
          </w:tcPr>
          <w:p w14:paraId="72CDDB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0.0356</w:t>
            </w:r>
          </w:p>
        </w:tc>
        <w:tc>
          <w:tcPr>
            <w:tcW w:w="894" w:type="dxa"/>
            <w:tcBorders>
              <w:tl2br w:val="nil"/>
              <w:tr2bl w:val="nil"/>
            </w:tcBorders>
            <w:shd w:val="clear" w:color="auto" w:fill="auto"/>
            <w:noWrap/>
            <w:tcMar>
              <w:top w:w="15" w:type="dxa"/>
              <w:left w:w="15" w:type="dxa"/>
              <w:right w:w="15" w:type="dxa"/>
            </w:tcMar>
            <w:vAlign w:val="center"/>
          </w:tcPr>
          <w:p w14:paraId="345C6A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0.0151</w:t>
            </w:r>
          </w:p>
        </w:tc>
        <w:tc>
          <w:tcPr>
            <w:tcW w:w="919" w:type="dxa"/>
            <w:tcBorders>
              <w:tl2br w:val="nil"/>
              <w:tr2bl w:val="nil"/>
            </w:tcBorders>
            <w:shd w:val="clear" w:color="auto" w:fill="auto"/>
            <w:noWrap/>
            <w:tcMar>
              <w:top w:w="15" w:type="dxa"/>
              <w:left w:w="15" w:type="dxa"/>
              <w:right w:w="15" w:type="dxa"/>
            </w:tcMar>
            <w:vAlign w:val="center"/>
          </w:tcPr>
          <w:p w14:paraId="572293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919" w:type="dxa"/>
            <w:tcBorders>
              <w:tl2br w:val="nil"/>
              <w:tr2bl w:val="nil"/>
            </w:tcBorders>
            <w:shd w:val="clear" w:color="auto" w:fill="auto"/>
            <w:noWrap/>
            <w:tcMar>
              <w:top w:w="15" w:type="dxa"/>
              <w:left w:w="15" w:type="dxa"/>
              <w:right w:w="15" w:type="dxa"/>
            </w:tcMar>
            <w:vAlign w:val="center"/>
          </w:tcPr>
          <w:p w14:paraId="1353FB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0.1467</w:t>
            </w:r>
          </w:p>
        </w:tc>
        <w:tc>
          <w:tcPr>
            <w:tcW w:w="1104" w:type="dxa"/>
            <w:tcBorders>
              <w:tl2br w:val="nil"/>
              <w:tr2bl w:val="nil"/>
            </w:tcBorders>
            <w:shd w:val="clear" w:color="auto" w:fill="auto"/>
            <w:noWrap/>
            <w:tcMar>
              <w:top w:w="15" w:type="dxa"/>
              <w:left w:w="15" w:type="dxa"/>
              <w:right w:w="15" w:type="dxa"/>
            </w:tcMar>
            <w:vAlign w:val="center"/>
          </w:tcPr>
          <w:p w14:paraId="46CA7D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895" w:type="dxa"/>
            <w:tcBorders>
              <w:tl2br w:val="nil"/>
              <w:tr2bl w:val="nil"/>
            </w:tcBorders>
            <w:shd w:val="clear" w:color="auto" w:fill="auto"/>
            <w:noWrap/>
            <w:tcMar>
              <w:top w:w="15" w:type="dxa"/>
              <w:left w:w="15" w:type="dxa"/>
              <w:right w:w="15" w:type="dxa"/>
            </w:tcMar>
            <w:vAlign w:val="center"/>
          </w:tcPr>
          <w:p w14:paraId="72D8605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332" w:type="dxa"/>
            <w:tcBorders>
              <w:tl2br w:val="nil"/>
              <w:tr2bl w:val="nil"/>
            </w:tcBorders>
            <w:shd w:val="clear" w:color="auto" w:fill="auto"/>
            <w:noWrap/>
            <w:tcMar>
              <w:top w:w="15" w:type="dxa"/>
              <w:left w:w="15" w:type="dxa"/>
              <w:right w:w="15" w:type="dxa"/>
            </w:tcMar>
            <w:vAlign w:val="center"/>
          </w:tcPr>
          <w:p w14:paraId="789F87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0.0007</w:t>
            </w:r>
          </w:p>
        </w:tc>
      </w:tr>
      <w:tr w14:paraId="472E97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894" w:type="dxa"/>
            <w:tcBorders>
              <w:tl2br w:val="nil"/>
              <w:tr2bl w:val="nil"/>
            </w:tcBorders>
            <w:shd w:val="clear" w:color="auto" w:fill="auto"/>
            <w:noWrap/>
            <w:tcMar>
              <w:top w:w="15" w:type="dxa"/>
              <w:left w:w="15" w:type="dxa"/>
              <w:right w:w="15" w:type="dxa"/>
            </w:tcMar>
            <w:vAlign w:val="center"/>
          </w:tcPr>
          <w:p w14:paraId="5AB8BF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18</w:t>
            </w:r>
          </w:p>
        </w:tc>
        <w:tc>
          <w:tcPr>
            <w:tcW w:w="984" w:type="dxa"/>
            <w:tcBorders>
              <w:tl2br w:val="nil"/>
              <w:tr2bl w:val="nil"/>
            </w:tcBorders>
            <w:shd w:val="clear" w:color="auto" w:fill="auto"/>
            <w:noWrap/>
            <w:tcMar>
              <w:top w:w="15" w:type="dxa"/>
              <w:left w:w="15" w:type="dxa"/>
              <w:right w:w="15" w:type="dxa"/>
            </w:tcMar>
            <w:vAlign w:val="center"/>
          </w:tcPr>
          <w:p w14:paraId="592065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HR-JJ-4</w:t>
            </w:r>
          </w:p>
        </w:tc>
        <w:tc>
          <w:tcPr>
            <w:tcW w:w="1029" w:type="dxa"/>
            <w:tcBorders>
              <w:tl2br w:val="nil"/>
              <w:tr2bl w:val="nil"/>
            </w:tcBorders>
            <w:shd w:val="clear" w:color="auto" w:fill="auto"/>
            <w:noWrap/>
            <w:tcMar>
              <w:top w:w="15" w:type="dxa"/>
              <w:left w:w="15" w:type="dxa"/>
              <w:right w:w="15" w:type="dxa"/>
            </w:tcMar>
            <w:vAlign w:val="center"/>
          </w:tcPr>
          <w:p w14:paraId="1AC176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0.0670</w:t>
            </w:r>
          </w:p>
        </w:tc>
        <w:tc>
          <w:tcPr>
            <w:tcW w:w="894" w:type="dxa"/>
            <w:tcBorders>
              <w:tl2br w:val="nil"/>
              <w:tr2bl w:val="nil"/>
            </w:tcBorders>
            <w:shd w:val="clear" w:color="auto" w:fill="auto"/>
            <w:noWrap/>
            <w:tcMar>
              <w:top w:w="15" w:type="dxa"/>
              <w:left w:w="15" w:type="dxa"/>
              <w:right w:w="15" w:type="dxa"/>
            </w:tcMar>
            <w:vAlign w:val="center"/>
          </w:tcPr>
          <w:p w14:paraId="347963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0.0231</w:t>
            </w:r>
          </w:p>
        </w:tc>
        <w:tc>
          <w:tcPr>
            <w:tcW w:w="894" w:type="dxa"/>
            <w:tcBorders>
              <w:tl2br w:val="nil"/>
              <w:tr2bl w:val="nil"/>
            </w:tcBorders>
            <w:shd w:val="clear" w:color="auto" w:fill="auto"/>
            <w:noWrap/>
            <w:tcMar>
              <w:top w:w="15" w:type="dxa"/>
              <w:left w:w="15" w:type="dxa"/>
              <w:right w:w="15" w:type="dxa"/>
            </w:tcMar>
            <w:vAlign w:val="center"/>
          </w:tcPr>
          <w:p w14:paraId="2AC488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0.0029</w:t>
            </w:r>
          </w:p>
        </w:tc>
        <w:tc>
          <w:tcPr>
            <w:tcW w:w="980" w:type="dxa"/>
            <w:tcBorders>
              <w:tl2br w:val="nil"/>
              <w:tr2bl w:val="nil"/>
            </w:tcBorders>
            <w:shd w:val="clear" w:color="auto" w:fill="auto"/>
            <w:noWrap/>
            <w:tcMar>
              <w:top w:w="15" w:type="dxa"/>
              <w:left w:w="15" w:type="dxa"/>
              <w:right w:w="15" w:type="dxa"/>
            </w:tcMar>
            <w:vAlign w:val="center"/>
          </w:tcPr>
          <w:p w14:paraId="259E9E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0.1543</w:t>
            </w:r>
          </w:p>
        </w:tc>
        <w:tc>
          <w:tcPr>
            <w:tcW w:w="1017" w:type="dxa"/>
            <w:tcBorders>
              <w:tl2br w:val="nil"/>
              <w:tr2bl w:val="nil"/>
            </w:tcBorders>
            <w:shd w:val="clear" w:color="auto" w:fill="auto"/>
            <w:noWrap/>
            <w:tcMar>
              <w:top w:w="15" w:type="dxa"/>
              <w:left w:w="15" w:type="dxa"/>
              <w:right w:w="15" w:type="dxa"/>
            </w:tcMar>
            <w:vAlign w:val="center"/>
          </w:tcPr>
          <w:p w14:paraId="0671D7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0.0003</w:t>
            </w:r>
          </w:p>
        </w:tc>
        <w:tc>
          <w:tcPr>
            <w:tcW w:w="894" w:type="dxa"/>
            <w:tcBorders>
              <w:tl2br w:val="nil"/>
              <w:tr2bl w:val="nil"/>
            </w:tcBorders>
            <w:shd w:val="clear" w:color="auto" w:fill="auto"/>
            <w:noWrap/>
            <w:tcMar>
              <w:top w:w="15" w:type="dxa"/>
              <w:left w:w="15" w:type="dxa"/>
              <w:right w:w="15" w:type="dxa"/>
            </w:tcMar>
            <w:vAlign w:val="center"/>
          </w:tcPr>
          <w:p w14:paraId="3B6A4E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0.0017</w:t>
            </w:r>
          </w:p>
        </w:tc>
        <w:tc>
          <w:tcPr>
            <w:tcW w:w="894" w:type="dxa"/>
            <w:tcBorders>
              <w:tl2br w:val="nil"/>
              <w:tr2bl w:val="nil"/>
            </w:tcBorders>
            <w:shd w:val="clear" w:color="auto" w:fill="auto"/>
            <w:noWrap/>
            <w:tcMar>
              <w:top w:w="15" w:type="dxa"/>
              <w:left w:w="15" w:type="dxa"/>
              <w:right w:w="15" w:type="dxa"/>
            </w:tcMar>
            <w:vAlign w:val="center"/>
          </w:tcPr>
          <w:p w14:paraId="600ED3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0.0344</w:t>
            </w:r>
          </w:p>
        </w:tc>
        <w:tc>
          <w:tcPr>
            <w:tcW w:w="894" w:type="dxa"/>
            <w:tcBorders>
              <w:tl2br w:val="nil"/>
              <w:tr2bl w:val="nil"/>
            </w:tcBorders>
            <w:shd w:val="clear" w:color="auto" w:fill="auto"/>
            <w:noWrap/>
            <w:tcMar>
              <w:top w:w="15" w:type="dxa"/>
              <w:left w:w="15" w:type="dxa"/>
              <w:right w:w="15" w:type="dxa"/>
            </w:tcMar>
            <w:vAlign w:val="center"/>
          </w:tcPr>
          <w:p w14:paraId="229F21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0.0199</w:t>
            </w:r>
          </w:p>
        </w:tc>
        <w:tc>
          <w:tcPr>
            <w:tcW w:w="919" w:type="dxa"/>
            <w:tcBorders>
              <w:tl2br w:val="nil"/>
              <w:tr2bl w:val="nil"/>
            </w:tcBorders>
            <w:shd w:val="clear" w:color="auto" w:fill="auto"/>
            <w:noWrap/>
            <w:tcMar>
              <w:top w:w="15" w:type="dxa"/>
              <w:left w:w="15" w:type="dxa"/>
              <w:right w:w="15" w:type="dxa"/>
            </w:tcMar>
            <w:vAlign w:val="center"/>
          </w:tcPr>
          <w:p w14:paraId="07A992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919" w:type="dxa"/>
            <w:tcBorders>
              <w:tl2br w:val="nil"/>
              <w:tr2bl w:val="nil"/>
            </w:tcBorders>
            <w:shd w:val="clear" w:color="auto" w:fill="auto"/>
            <w:noWrap/>
            <w:tcMar>
              <w:top w:w="15" w:type="dxa"/>
              <w:left w:w="15" w:type="dxa"/>
              <w:right w:w="15" w:type="dxa"/>
            </w:tcMar>
            <w:vAlign w:val="center"/>
          </w:tcPr>
          <w:p w14:paraId="4C3784D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0.1500</w:t>
            </w:r>
          </w:p>
        </w:tc>
        <w:tc>
          <w:tcPr>
            <w:tcW w:w="1104" w:type="dxa"/>
            <w:tcBorders>
              <w:tl2br w:val="nil"/>
              <w:tr2bl w:val="nil"/>
            </w:tcBorders>
            <w:shd w:val="clear" w:color="auto" w:fill="auto"/>
            <w:noWrap/>
            <w:tcMar>
              <w:top w:w="15" w:type="dxa"/>
              <w:left w:w="15" w:type="dxa"/>
              <w:right w:w="15" w:type="dxa"/>
            </w:tcMar>
            <w:vAlign w:val="center"/>
          </w:tcPr>
          <w:p w14:paraId="02E8E9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0.0009</w:t>
            </w:r>
          </w:p>
        </w:tc>
        <w:tc>
          <w:tcPr>
            <w:tcW w:w="895" w:type="dxa"/>
            <w:tcBorders>
              <w:tl2br w:val="nil"/>
              <w:tr2bl w:val="nil"/>
            </w:tcBorders>
            <w:shd w:val="clear" w:color="auto" w:fill="auto"/>
            <w:noWrap/>
            <w:tcMar>
              <w:top w:w="15" w:type="dxa"/>
              <w:left w:w="15" w:type="dxa"/>
              <w:right w:w="15" w:type="dxa"/>
            </w:tcMar>
            <w:vAlign w:val="center"/>
          </w:tcPr>
          <w:p w14:paraId="236060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332" w:type="dxa"/>
            <w:tcBorders>
              <w:tl2br w:val="nil"/>
              <w:tr2bl w:val="nil"/>
            </w:tcBorders>
            <w:shd w:val="clear" w:color="auto" w:fill="auto"/>
            <w:noWrap/>
            <w:tcMar>
              <w:top w:w="15" w:type="dxa"/>
              <w:left w:w="15" w:type="dxa"/>
              <w:right w:w="15" w:type="dxa"/>
            </w:tcMar>
            <w:vAlign w:val="center"/>
          </w:tcPr>
          <w:p w14:paraId="1EEB8E7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0.0033</w:t>
            </w:r>
          </w:p>
        </w:tc>
      </w:tr>
      <w:tr w14:paraId="7698E2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894" w:type="dxa"/>
            <w:tcBorders>
              <w:tl2br w:val="nil"/>
              <w:tr2bl w:val="nil"/>
            </w:tcBorders>
            <w:shd w:val="clear" w:color="auto" w:fill="auto"/>
            <w:noWrap/>
            <w:tcMar>
              <w:top w:w="15" w:type="dxa"/>
              <w:left w:w="15" w:type="dxa"/>
              <w:right w:w="15" w:type="dxa"/>
            </w:tcMar>
            <w:vAlign w:val="center"/>
          </w:tcPr>
          <w:p w14:paraId="12235C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19</w:t>
            </w:r>
          </w:p>
        </w:tc>
        <w:tc>
          <w:tcPr>
            <w:tcW w:w="984" w:type="dxa"/>
            <w:tcBorders>
              <w:tl2br w:val="nil"/>
              <w:tr2bl w:val="nil"/>
            </w:tcBorders>
            <w:shd w:val="clear" w:color="auto" w:fill="auto"/>
            <w:noWrap/>
            <w:tcMar>
              <w:top w:w="15" w:type="dxa"/>
              <w:left w:w="15" w:type="dxa"/>
              <w:right w:w="15" w:type="dxa"/>
            </w:tcMar>
            <w:vAlign w:val="center"/>
          </w:tcPr>
          <w:p w14:paraId="7F7517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HR-JJ-5</w:t>
            </w:r>
          </w:p>
        </w:tc>
        <w:tc>
          <w:tcPr>
            <w:tcW w:w="1029" w:type="dxa"/>
            <w:tcBorders>
              <w:tl2br w:val="nil"/>
              <w:tr2bl w:val="nil"/>
            </w:tcBorders>
            <w:shd w:val="clear" w:color="auto" w:fill="auto"/>
            <w:noWrap/>
            <w:tcMar>
              <w:top w:w="15" w:type="dxa"/>
              <w:left w:w="15" w:type="dxa"/>
              <w:right w:w="15" w:type="dxa"/>
            </w:tcMar>
            <w:vAlign w:val="center"/>
          </w:tcPr>
          <w:p w14:paraId="11B3C2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0.3536</w:t>
            </w:r>
          </w:p>
        </w:tc>
        <w:tc>
          <w:tcPr>
            <w:tcW w:w="894" w:type="dxa"/>
            <w:tcBorders>
              <w:tl2br w:val="nil"/>
              <w:tr2bl w:val="nil"/>
            </w:tcBorders>
            <w:shd w:val="clear" w:color="auto" w:fill="auto"/>
            <w:noWrap/>
            <w:tcMar>
              <w:top w:w="15" w:type="dxa"/>
              <w:left w:w="15" w:type="dxa"/>
              <w:right w:w="15" w:type="dxa"/>
            </w:tcMar>
            <w:vAlign w:val="center"/>
          </w:tcPr>
          <w:p w14:paraId="4E2C9A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0.0415</w:t>
            </w:r>
          </w:p>
        </w:tc>
        <w:tc>
          <w:tcPr>
            <w:tcW w:w="894" w:type="dxa"/>
            <w:tcBorders>
              <w:tl2br w:val="nil"/>
              <w:tr2bl w:val="nil"/>
            </w:tcBorders>
            <w:shd w:val="clear" w:color="auto" w:fill="auto"/>
            <w:noWrap/>
            <w:tcMar>
              <w:top w:w="15" w:type="dxa"/>
              <w:left w:w="15" w:type="dxa"/>
              <w:right w:w="15" w:type="dxa"/>
            </w:tcMar>
            <w:vAlign w:val="center"/>
          </w:tcPr>
          <w:p w14:paraId="616AB0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0.0138</w:t>
            </w:r>
          </w:p>
        </w:tc>
        <w:tc>
          <w:tcPr>
            <w:tcW w:w="980" w:type="dxa"/>
            <w:tcBorders>
              <w:tl2br w:val="nil"/>
              <w:tr2bl w:val="nil"/>
            </w:tcBorders>
            <w:shd w:val="clear" w:color="auto" w:fill="auto"/>
            <w:noWrap/>
            <w:tcMar>
              <w:top w:w="15" w:type="dxa"/>
              <w:left w:w="15" w:type="dxa"/>
              <w:right w:w="15" w:type="dxa"/>
            </w:tcMar>
            <w:vAlign w:val="center"/>
          </w:tcPr>
          <w:p w14:paraId="06C54D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0.5450</w:t>
            </w:r>
          </w:p>
        </w:tc>
        <w:tc>
          <w:tcPr>
            <w:tcW w:w="1017" w:type="dxa"/>
            <w:tcBorders>
              <w:tl2br w:val="nil"/>
              <w:tr2bl w:val="nil"/>
            </w:tcBorders>
            <w:shd w:val="clear" w:color="auto" w:fill="auto"/>
            <w:noWrap/>
            <w:tcMar>
              <w:top w:w="15" w:type="dxa"/>
              <w:left w:w="15" w:type="dxa"/>
              <w:right w:w="15" w:type="dxa"/>
            </w:tcMar>
            <w:vAlign w:val="center"/>
          </w:tcPr>
          <w:p w14:paraId="489113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0.0003</w:t>
            </w:r>
          </w:p>
        </w:tc>
        <w:tc>
          <w:tcPr>
            <w:tcW w:w="894" w:type="dxa"/>
            <w:tcBorders>
              <w:tl2br w:val="nil"/>
              <w:tr2bl w:val="nil"/>
            </w:tcBorders>
            <w:shd w:val="clear" w:color="auto" w:fill="auto"/>
            <w:noWrap/>
            <w:tcMar>
              <w:top w:w="15" w:type="dxa"/>
              <w:left w:w="15" w:type="dxa"/>
              <w:right w:w="15" w:type="dxa"/>
            </w:tcMar>
            <w:vAlign w:val="center"/>
          </w:tcPr>
          <w:p w14:paraId="6C531B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0.0125</w:t>
            </w:r>
          </w:p>
        </w:tc>
        <w:tc>
          <w:tcPr>
            <w:tcW w:w="894" w:type="dxa"/>
            <w:tcBorders>
              <w:tl2br w:val="nil"/>
              <w:tr2bl w:val="nil"/>
            </w:tcBorders>
            <w:shd w:val="clear" w:color="auto" w:fill="auto"/>
            <w:noWrap/>
            <w:tcMar>
              <w:top w:w="15" w:type="dxa"/>
              <w:left w:w="15" w:type="dxa"/>
              <w:right w:w="15" w:type="dxa"/>
            </w:tcMar>
            <w:vAlign w:val="center"/>
          </w:tcPr>
          <w:p w14:paraId="145FDF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0.2133</w:t>
            </w:r>
          </w:p>
        </w:tc>
        <w:tc>
          <w:tcPr>
            <w:tcW w:w="894" w:type="dxa"/>
            <w:tcBorders>
              <w:tl2br w:val="nil"/>
              <w:tr2bl w:val="nil"/>
            </w:tcBorders>
            <w:shd w:val="clear" w:color="auto" w:fill="auto"/>
            <w:noWrap/>
            <w:tcMar>
              <w:top w:w="15" w:type="dxa"/>
              <w:left w:w="15" w:type="dxa"/>
              <w:right w:w="15" w:type="dxa"/>
            </w:tcMar>
            <w:vAlign w:val="center"/>
          </w:tcPr>
          <w:p w14:paraId="7DA1DC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0.0463</w:t>
            </w:r>
          </w:p>
        </w:tc>
        <w:tc>
          <w:tcPr>
            <w:tcW w:w="919" w:type="dxa"/>
            <w:tcBorders>
              <w:tl2br w:val="nil"/>
              <w:tr2bl w:val="nil"/>
            </w:tcBorders>
            <w:shd w:val="clear" w:color="auto" w:fill="auto"/>
            <w:noWrap/>
            <w:tcMar>
              <w:top w:w="15" w:type="dxa"/>
              <w:left w:w="15" w:type="dxa"/>
              <w:right w:w="15" w:type="dxa"/>
            </w:tcMar>
            <w:vAlign w:val="center"/>
          </w:tcPr>
          <w:p w14:paraId="5AA37B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919" w:type="dxa"/>
            <w:tcBorders>
              <w:tl2br w:val="nil"/>
              <w:tr2bl w:val="nil"/>
            </w:tcBorders>
            <w:shd w:val="clear" w:color="auto" w:fill="auto"/>
            <w:noWrap/>
            <w:tcMar>
              <w:top w:w="15" w:type="dxa"/>
              <w:left w:w="15" w:type="dxa"/>
              <w:right w:w="15" w:type="dxa"/>
            </w:tcMar>
            <w:vAlign w:val="center"/>
          </w:tcPr>
          <w:p w14:paraId="70B797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0.5250</w:t>
            </w:r>
          </w:p>
        </w:tc>
        <w:tc>
          <w:tcPr>
            <w:tcW w:w="1104" w:type="dxa"/>
            <w:tcBorders>
              <w:tl2br w:val="nil"/>
              <w:tr2bl w:val="nil"/>
            </w:tcBorders>
            <w:shd w:val="clear" w:color="auto" w:fill="auto"/>
            <w:noWrap/>
            <w:tcMar>
              <w:top w:w="15" w:type="dxa"/>
              <w:left w:w="15" w:type="dxa"/>
              <w:right w:w="15" w:type="dxa"/>
            </w:tcMar>
            <w:vAlign w:val="center"/>
          </w:tcPr>
          <w:p w14:paraId="738AA1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895" w:type="dxa"/>
            <w:tcBorders>
              <w:tl2br w:val="nil"/>
              <w:tr2bl w:val="nil"/>
            </w:tcBorders>
            <w:shd w:val="clear" w:color="auto" w:fill="auto"/>
            <w:noWrap/>
            <w:tcMar>
              <w:top w:w="15" w:type="dxa"/>
              <w:left w:w="15" w:type="dxa"/>
              <w:right w:w="15" w:type="dxa"/>
            </w:tcMar>
            <w:vAlign w:val="center"/>
          </w:tcPr>
          <w:p w14:paraId="42B4C3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332" w:type="dxa"/>
            <w:tcBorders>
              <w:tl2br w:val="nil"/>
              <w:tr2bl w:val="nil"/>
            </w:tcBorders>
            <w:shd w:val="clear" w:color="auto" w:fill="auto"/>
            <w:noWrap/>
            <w:tcMar>
              <w:top w:w="15" w:type="dxa"/>
              <w:left w:w="15" w:type="dxa"/>
              <w:right w:w="15" w:type="dxa"/>
            </w:tcMar>
            <w:vAlign w:val="center"/>
          </w:tcPr>
          <w:p w14:paraId="08459C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0.0036</w:t>
            </w:r>
          </w:p>
        </w:tc>
      </w:tr>
      <w:tr w14:paraId="5B7E34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894" w:type="dxa"/>
            <w:tcBorders>
              <w:tl2br w:val="nil"/>
              <w:tr2bl w:val="nil"/>
            </w:tcBorders>
            <w:shd w:val="clear" w:color="auto" w:fill="auto"/>
            <w:noWrap/>
            <w:tcMar>
              <w:top w:w="15" w:type="dxa"/>
              <w:left w:w="15" w:type="dxa"/>
              <w:right w:w="15" w:type="dxa"/>
            </w:tcMar>
            <w:vAlign w:val="center"/>
          </w:tcPr>
          <w:p w14:paraId="289265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20</w:t>
            </w:r>
          </w:p>
        </w:tc>
        <w:tc>
          <w:tcPr>
            <w:tcW w:w="984" w:type="dxa"/>
            <w:tcBorders>
              <w:tl2br w:val="nil"/>
              <w:tr2bl w:val="nil"/>
            </w:tcBorders>
            <w:shd w:val="clear" w:color="auto" w:fill="auto"/>
            <w:noWrap/>
            <w:tcMar>
              <w:top w:w="15" w:type="dxa"/>
              <w:left w:w="15" w:type="dxa"/>
              <w:right w:w="15" w:type="dxa"/>
            </w:tcMar>
            <w:vAlign w:val="center"/>
          </w:tcPr>
          <w:p w14:paraId="079CD6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HR-JJ-6</w:t>
            </w:r>
          </w:p>
        </w:tc>
        <w:tc>
          <w:tcPr>
            <w:tcW w:w="1029" w:type="dxa"/>
            <w:tcBorders>
              <w:tl2br w:val="nil"/>
              <w:tr2bl w:val="nil"/>
            </w:tcBorders>
            <w:shd w:val="clear" w:color="auto" w:fill="auto"/>
            <w:noWrap/>
            <w:tcMar>
              <w:top w:w="15" w:type="dxa"/>
              <w:left w:w="15" w:type="dxa"/>
              <w:right w:w="15" w:type="dxa"/>
            </w:tcMar>
            <w:vAlign w:val="center"/>
          </w:tcPr>
          <w:p w14:paraId="30F5B5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0.3383</w:t>
            </w:r>
          </w:p>
        </w:tc>
        <w:tc>
          <w:tcPr>
            <w:tcW w:w="894" w:type="dxa"/>
            <w:tcBorders>
              <w:tl2br w:val="nil"/>
              <w:tr2bl w:val="nil"/>
            </w:tcBorders>
            <w:shd w:val="clear" w:color="auto" w:fill="auto"/>
            <w:noWrap/>
            <w:tcMar>
              <w:top w:w="15" w:type="dxa"/>
              <w:left w:w="15" w:type="dxa"/>
              <w:right w:w="15" w:type="dxa"/>
            </w:tcMar>
            <w:vAlign w:val="center"/>
          </w:tcPr>
          <w:p w14:paraId="371281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0.0480</w:t>
            </w:r>
          </w:p>
        </w:tc>
        <w:tc>
          <w:tcPr>
            <w:tcW w:w="894" w:type="dxa"/>
            <w:tcBorders>
              <w:tl2br w:val="nil"/>
              <w:tr2bl w:val="nil"/>
            </w:tcBorders>
            <w:shd w:val="clear" w:color="auto" w:fill="auto"/>
            <w:noWrap/>
            <w:tcMar>
              <w:top w:w="15" w:type="dxa"/>
              <w:left w:w="15" w:type="dxa"/>
              <w:right w:w="15" w:type="dxa"/>
            </w:tcMar>
            <w:vAlign w:val="center"/>
          </w:tcPr>
          <w:p w14:paraId="158798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0.0113</w:t>
            </w:r>
          </w:p>
        </w:tc>
        <w:tc>
          <w:tcPr>
            <w:tcW w:w="980" w:type="dxa"/>
            <w:tcBorders>
              <w:tl2br w:val="nil"/>
              <w:tr2bl w:val="nil"/>
            </w:tcBorders>
            <w:shd w:val="clear" w:color="auto" w:fill="auto"/>
            <w:noWrap/>
            <w:tcMar>
              <w:top w:w="15" w:type="dxa"/>
              <w:left w:w="15" w:type="dxa"/>
              <w:right w:w="15" w:type="dxa"/>
            </w:tcMar>
            <w:vAlign w:val="center"/>
          </w:tcPr>
          <w:p w14:paraId="67CE1E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0.6650</w:t>
            </w:r>
          </w:p>
        </w:tc>
        <w:tc>
          <w:tcPr>
            <w:tcW w:w="1017" w:type="dxa"/>
            <w:tcBorders>
              <w:tl2br w:val="nil"/>
              <w:tr2bl w:val="nil"/>
            </w:tcBorders>
            <w:shd w:val="clear" w:color="auto" w:fill="auto"/>
            <w:noWrap/>
            <w:tcMar>
              <w:top w:w="15" w:type="dxa"/>
              <w:left w:w="15" w:type="dxa"/>
              <w:right w:w="15" w:type="dxa"/>
            </w:tcMar>
            <w:vAlign w:val="center"/>
          </w:tcPr>
          <w:p w14:paraId="1AC904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0.0003</w:t>
            </w:r>
          </w:p>
        </w:tc>
        <w:tc>
          <w:tcPr>
            <w:tcW w:w="894" w:type="dxa"/>
            <w:tcBorders>
              <w:tl2br w:val="nil"/>
              <w:tr2bl w:val="nil"/>
            </w:tcBorders>
            <w:shd w:val="clear" w:color="auto" w:fill="auto"/>
            <w:noWrap/>
            <w:tcMar>
              <w:top w:w="15" w:type="dxa"/>
              <w:left w:w="15" w:type="dxa"/>
              <w:right w:w="15" w:type="dxa"/>
            </w:tcMar>
            <w:vAlign w:val="center"/>
          </w:tcPr>
          <w:p w14:paraId="338741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0.0145</w:t>
            </w:r>
          </w:p>
        </w:tc>
        <w:tc>
          <w:tcPr>
            <w:tcW w:w="894" w:type="dxa"/>
            <w:tcBorders>
              <w:tl2br w:val="nil"/>
              <w:tr2bl w:val="nil"/>
            </w:tcBorders>
            <w:shd w:val="clear" w:color="auto" w:fill="auto"/>
            <w:noWrap/>
            <w:tcMar>
              <w:top w:w="15" w:type="dxa"/>
              <w:left w:w="15" w:type="dxa"/>
              <w:right w:w="15" w:type="dxa"/>
            </w:tcMar>
            <w:vAlign w:val="center"/>
          </w:tcPr>
          <w:p w14:paraId="733860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0.2400</w:t>
            </w:r>
          </w:p>
        </w:tc>
        <w:tc>
          <w:tcPr>
            <w:tcW w:w="894" w:type="dxa"/>
            <w:tcBorders>
              <w:tl2br w:val="nil"/>
              <w:tr2bl w:val="nil"/>
            </w:tcBorders>
            <w:shd w:val="clear" w:color="auto" w:fill="auto"/>
            <w:noWrap/>
            <w:tcMar>
              <w:top w:w="15" w:type="dxa"/>
              <w:left w:w="15" w:type="dxa"/>
              <w:right w:w="15" w:type="dxa"/>
            </w:tcMar>
            <w:vAlign w:val="center"/>
          </w:tcPr>
          <w:p w14:paraId="4A33F5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0.0479</w:t>
            </w:r>
          </w:p>
        </w:tc>
        <w:tc>
          <w:tcPr>
            <w:tcW w:w="919" w:type="dxa"/>
            <w:tcBorders>
              <w:tl2br w:val="nil"/>
              <w:tr2bl w:val="nil"/>
            </w:tcBorders>
            <w:shd w:val="clear" w:color="auto" w:fill="auto"/>
            <w:noWrap/>
            <w:tcMar>
              <w:top w:w="15" w:type="dxa"/>
              <w:left w:w="15" w:type="dxa"/>
              <w:right w:w="15" w:type="dxa"/>
            </w:tcMar>
            <w:vAlign w:val="center"/>
          </w:tcPr>
          <w:p w14:paraId="72FA1E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919" w:type="dxa"/>
            <w:tcBorders>
              <w:tl2br w:val="nil"/>
              <w:tr2bl w:val="nil"/>
            </w:tcBorders>
            <w:shd w:val="clear" w:color="auto" w:fill="auto"/>
            <w:noWrap/>
            <w:tcMar>
              <w:top w:w="15" w:type="dxa"/>
              <w:left w:w="15" w:type="dxa"/>
              <w:right w:w="15" w:type="dxa"/>
            </w:tcMar>
            <w:vAlign w:val="center"/>
          </w:tcPr>
          <w:p w14:paraId="4EA39E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0.6700</w:t>
            </w:r>
          </w:p>
        </w:tc>
        <w:tc>
          <w:tcPr>
            <w:tcW w:w="1104" w:type="dxa"/>
            <w:tcBorders>
              <w:tl2br w:val="nil"/>
              <w:tr2bl w:val="nil"/>
            </w:tcBorders>
            <w:shd w:val="clear" w:color="auto" w:fill="auto"/>
            <w:noWrap/>
            <w:tcMar>
              <w:top w:w="15" w:type="dxa"/>
              <w:left w:w="15" w:type="dxa"/>
              <w:right w:w="15" w:type="dxa"/>
            </w:tcMar>
            <w:vAlign w:val="center"/>
          </w:tcPr>
          <w:p w14:paraId="32AB60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895" w:type="dxa"/>
            <w:tcBorders>
              <w:tl2br w:val="nil"/>
              <w:tr2bl w:val="nil"/>
            </w:tcBorders>
            <w:shd w:val="clear" w:color="auto" w:fill="auto"/>
            <w:noWrap/>
            <w:tcMar>
              <w:top w:w="15" w:type="dxa"/>
              <w:left w:w="15" w:type="dxa"/>
              <w:right w:w="15" w:type="dxa"/>
            </w:tcMar>
            <w:vAlign w:val="center"/>
          </w:tcPr>
          <w:p w14:paraId="5AA06D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w:t>
            </w:r>
          </w:p>
        </w:tc>
        <w:tc>
          <w:tcPr>
            <w:tcW w:w="1332" w:type="dxa"/>
            <w:tcBorders>
              <w:tl2br w:val="nil"/>
              <w:tr2bl w:val="nil"/>
            </w:tcBorders>
            <w:shd w:val="clear" w:color="auto" w:fill="auto"/>
            <w:noWrap/>
            <w:tcMar>
              <w:top w:w="15" w:type="dxa"/>
              <w:left w:w="15" w:type="dxa"/>
              <w:right w:w="15" w:type="dxa"/>
            </w:tcMar>
            <w:vAlign w:val="center"/>
          </w:tcPr>
          <w:p w14:paraId="3EEC67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0.0036</w:t>
            </w:r>
          </w:p>
        </w:tc>
      </w:tr>
      <w:tr w14:paraId="671591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878" w:type="dxa"/>
            <w:gridSpan w:val="2"/>
            <w:tcBorders>
              <w:tl2br w:val="nil"/>
              <w:tr2bl w:val="nil"/>
            </w:tcBorders>
            <w:shd w:val="clear" w:color="auto" w:fill="auto"/>
            <w:noWrap/>
            <w:tcMar>
              <w:top w:w="15" w:type="dxa"/>
              <w:left w:w="15" w:type="dxa"/>
              <w:right w:w="15" w:type="dxa"/>
            </w:tcMar>
            <w:vAlign w:val="center"/>
          </w:tcPr>
          <w:p w14:paraId="325007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最大值</w:t>
            </w:r>
          </w:p>
        </w:tc>
        <w:tc>
          <w:tcPr>
            <w:tcW w:w="1029" w:type="dxa"/>
            <w:tcBorders>
              <w:tl2br w:val="nil"/>
              <w:tr2bl w:val="nil"/>
            </w:tcBorders>
            <w:shd w:val="clear" w:color="auto" w:fill="auto"/>
            <w:noWrap/>
            <w:tcMar>
              <w:top w:w="15" w:type="dxa"/>
              <w:left w:w="15" w:type="dxa"/>
              <w:right w:w="15" w:type="dxa"/>
            </w:tcMar>
            <w:vAlign w:val="center"/>
          </w:tcPr>
          <w:p w14:paraId="28FEF9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0.3536</w:t>
            </w:r>
          </w:p>
        </w:tc>
        <w:tc>
          <w:tcPr>
            <w:tcW w:w="894" w:type="dxa"/>
            <w:tcBorders>
              <w:tl2br w:val="nil"/>
              <w:tr2bl w:val="nil"/>
            </w:tcBorders>
            <w:shd w:val="clear" w:color="auto" w:fill="auto"/>
            <w:noWrap/>
            <w:tcMar>
              <w:top w:w="15" w:type="dxa"/>
              <w:left w:w="15" w:type="dxa"/>
              <w:right w:w="15" w:type="dxa"/>
            </w:tcMar>
            <w:vAlign w:val="center"/>
          </w:tcPr>
          <w:p w14:paraId="186192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0.2122</w:t>
            </w:r>
          </w:p>
        </w:tc>
        <w:tc>
          <w:tcPr>
            <w:tcW w:w="894" w:type="dxa"/>
            <w:tcBorders>
              <w:tl2br w:val="nil"/>
              <w:tr2bl w:val="nil"/>
            </w:tcBorders>
            <w:shd w:val="clear" w:color="auto" w:fill="auto"/>
            <w:noWrap/>
            <w:tcMar>
              <w:top w:w="15" w:type="dxa"/>
              <w:left w:w="15" w:type="dxa"/>
              <w:right w:w="15" w:type="dxa"/>
            </w:tcMar>
            <w:vAlign w:val="center"/>
          </w:tcPr>
          <w:p w14:paraId="3E2219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0.0677</w:t>
            </w:r>
          </w:p>
        </w:tc>
        <w:tc>
          <w:tcPr>
            <w:tcW w:w="980" w:type="dxa"/>
            <w:tcBorders>
              <w:tl2br w:val="nil"/>
              <w:tr2bl w:val="nil"/>
            </w:tcBorders>
            <w:shd w:val="clear" w:color="auto" w:fill="auto"/>
            <w:noWrap/>
            <w:tcMar>
              <w:top w:w="15" w:type="dxa"/>
              <w:left w:w="15" w:type="dxa"/>
              <w:right w:w="15" w:type="dxa"/>
            </w:tcMar>
            <w:vAlign w:val="center"/>
          </w:tcPr>
          <w:p w14:paraId="4F49B8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0.6650</w:t>
            </w:r>
          </w:p>
        </w:tc>
        <w:tc>
          <w:tcPr>
            <w:tcW w:w="1017" w:type="dxa"/>
            <w:tcBorders>
              <w:tl2br w:val="nil"/>
              <w:tr2bl w:val="nil"/>
            </w:tcBorders>
            <w:shd w:val="clear" w:color="auto" w:fill="auto"/>
            <w:noWrap/>
            <w:tcMar>
              <w:top w:w="15" w:type="dxa"/>
              <w:left w:w="15" w:type="dxa"/>
              <w:right w:w="15" w:type="dxa"/>
            </w:tcMar>
            <w:vAlign w:val="center"/>
          </w:tcPr>
          <w:p w14:paraId="439699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0.2667</w:t>
            </w:r>
          </w:p>
        </w:tc>
        <w:tc>
          <w:tcPr>
            <w:tcW w:w="894" w:type="dxa"/>
            <w:tcBorders>
              <w:tl2br w:val="nil"/>
              <w:tr2bl w:val="nil"/>
            </w:tcBorders>
            <w:shd w:val="clear" w:color="auto" w:fill="auto"/>
            <w:noWrap/>
            <w:tcMar>
              <w:top w:w="15" w:type="dxa"/>
              <w:left w:w="15" w:type="dxa"/>
              <w:right w:w="15" w:type="dxa"/>
            </w:tcMar>
            <w:vAlign w:val="center"/>
          </w:tcPr>
          <w:p w14:paraId="67DE48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0.4200</w:t>
            </w:r>
          </w:p>
        </w:tc>
        <w:tc>
          <w:tcPr>
            <w:tcW w:w="894" w:type="dxa"/>
            <w:tcBorders>
              <w:tl2br w:val="nil"/>
              <w:tr2bl w:val="nil"/>
            </w:tcBorders>
            <w:shd w:val="clear" w:color="auto" w:fill="auto"/>
            <w:noWrap/>
            <w:tcMar>
              <w:top w:w="15" w:type="dxa"/>
              <w:left w:w="15" w:type="dxa"/>
              <w:right w:w="15" w:type="dxa"/>
            </w:tcMar>
            <w:vAlign w:val="center"/>
          </w:tcPr>
          <w:p w14:paraId="3EA431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0.3737</w:t>
            </w:r>
          </w:p>
        </w:tc>
        <w:tc>
          <w:tcPr>
            <w:tcW w:w="894" w:type="dxa"/>
            <w:tcBorders>
              <w:tl2br w:val="nil"/>
              <w:tr2bl w:val="nil"/>
            </w:tcBorders>
            <w:shd w:val="clear" w:color="auto" w:fill="auto"/>
            <w:noWrap/>
            <w:tcMar>
              <w:top w:w="15" w:type="dxa"/>
              <w:left w:w="15" w:type="dxa"/>
              <w:right w:w="15" w:type="dxa"/>
            </w:tcMar>
            <w:vAlign w:val="center"/>
          </w:tcPr>
          <w:p w14:paraId="34755E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0.6880</w:t>
            </w:r>
          </w:p>
        </w:tc>
        <w:tc>
          <w:tcPr>
            <w:tcW w:w="919" w:type="dxa"/>
            <w:tcBorders>
              <w:tl2br w:val="nil"/>
              <w:tr2bl w:val="nil"/>
            </w:tcBorders>
            <w:shd w:val="clear" w:color="auto" w:fill="auto"/>
            <w:noWrap/>
            <w:tcMar>
              <w:top w:w="15" w:type="dxa"/>
              <w:left w:w="15" w:type="dxa"/>
              <w:right w:w="15" w:type="dxa"/>
            </w:tcMar>
            <w:vAlign w:val="center"/>
          </w:tcPr>
          <w:p w14:paraId="416946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0.3033</w:t>
            </w:r>
          </w:p>
        </w:tc>
        <w:tc>
          <w:tcPr>
            <w:tcW w:w="919" w:type="dxa"/>
            <w:tcBorders>
              <w:tl2br w:val="nil"/>
              <w:tr2bl w:val="nil"/>
            </w:tcBorders>
            <w:shd w:val="clear" w:color="auto" w:fill="auto"/>
            <w:noWrap/>
            <w:tcMar>
              <w:top w:w="15" w:type="dxa"/>
              <w:left w:w="15" w:type="dxa"/>
              <w:right w:w="15" w:type="dxa"/>
            </w:tcMar>
            <w:vAlign w:val="center"/>
          </w:tcPr>
          <w:p w14:paraId="7D4250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0.6700</w:t>
            </w:r>
          </w:p>
        </w:tc>
        <w:tc>
          <w:tcPr>
            <w:tcW w:w="1104" w:type="dxa"/>
            <w:tcBorders>
              <w:tl2br w:val="nil"/>
              <w:tr2bl w:val="nil"/>
            </w:tcBorders>
            <w:shd w:val="clear" w:color="auto" w:fill="auto"/>
            <w:noWrap/>
            <w:tcMar>
              <w:top w:w="15" w:type="dxa"/>
              <w:left w:w="15" w:type="dxa"/>
              <w:right w:w="15" w:type="dxa"/>
            </w:tcMar>
            <w:vAlign w:val="center"/>
          </w:tcPr>
          <w:p w14:paraId="0D0F03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0.0009</w:t>
            </w:r>
          </w:p>
        </w:tc>
        <w:tc>
          <w:tcPr>
            <w:tcW w:w="895" w:type="dxa"/>
            <w:tcBorders>
              <w:tl2br w:val="nil"/>
              <w:tr2bl w:val="nil"/>
            </w:tcBorders>
            <w:shd w:val="clear" w:color="auto" w:fill="auto"/>
            <w:noWrap/>
            <w:tcMar>
              <w:top w:w="15" w:type="dxa"/>
              <w:left w:w="15" w:type="dxa"/>
              <w:right w:w="15" w:type="dxa"/>
            </w:tcMar>
            <w:vAlign w:val="center"/>
          </w:tcPr>
          <w:p w14:paraId="1D51C9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0.2100</w:t>
            </w:r>
          </w:p>
        </w:tc>
        <w:tc>
          <w:tcPr>
            <w:tcW w:w="1332" w:type="dxa"/>
            <w:tcBorders>
              <w:tl2br w:val="nil"/>
              <w:tr2bl w:val="nil"/>
            </w:tcBorders>
            <w:shd w:val="clear" w:color="auto" w:fill="auto"/>
            <w:noWrap/>
            <w:tcMar>
              <w:top w:w="15" w:type="dxa"/>
              <w:left w:w="15" w:type="dxa"/>
              <w:right w:w="15" w:type="dxa"/>
            </w:tcMar>
            <w:vAlign w:val="center"/>
          </w:tcPr>
          <w:p w14:paraId="0AEA49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0.0578</w:t>
            </w:r>
          </w:p>
        </w:tc>
      </w:tr>
      <w:tr w14:paraId="708C81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878" w:type="dxa"/>
            <w:gridSpan w:val="2"/>
            <w:tcBorders>
              <w:tl2br w:val="nil"/>
              <w:tr2bl w:val="nil"/>
            </w:tcBorders>
            <w:shd w:val="clear" w:color="auto" w:fill="auto"/>
            <w:noWrap/>
            <w:tcMar>
              <w:top w:w="15" w:type="dxa"/>
              <w:left w:w="15" w:type="dxa"/>
              <w:right w:w="15" w:type="dxa"/>
            </w:tcMar>
            <w:vAlign w:val="center"/>
          </w:tcPr>
          <w:p w14:paraId="71DBAF2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最小值</w:t>
            </w:r>
          </w:p>
        </w:tc>
        <w:tc>
          <w:tcPr>
            <w:tcW w:w="1029" w:type="dxa"/>
            <w:tcBorders>
              <w:tl2br w:val="nil"/>
              <w:tr2bl w:val="nil"/>
            </w:tcBorders>
            <w:shd w:val="clear" w:color="auto" w:fill="auto"/>
            <w:noWrap/>
            <w:tcMar>
              <w:top w:w="15" w:type="dxa"/>
              <w:left w:w="15" w:type="dxa"/>
              <w:right w:w="15" w:type="dxa"/>
            </w:tcMar>
            <w:vAlign w:val="center"/>
          </w:tcPr>
          <w:p w14:paraId="1D6C23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0.0462</w:t>
            </w:r>
          </w:p>
        </w:tc>
        <w:tc>
          <w:tcPr>
            <w:tcW w:w="894" w:type="dxa"/>
            <w:tcBorders>
              <w:tl2br w:val="nil"/>
              <w:tr2bl w:val="nil"/>
            </w:tcBorders>
            <w:shd w:val="clear" w:color="auto" w:fill="auto"/>
            <w:noWrap/>
            <w:tcMar>
              <w:top w:w="15" w:type="dxa"/>
              <w:left w:w="15" w:type="dxa"/>
              <w:right w:w="15" w:type="dxa"/>
            </w:tcMar>
            <w:vAlign w:val="center"/>
          </w:tcPr>
          <w:p w14:paraId="3802C5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0.0216</w:t>
            </w:r>
          </w:p>
        </w:tc>
        <w:tc>
          <w:tcPr>
            <w:tcW w:w="894" w:type="dxa"/>
            <w:tcBorders>
              <w:tl2br w:val="nil"/>
              <w:tr2bl w:val="nil"/>
            </w:tcBorders>
            <w:shd w:val="clear" w:color="auto" w:fill="auto"/>
            <w:noWrap/>
            <w:tcMar>
              <w:top w:w="15" w:type="dxa"/>
              <w:left w:w="15" w:type="dxa"/>
              <w:right w:w="15" w:type="dxa"/>
            </w:tcMar>
            <w:vAlign w:val="center"/>
          </w:tcPr>
          <w:p w14:paraId="441155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0.0018</w:t>
            </w:r>
          </w:p>
        </w:tc>
        <w:tc>
          <w:tcPr>
            <w:tcW w:w="980" w:type="dxa"/>
            <w:tcBorders>
              <w:tl2br w:val="nil"/>
              <w:tr2bl w:val="nil"/>
            </w:tcBorders>
            <w:shd w:val="clear" w:color="auto" w:fill="auto"/>
            <w:noWrap/>
            <w:tcMar>
              <w:top w:w="15" w:type="dxa"/>
              <w:left w:w="15" w:type="dxa"/>
              <w:right w:w="15" w:type="dxa"/>
            </w:tcMar>
            <w:vAlign w:val="center"/>
          </w:tcPr>
          <w:p w14:paraId="030867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0.1156</w:t>
            </w:r>
          </w:p>
        </w:tc>
        <w:tc>
          <w:tcPr>
            <w:tcW w:w="1017" w:type="dxa"/>
            <w:tcBorders>
              <w:tl2br w:val="nil"/>
              <w:tr2bl w:val="nil"/>
            </w:tcBorders>
            <w:shd w:val="clear" w:color="auto" w:fill="auto"/>
            <w:noWrap/>
            <w:tcMar>
              <w:top w:w="15" w:type="dxa"/>
              <w:left w:w="15" w:type="dxa"/>
              <w:right w:w="15" w:type="dxa"/>
            </w:tcMar>
            <w:vAlign w:val="center"/>
          </w:tcPr>
          <w:p w14:paraId="1A04B25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0.0002</w:t>
            </w:r>
          </w:p>
        </w:tc>
        <w:tc>
          <w:tcPr>
            <w:tcW w:w="894" w:type="dxa"/>
            <w:tcBorders>
              <w:tl2br w:val="nil"/>
              <w:tr2bl w:val="nil"/>
            </w:tcBorders>
            <w:shd w:val="clear" w:color="auto" w:fill="auto"/>
            <w:noWrap/>
            <w:tcMar>
              <w:top w:w="15" w:type="dxa"/>
              <w:left w:w="15" w:type="dxa"/>
              <w:right w:w="15" w:type="dxa"/>
            </w:tcMar>
            <w:vAlign w:val="center"/>
          </w:tcPr>
          <w:p w14:paraId="4A4D39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0.0013</w:t>
            </w:r>
          </w:p>
        </w:tc>
        <w:tc>
          <w:tcPr>
            <w:tcW w:w="894" w:type="dxa"/>
            <w:tcBorders>
              <w:tl2br w:val="nil"/>
              <w:tr2bl w:val="nil"/>
            </w:tcBorders>
            <w:shd w:val="clear" w:color="auto" w:fill="auto"/>
            <w:noWrap/>
            <w:tcMar>
              <w:top w:w="15" w:type="dxa"/>
              <w:left w:w="15" w:type="dxa"/>
              <w:right w:w="15" w:type="dxa"/>
            </w:tcMar>
            <w:vAlign w:val="center"/>
          </w:tcPr>
          <w:p w14:paraId="35EAFE2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0.0289</w:t>
            </w:r>
          </w:p>
        </w:tc>
        <w:tc>
          <w:tcPr>
            <w:tcW w:w="894" w:type="dxa"/>
            <w:tcBorders>
              <w:tl2br w:val="nil"/>
              <w:tr2bl w:val="nil"/>
            </w:tcBorders>
            <w:shd w:val="clear" w:color="auto" w:fill="auto"/>
            <w:noWrap/>
            <w:tcMar>
              <w:top w:w="15" w:type="dxa"/>
              <w:left w:w="15" w:type="dxa"/>
              <w:right w:w="15" w:type="dxa"/>
            </w:tcMar>
            <w:vAlign w:val="center"/>
          </w:tcPr>
          <w:p w14:paraId="3BBCEE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0.0151</w:t>
            </w:r>
          </w:p>
        </w:tc>
        <w:tc>
          <w:tcPr>
            <w:tcW w:w="919" w:type="dxa"/>
            <w:tcBorders>
              <w:tl2br w:val="nil"/>
              <w:tr2bl w:val="nil"/>
            </w:tcBorders>
            <w:shd w:val="clear" w:color="auto" w:fill="auto"/>
            <w:noWrap/>
            <w:tcMar>
              <w:top w:w="15" w:type="dxa"/>
              <w:left w:w="15" w:type="dxa"/>
              <w:right w:w="15" w:type="dxa"/>
            </w:tcMar>
            <w:vAlign w:val="center"/>
          </w:tcPr>
          <w:p w14:paraId="530C5F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0.1640</w:t>
            </w:r>
          </w:p>
        </w:tc>
        <w:tc>
          <w:tcPr>
            <w:tcW w:w="919" w:type="dxa"/>
            <w:tcBorders>
              <w:tl2br w:val="nil"/>
              <w:tr2bl w:val="nil"/>
            </w:tcBorders>
            <w:shd w:val="clear" w:color="auto" w:fill="auto"/>
            <w:noWrap/>
            <w:tcMar>
              <w:top w:w="15" w:type="dxa"/>
              <w:left w:w="15" w:type="dxa"/>
              <w:right w:w="15" w:type="dxa"/>
            </w:tcMar>
            <w:vAlign w:val="center"/>
          </w:tcPr>
          <w:p w14:paraId="41294D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0.1267</w:t>
            </w:r>
          </w:p>
        </w:tc>
        <w:tc>
          <w:tcPr>
            <w:tcW w:w="1104" w:type="dxa"/>
            <w:tcBorders>
              <w:tl2br w:val="nil"/>
              <w:tr2bl w:val="nil"/>
            </w:tcBorders>
            <w:shd w:val="clear" w:color="auto" w:fill="auto"/>
            <w:noWrap/>
            <w:tcMar>
              <w:top w:w="15" w:type="dxa"/>
              <w:left w:w="15" w:type="dxa"/>
              <w:right w:w="15" w:type="dxa"/>
            </w:tcMar>
            <w:vAlign w:val="center"/>
          </w:tcPr>
          <w:p w14:paraId="3C18EA7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0.0002</w:t>
            </w:r>
          </w:p>
        </w:tc>
        <w:tc>
          <w:tcPr>
            <w:tcW w:w="895" w:type="dxa"/>
            <w:tcBorders>
              <w:tl2br w:val="nil"/>
              <w:tr2bl w:val="nil"/>
            </w:tcBorders>
            <w:shd w:val="clear" w:color="auto" w:fill="auto"/>
            <w:noWrap/>
            <w:tcMar>
              <w:top w:w="15" w:type="dxa"/>
              <w:left w:w="15" w:type="dxa"/>
              <w:right w:w="15" w:type="dxa"/>
            </w:tcMar>
            <w:vAlign w:val="center"/>
          </w:tcPr>
          <w:p w14:paraId="3508F9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0.0218</w:t>
            </w:r>
          </w:p>
        </w:tc>
        <w:tc>
          <w:tcPr>
            <w:tcW w:w="1332" w:type="dxa"/>
            <w:tcBorders>
              <w:tl2br w:val="nil"/>
              <w:tr2bl w:val="nil"/>
            </w:tcBorders>
            <w:shd w:val="clear" w:color="auto" w:fill="auto"/>
            <w:noWrap/>
            <w:tcMar>
              <w:top w:w="15" w:type="dxa"/>
              <w:left w:w="15" w:type="dxa"/>
              <w:right w:w="15" w:type="dxa"/>
            </w:tcMar>
            <w:vAlign w:val="center"/>
          </w:tcPr>
          <w:p w14:paraId="10A870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0.0007</w:t>
            </w:r>
          </w:p>
        </w:tc>
      </w:tr>
      <w:tr w14:paraId="1AE5AC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878" w:type="dxa"/>
            <w:gridSpan w:val="2"/>
            <w:tcBorders>
              <w:tl2br w:val="nil"/>
              <w:tr2bl w:val="nil"/>
            </w:tcBorders>
            <w:shd w:val="clear" w:color="auto" w:fill="auto"/>
            <w:noWrap/>
            <w:tcMar>
              <w:top w:w="15" w:type="dxa"/>
              <w:left w:w="15" w:type="dxa"/>
              <w:right w:w="15" w:type="dxa"/>
            </w:tcMar>
            <w:vAlign w:val="center"/>
          </w:tcPr>
          <w:p w14:paraId="53DEC3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平均值</w:t>
            </w:r>
          </w:p>
        </w:tc>
        <w:tc>
          <w:tcPr>
            <w:tcW w:w="1029" w:type="dxa"/>
            <w:tcBorders>
              <w:tl2br w:val="nil"/>
              <w:tr2bl w:val="nil"/>
            </w:tcBorders>
            <w:shd w:val="clear" w:color="auto" w:fill="auto"/>
            <w:noWrap/>
            <w:tcMar>
              <w:top w:w="15" w:type="dxa"/>
              <w:left w:w="15" w:type="dxa"/>
              <w:right w:w="15" w:type="dxa"/>
            </w:tcMar>
            <w:vAlign w:val="center"/>
          </w:tcPr>
          <w:p w14:paraId="1B6451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0.1231</w:t>
            </w:r>
          </w:p>
        </w:tc>
        <w:tc>
          <w:tcPr>
            <w:tcW w:w="894" w:type="dxa"/>
            <w:tcBorders>
              <w:tl2br w:val="nil"/>
              <w:tr2bl w:val="nil"/>
            </w:tcBorders>
            <w:shd w:val="clear" w:color="auto" w:fill="auto"/>
            <w:noWrap/>
            <w:tcMar>
              <w:top w:w="15" w:type="dxa"/>
              <w:left w:w="15" w:type="dxa"/>
              <w:right w:w="15" w:type="dxa"/>
            </w:tcMar>
            <w:vAlign w:val="center"/>
          </w:tcPr>
          <w:p w14:paraId="04ECC1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0.0894</w:t>
            </w:r>
          </w:p>
        </w:tc>
        <w:tc>
          <w:tcPr>
            <w:tcW w:w="894" w:type="dxa"/>
            <w:tcBorders>
              <w:tl2br w:val="nil"/>
              <w:tr2bl w:val="nil"/>
            </w:tcBorders>
            <w:shd w:val="clear" w:color="auto" w:fill="auto"/>
            <w:noWrap/>
            <w:tcMar>
              <w:top w:w="15" w:type="dxa"/>
              <w:left w:w="15" w:type="dxa"/>
              <w:right w:w="15" w:type="dxa"/>
            </w:tcMar>
            <w:vAlign w:val="center"/>
          </w:tcPr>
          <w:p w14:paraId="31CE89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0.0267</w:t>
            </w:r>
          </w:p>
        </w:tc>
        <w:tc>
          <w:tcPr>
            <w:tcW w:w="980" w:type="dxa"/>
            <w:tcBorders>
              <w:tl2br w:val="nil"/>
              <w:tr2bl w:val="nil"/>
            </w:tcBorders>
            <w:shd w:val="clear" w:color="auto" w:fill="auto"/>
            <w:noWrap/>
            <w:tcMar>
              <w:top w:w="15" w:type="dxa"/>
              <w:left w:w="15" w:type="dxa"/>
              <w:right w:w="15" w:type="dxa"/>
            </w:tcMar>
            <w:vAlign w:val="center"/>
          </w:tcPr>
          <w:p w14:paraId="594476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0.2661</w:t>
            </w:r>
          </w:p>
        </w:tc>
        <w:tc>
          <w:tcPr>
            <w:tcW w:w="1017" w:type="dxa"/>
            <w:tcBorders>
              <w:tl2br w:val="nil"/>
              <w:tr2bl w:val="nil"/>
            </w:tcBorders>
            <w:shd w:val="clear" w:color="auto" w:fill="auto"/>
            <w:noWrap/>
            <w:tcMar>
              <w:top w:w="15" w:type="dxa"/>
              <w:left w:w="15" w:type="dxa"/>
              <w:right w:w="15" w:type="dxa"/>
            </w:tcMar>
            <w:vAlign w:val="center"/>
          </w:tcPr>
          <w:p w14:paraId="6D910C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0.0692</w:t>
            </w:r>
          </w:p>
        </w:tc>
        <w:tc>
          <w:tcPr>
            <w:tcW w:w="894" w:type="dxa"/>
            <w:tcBorders>
              <w:tl2br w:val="nil"/>
              <w:tr2bl w:val="nil"/>
            </w:tcBorders>
            <w:shd w:val="clear" w:color="auto" w:fill="auto"/>
            <w:noWrap/>
            <w:tcMar>
              <w:top w:w="15" w:type="dxa"/>
              <w:left w:w="15" w:type="dxa"/>
              <w:right w:w="15" w:type="dxa"/>
            </w:tcMar>
            <w:vAlign w:val="center"/>
          </w:tcPr>
          <w:p w14:paraId="629A7D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0.1142</w:t>
            </w:r>
          </w:p>
        </w:tc>
        <w:tc>
          <w:tcPr>
            <w:tcW w:w="894" w:type="dxa"/>
            <w:tcBorders>
              <w:tl2br w:val="nil"/>
              <w:tr2bl w:val="nil"/>
            </w:tcBorders>
            <w:shd w:val="clear" w:color="auto" w:fill="auto"/>
            <w:noWrap/>
            <w:tcMar>
              <w:top w:w="15" w:type="dxa"/>
              <w:left w:w="15" w:type="dxa"/>
              <w:right w:w="15" w:type="dxa"/>
            </w:tcMar>
            <w:vAlign w:val="center"/>
          </w:tcPr>
          <w:p w14:paraId="605BA5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0.1709</w:t>
            </w:r>
          </w:p>
        </w:tc>
        <w:tc>
          <w:tcPr>
            <w:tcW w:w="894" w:type="dxa"/>
            <w:tcBorders>
              <w:tl2br w:val="nil"/>
              <w:tr2bl w:val="nil"/>
            </w:tcBorders>
            <w:shd w:val="clear" w:color="auto" w:fill="auto"/>
            <w:noWrap/>
            <w:tcMar>
              <w:top w:w="15" w:type="dxa"/>
              <w:left w:w="15" w:type="dxa"/>
              <w:right w:w="15" w:type="dxa"/>
            </w:tcMar>
            <w:vAlign w:val="center"/>
          </w:tcPr>
          <w:p w14:paraId="4647AF8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0.1761</w:t>
            </w:r>
          </w:p>
        </w:tc>
        <w:tc>
          <w:tcPr>
            <w:tcW w:w="919" w:type="dxa"/>
            <w:tcBorders>
              <w:tl2br w:val="nil"/>
              <w:tr2bl w:val="nil"/>
            </w:tcBorders>
            <w:shd w:val="clear" w:color="auto" w:fill="auto"/>
            <w:noWrap/>
            <w:tcMar>
              <w:top w:w="15" w:type="dxa"/>
              <w:left w:w="15" w:type="dxa"/>
              <w:right w:w="15" w:type="dxa"/>
            </w:tcMar>
            <w:vAlign w:val="center"/>
          </w:tcPr>
          <w:p w14:paraId="4BEDD0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0.2373</w:t>
            </w:r>
          </w:p>
        </w:tc>
        <w:tc>
          <w:tcPr>
            <w:tcW w:w="919" w:type="dxa"/>
            <w:tcBorders>
              <w:tl2br w:val="nil"/>
              <w:tr2bl w:val="nil"/>
            </w:tcBorders>
            <w:shd w:val="clear" w:color="auto" w:fill="auto"/>
            <w:noWrap/>
            <w:tcMar>
              <w:top w:w="15" w:type="dxa"/>
              <w:left w:w="15" w:type="dxa"/>
              <w:right w:w="15" w:type="dxa"/>
            </w:tcMar>
            <w:vAlign w:val="center"/>
          </w:tcPr>
          <w:p w14:paraId="3E4372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0.2762</w:t>
            </w:r>
          </w:p>
        </w:tc>
        <w:tc>
          <w:tcPr>
            <w:tcW w:w="1104" w:type="dxa"/>
            <w:tcBorders>
              <w:tl2br w:val="nil"/>
              <w:tr2bl w:val="nil"/>
            </w:tcBorders>
            <w:shd w:val="clear" w:color="auto" w:fill="auto"/>
            <w:noWrap/>
            <w:tcMar>
              <w:top w:w="15" w:type="dxa"/>
              <w:left w:w="15" w:type="dxa"/>
              <w:right w:w="15" w:type="dxa"/>
            </w:tcMar>
            <w:vAlign w:val="center"/>
          </w:tcPr>
          <w:p w14:paraId="7689A5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0.0004</w:t>
            </w:r>
          </w:p>
        </w:tc>
        <w:tc>
          <w:tcPr>
            <w:tcW w:w="895" w:type="dxa"/>
            <w:tcBorders>
              <w:tl2br w:val="nil"/>
              <w:tr2bl w:val="nil"/>
            </w:tcBorders>
            <w:shd w:val="clear" w:color="auto" w:fill="auto"/>
            <w:noWrap/>
            <w:tcMar>
              <w:top w:w="15" w:type="dxa"/>
              <w:left w:w="15" w:type="dxa"/>
              <w:right w:w="15" w:type="dxa"/>
            </w:tcMar>
            <w:vAlign w:val="center"/>
          </w:tcPr>
          <w:p w14:paraId="755A92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0.1159</w:t>
            </w:r>
          </w:p>
        </w:tc>
        <w:tc>
          <w:tcPr>
            <w:tcW w:w="1332" w:type="dxa"/>
            <w:tcBorders>
              <w:tl2br w:val="nil"/>
              <w:tr2bl w:val="nil"/>
            </w:tcBorders>
            <w:shd w:val="clear" w:color="auto" w:fill="auto"/>
            <w:noWrap/>
            <w:tcMar>
              <w:top w:w="15" w:type="dxa"/>
              <w:left w:w="15" w:type="dxa"/>
              <w:right w:w="15" w:type="dxa"/>
            </w:tcMar>
            <w:vAlign w:val="center"/>
          </w:tcPr>
          <w:p w14:paraId="6837C1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0.0117</w:t>
            </w:r>
          </w:p>
        </w:tc>
      </w:tr>
    </w:tbl>
    <w:p w14:paraId="3E5802E5">
      <w:pPr>
        <w:pStyle w:val="2"/>
        <w:keepNext w:val="0"/>
        <w:keepLines w:val="0"/>
        <w:pageBreakBefore w:val="0"/>
        <w:widowControl w:val="0"/>
        <w:numPr>
          <w:ilvl w:val="0"/>
          <w:numId w:val="0"/>
        </w:numPr>
        <w:tabs>
          <w:tab w:val="center" w:pos="4855"/>
          <w:tab w:val="left" w:pos="7572"/>
        </w:tabs>
        <w:kinsoku/>
        <w:wordWrap/>
        <w:overflowPunct/>
        <w:topLinePunct w:val="0"/>
        <w:autoSpaceDE/>
        <w:autoSpaceDN/>
        <w:bidi w:val="0"/>
        <w:adjustRightInd/>
        <w:snapToGrid/>
        <w:spacing w:after="0" w:line="360" w:lineRule="auto"/>
        <w:ind w:firstLine="480" w:firstLineChars="200"/>
        <w:jc w:val="left"/>
        <w:textAlignment w:val="auto"/>
        <w:rPr>
          <w:rFonts w:hint="default" w:ascii="Times New Roman" w:hAnsi="Times New Roman" w:cs="Times New Roman"/>
          <w:highlight w:val="none"/>
          <w:lang w:eastAsia="zh-CN"/>
        </w:rPr>
        <w:sectPr>
          <w:headerReference r:id="rId18" w:type="default"/>
          <w:pgSz w:w="16781" w:h="11849" w:orient="landscape"/>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0" w:charSpace="0"/>
        </w:sectPr>
      </w:pPr>
      <w:r>
        <w:rPr>
          <w:rFonts w:hint="eastAsia" w:ascii="Times New Roman" w:hAnsi="Times New Roman" w:cs="Times New Roman"/>
          <w:sz w:val="24"/>
          <w:szCs w:val="24"/>
          <w:highlight w:val="none"/>
          <w:lang w:val="en-US" w:eastAsia="zh-CN"/>
        </w:rPr>
        <w:t>经统计</w:t>
      </w:r>
      <w:r>
        <w:rPr>
          <w:rFonts w:hint="default" w:ascii="Times New Roman" w:hAnsi="Times New Roman" w:cs="Times New Roman"/>
          <w:sz w:val="24"/>
          <w:szCs w:val="24"/>
          <w:highlight w:val="none"/>
          <w:lang w:eastAsia="zh-CN"/>
        </w:rPr>
        <w:t>，土壤单项污染指数</w:t>
      </w:r>
      <w:r>
        <w:rPr>
          <w:rFonts w:hint="default" w:ascii="Times New Roman" w:hAnsi="Times New Roman" w:cs="Times New Roman"/>
          <w:sz w:val="24"/>
          <w:szCs w:val="24"/>
          <w:highlight w:val="none"/>
          <w:lang w:val="en-US" w:eastAsia="zh-CN"/>
        </w:rPr>
        <w:t>Pimax=0.688＜1，</w:t>
      </w:r>
      <w:r>
        <w:rPr>
          <w:rFonts w:hint="eastAsia" w:ascii="Times New Roman" w:hAnsi="Times New Roman" w:cs="Times New Roman"/>
          <w:sz w:val="24"/>
          <w:szCs w:val="24"/>
          <w:highlight w:val="none"/>
          <w:lang w:val="en-US" w:eastAsia="zh-CN"/>
        </w:rPr>
        <w:t>可以判断</w:t>
      </w:r>
      <w:r>
        <w:rPr>
          <w:rFonts w:hint="eastAsia"/>
          <w:highlight w:val="none"/>
        </w:rPr>
        <w:t>本</w:t>
      </w:r>
      <w:r>
        <w:rPr>
          <w:highlight w:val="none"/>
        </w:rPr>
        <w:t>工业园区</w:t>
      </w:r>
      <w:r>
        <w:rPr>
          <w:rFonts w:hint="eastAsia"/>
          <w:highlight w:val="none"/>
        </w:rPr>
        <w:t>周边</w:t>
      </w:r>
      <w:r>
        <w:rPr>
          <w:highlight w:val="none"/>
        </w:rPr>
        <w:t>所有</w:t>
      </w:r>
      <w:r>
        <w:rPr>
          <w:rFonts w:hint="eastAsia"/>
          <w:highlight w:val="none"/>
        </w:rPr>
        <w:t>检出因子</w:t>
      </w:r>
      <w:r>
        <w:rPr>
          <w:rFonts w:hint="eastAsia" w:ascii="Times New Roman" w:hAnsi="Times New Roman" w:cs="Times New Roman"/>
          <w:sz w:val="24"/>
          <w:szCs w:val="24"/>
          <w:highlight w:val="none"/>
          <w:lang w:val="en-US" w:eastAsia="zh-CN"/>
        </w:rPr>
        <w:t>的</w:t>
      </w:r>
      <w:r>
        <w:rPr>
          <w:rFonts w:hint="default" w:ascii="Times New Roman" w:hAnsi="Times New Roman" w:cs="Times New Roman"/>
          <w:sz w:val="24"/>
          <w:szCs w:val="24"/>
          <w:highlight w:val="none"/>
          <w:lang w:val="en-US" w:eastAsia="zh-CN"/>
        </w:rPr>
        <w:t>单项污染指数</w:t>
      </w:r>
      <w:r>
        <w:rPr>
          <w:rFonts w:hint="eastAsia" w:cs="Times New Roman"/>
          <w:sz w:val="24"/>
          <w:szCs w:val="24"/>
          <w:highlight w:val="none"/>
          <w:lang w:val="en-US" w:eastAsia="zh-CN"/>
        </w:rPr>
        <w:t>对应的污染程度</w:t>
      </w:r>
      <w:r>
        <w:rPr>
          <w:rFonts w:hint="default" w:ascii="Times New Roman" w:hAnsi="Times New Roman" w:cs="Times New Roman"/>
          <w:sz w:val="24"/>
          <w:szCs w:val="24"/>
          <w:highlight w:val="none"/>
          <w:lang w:val="en-US" w:eastAsia="zh-CN"/>
        </w:rPr>
        <w:t>均</w:t>
      </w:r>
      <w:r>
        <w:rPr>
          <w:rFonts w:hint="eastAsia" w:cs="Times New Roman"/>
          <w:sz w:val="24"/>
          <w:szCs w:val="24"/>
          <w:highlight w:val="none"/>
          <w:lang w:val="en-US" w:eastAsia="zh-CN"/>
        </w:rPr>
        <w:t>为</w:t>
      </w:r>
      <w:r>
        <w:rPr>
          <w:rFonts w:hint="default" w:ascii="Times New Roman" w:hAnsi="Times New Roman" w:cs="Times New Roman"/>
          <w:sz w:val="24"/>
          <w:szCs w:val="24"/>
          <w:highlight w:val="none"/>
          <w:lang w:val="en-US" w:eastAsia="zh-CN"/>
        </w:rPr>
        <w:t>无污染</w:t>
      </w:r>
      <w:r>
        <w:rPr>
          <w:rFonts w:hint="default" w:ascii="Times New Roman" w:hAnsi="Times New Roman" w:cs="Times New Roman"/>
          <w:highlight w:val="none"/>
          <w:lang w:val="en-US" w:eastAsia="zh-CN"/>
        </w:rPr>
        <w:t>。</w:t>
      </w:r>
    </w:p>
    <w:p w14:paraId="7BB4E984">
      <w:pPr>
        <w:pStyle w:val="5"/>
        <w:tabs>
          <w:tab w:val="left" w:pos="425"/>
        </w:tabs>
        <w:bidi w:val="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内梅罗污染指数评价</w:t>
      </w:r>
    </w:p>
    <w:p w14:paraId="12F4FCAC">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20" w:firstLineChars="0"/>
        <w:textAlignment w:val="auto"/>
        <w:rPr>
          <w:rFonts w:hint="default" w:ascii="Times New Roman" w:hAnsi="Times New Roman" w:cs="Times New Roman"/>
          <w:sz w:val="24"/>
          <w:szCs w:val="32"/>
          <w:highlight w:val="none"/>
        </w:rPr>
      </w:pPr>
      <w:r>
        <w:rPr>
          <w:rFonts w:hint="default" w:ascii="Times New Roman" w:hAnsi="Times New Roman" w:cs="Times New Roman"/>
          <w:highlight w:val="none"/>
          <w:lang w:eastAsia="zh-CN"/>
        </w:rPr>
        <w:t>根据公式：内梅罗污染指数（P</w:t>
      </w:r>
      <w:r>
        <w:rPr>
          <w:rFonts w:hint="default" w:ascii="Times New Roman" w:hAnsi="Times New Roman" w:cs="Times New Roman"/>
          <w:highlight w:val="none"/>
          <w:vertAlign w:val="subscript"/>
          <w:lang w:eastAsia="zh-CN"/>
        </w:rPr>
        <w:t>N</w:t>
      </w:r>
      <w:r>
        <w:rPr>
          <w:rFonts w:hint="default" w:ascii="Times New Roman" w:hAnsi="Times New Roman" w:cs="Times New Roman"/>
          <w:highlight w:val="none"/>
          <w:lang w:eastAsia="zh-CN"/>
        </w:rPr>
        <w:t xml:space="preserve">）= </w:t>
      </w:r>
      <w:r>
        <w:rPr>
          <w:rFonts w:hint="default" w:ascii="Times New Roman" w:hAnsi="Times New Roman" w:cs="Times New Roman"/>
          <w:highlight w:val="none"/>
          <w:lang w:val="en-US" w:eastAsia="zh-CN"/>
        </w:rPr>
        <w:t>{[(</w:t>
      </w:r>
      <w:r>
        <w:rPr>
          <w:rFonts w:hint="default" w:ascii="Times New Roman" w:hAnsi="Times New Roman" w:cs="Times New Roman"/>
          <w:highlight w:val="none"/>
          <w:lang w:eastAsia="zh-CN"/>
        </w:rPr>
        <w:t xml:space="preserve">PI </w:t>
      </w:r>
      <w:r>
        <w:rPr>
          <w:rFonts w:hint="default" w:ascii="Times New Roman" w:hAnsi="Times New Roman" w:cs="Times New Roman"/>
          <w:highlight w:val="none"/>
          <w:vertAlign w:val="subscript"/>
          <w:lang w:eastAsia="zh-CN"/>
        </w:rPr>
        <w:t>均</w:t>
      </w:r>
      <w:r>
        <w:rPr>
          <w:rFonts w:hint="default" w:ascii="Times New Roman" w:hAnsi="Times New Roman" w:cs="Times New Roman"/>
          <w:highlight w:val="none"/>
          <w:vertAlign w:val="superscript"/>
          <w:lang w:eastAsia="zh-CN"/>
        </w:rPr>
        <w:t>2</w:t>
      </w:r>
      <w:r>
        <w:rPr>
          <w:rFonts w:hint="default" w:ascii="Times New Roman" w:hAnsi="Times New Roman" w:cs="Times New Roman"/>
          <w:highlight w:val="none"/>
          <w:lang w:val="en-US" w:eastAsia="zh-CN"/>
        </w:rPr>
        <w:t>)</w:t>
      </w:r>
      <w:r>
        <w:rPr>
          <w:rFonts w:hint="default" w:ascii="Times New Roman" w:hAnsi="Times New Roman" w:cs="Times New Roman"/>
          <w:highlight w:val="none"/>
          <w:lang w:eastAsia="zh-CN"/>
        </w:rPr>
        <w:t xml:space="preserve">+ </w:t>
      </w:r>
      <w:r>
        <w:rPr>
          <w:rFonts w:hint="default" w:ascii="Times New Roman" w:hAnsi="Times New Roman" w:cs="Times New Roman"/>
          <w:highlight w:val="none"/>
          <w:lang w:val="en-US" w:eastAsia="zh-CN"/>
        </w:rPr>
        <w:t>(</w:t>
      </w:r>
      <w:r>
        <w:rPr>
          <w:rFonts w:hint="default" w:ascii="Times New Roman" w:hAnsi="Times New Roman" w:cs="Times New Roman"/>
          <w:highlight w:val="none"/>
          <w:lang w:eastAsia="zh-CN"/>
        </w:rPr>
        <w:t xml:space="preserve">PI </w:t>
      </w:r>
      <w:r>
        <w:rPr>
          <w:rFonts w:hint="default" w:ascii="Times New Roman" w:hAnsi="Times New Roman" w:cs="Times New Roman"/>
          <w:highlight w:val="none"/>
          <w:vertAlign w:val="subscript"/>
          <w:lang w:eastAsia="zh-CN"/>
        </w:rPr>
        <w:t>最大</w:t>
      </w:r>
      <w:r>
        <w:rPr>
          <w:rFonts w:hint="default" w:ascii="Times New Roman" w:hAnsi="Times New Roman" w:cs="Times New Roman"/>
          <w:highlight w:val="none"/>
          <w:vertAlign w:val="superscript"/>
          <w:lang w:eastAsia="zh-CN"/>
        </w:rPr>
        <w:t>2</w:t>
      </w:r>
      <w:r>
        <w:rPr>
          <w:rFonts w:hint="default" w:ascii="Times New Roman" w:hAnsi="Times New Roman" w:cs="Times New Roman"/>
          <w:highlight w:val="none"/>
          <w:vertAlign w:val="superscript"/>
          <w:lang w:val="en-US" w:eastAsia="zh-CN"/>
        </w:rPr>
        <w:t xml:space="preserve"> </w:t>
      </w:r>
      <w:r>
        <w:rPr>
          <w:rFonts w:hint="default" w:ascii="Times New Roman" w:hAnsi="Times New Roman" w:cs="Times New Roman"/>
          <w:highlight w:val="none"/>
          <w:lang w:val="en-US" w:eastAsia="zh-CN"/>
        </w:rPr>
        <w:t>)]</w:t>
      </w:r>
      <w:r>
        <w:rPr>
          <w:rFonts w:hint="default" w:ascii="Times New Roman" w:hAnsi="Times New Roman" w:cs="Times New Roman"/>
          <w:highlight w:val="none"/>
          <w:lang w:eastAsia="zh-CN"/>
        </w:rPr>
        <w:t>/2｝</w:t>
      </w:r>
      <w:r>
        <w:rPr>
          <w:rFonts w:hint="default" w:ascii="Times New Roman" w:hAnsi="Times New Roman" w:cs="Times New Roman"/>
          <w:highlight w:val="none"/>
          <w:vertAlign w:val="superscript"/>
          <w:lang w:eastAsia="zh-CN"/>
        </w:rPr>
        <w:t>1/2</w:t>
      </w:r>
      <w:r>
        <w:rPr>
          <w:rFonts w:hint="default" w:ascii="Times New Roman" w:hAnsi="Times New Roman" w:cs="Times New Roman"/>
          <w:highlight w:val="none"/>
          <w:lang w:eastAsia="zh-CN"/>
        </w:rPr>
        <w:t xml:space="preserve">（式中 PI </w:t>
      </w:r>
      <w:r>
        <w:rPr>
          <w:rFonts w:hint="default" w:ascii="Times New Roman" w:hAnsi="Times New Roman" w:cs="Times New Roman"/>
          <w:highlight w:val="none"/>
          <w:vertAlign w:val="subscript"/>
          <w:lang w:eastAsia="zh-CN"/>
        </w:rPr>
        <w:t>均</w:t>
      </w:r>
      <w:r>
        <w:rPr>
          <w:rFonts w:hint="default" w:ascii="Times New Roman" w:hAnsi="Times New Roman" w:cs="Times New Roman"/>
          <w:highlight w:val="none"/>
          <w:lang w:eastAsia="zh-CN"/>
        </w:rPr>
        <w:t xml:space="preserve">和 PI </w:t>
      </w:r>
      <w:r>
        <w:rPr>
          <w:rFonts w:hint="default" w:ascii="Times New Roman" w:hAnsi="Times New Roman" w:cs="Times New Roman"/>
          <w:highlight w:val="none"/>
          <w:vertAlign w:val="subscript"/>
          <w:lang w:eastAsia="zh-CN"/>
        </w:rPr>
        <w:t>最大</w:t>
      </w:r>
      <w:r>
        <w:rPr>
          <w:rFonts w:hint="default" w:ascii="Times New Roman" w:hAnsi="Times New Roman" w:cs="Times New Roman"/>
          <w:highlight w:val="none"/>
          <w:lang w:eastAsia="zh-CN"/>
        </w:rPr>
        <w:t>分别是平均单项污染指数和最大单项污染指数。），引用</w:t>
      </w:r>
      <w:r>
        <w:rPr>
          <w:rFonts w:hint="eastAsia" w:cs="Times New Roman"/>
          <w:highlight w:val="none"/>
          <w:lang w:val="en-US" w:eastAsia="zh-CN"/>
        </w:rPr>
        <w:t>表5-4-1</w:t>
      </w:r>
      <w:r>
        <w:rPr>
          <w:rFonts w:hint="default" w:ascii="Times New Roman" w:hAnsi="Times New Roman" w:cs="Times New Roman"/>
          <w:highlight w:val="none"/>
          <w:lang w:val="en-US" w:eastAsia="zh-CN"/>
        </w:rPr>
        <w:t>中污染指数的结果</w:t>
      </w:r>
      <w:r>
        <w:rPr>
          <w:rFonts w:hint="default" w:ascii="Times New Roman" w:hAnsi="Times New Roman" w:cs="Times New Roman"/>
          <w:highlight w:val="none"/>
          <w:lang w:eastAsia="zh-CN"/>
        </w:rPr>
        <w:t>可得到内梅罗污染指数</w:t>
      </w:r>
      <w:r>
        <w:rPr>
          <w:rFonts w:hint="eastAsia" w:cs="Times New Roman"/>
          <w:highlight w:val="none"/>
          <w:lang w:eastAsia="zh-CN"/>
        </w:rPr>
        <w:t>，</w:t>
      </w:r>
      <w:r>
        <w:rPr>
          <w:rFonts w:hint="eastAsia" w:cs="Times New Roman"/>
          <w:highlight w:val="none"/>
          <w:lang w:val="en-US" w:eastAsia="zh-CN"/>
        </w:rPr>
        <w:t>具体如下：</w:t>
      </w:r>
    </w:p>
    <w:p w14:paraId="4E92AF03">
      <w:pPr>
        <w:pStyle w:val="2"/>
        <w:keepNext w:val="0"/>
        <w:keepLines w:val="0"/>
        <w:pageBreakBefore w:val="0"/>
        <w:widowControl w:val="0"/>
        <w:numPr>
          <w:ilvl w:val="0"/>
          <w:numId w:val="0"/>
        </w:numPr>
        <w:kinsoku/>
        <w:wordWrap/>
        <w:overflowPunct/>
        <w:topLinePunct w:val="0"/>
        <w:autoSpaceDE/>
        <w:autoSpaceDN/>
        <w:bidi w:val="0"/>
        <w:adjustRightInd/>
        <w:snapToGrid/>
        <w:spacing w:before="166" w:beforeLines="50" w:after="0" w:line="240" w:lineRule="auto"/>
        <w:ind w:firstLine="420" w:firstLineChars="0"/>
        <w:jc w:val="center"/>
        <w:textAlignment w:val="auto"/>
        <w:rPr>
          <w:rFonts w:hint="default" w:ascii="Times New Roman" w:hAnsi="Times New Roman" w:cs="Times New Roman"/>
          <w:sz w:val="24"/>
          <w:szCs w:val="32"/>
          <w:highlight w:val="none"/>
        </w:rPr>
      </w:pPr>
      <w:r>
        <w:rPr>
          <w:rFonts w:hint="default" w:ascii="Times New Roman" w:hAnsi="Times New Roman" w:eastAsia="黑体" w:cs="Times New Roman"/>
          <w:b/>
          <w:bCs/>
          <w:sz w:val="24"/>
          <w:szCs w:val="32"/>
          <w:highlight w:val="none"/>
          <w:lang w:val="en-US" w:eastAsia="zh-CN"/>
        </w:rPr>
        <w:t>表</w:t>
      </w:r>
      <w:r>
        <w:rPr>
          <w:rFonts w:hint="default" w:ascii="Times New Roman" w:hAnsi="Times New Roman" w:cs="Times New Roman"/>
          <w:b/>
          <w:bCs/>
          <w:sz w:val="24"/>
          <w:szCs w:val="32"/>
          <w:highlight w:val="none"/>
          <w:lang w:val="en-US" w:eastAsia="zh-CN"/>
        </w:rPr>
        <w:t>5-4-2</w:t>
      </w:r>
      <w:r>
        <w:rPr>
          <w:rFonts w:hint="default" w:ascii="Times New Roman" w:hAnsi="Times New Roman" w:eastAsia="黑体" w:cs="Times New Roman"/>
          <w:b/>
          <w:bCs/>
          <w:sz w:val="24"/>
          <w:szCs w:val="32"/>
          <w:highlight w:val="none"/>
          <w:lang w:val="en-US" w:eastAsia="zh-CN"/>
        </w:rPr>
        <w:t xml:space="preserve"> 内梅罗污染指数表</w:t>
      </w:r>
    </w:p>
    <w:tbl>
      <w:tblPr>
        <w:tblStyle w:val="21"/>
        <w:tblW w:w="14540"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434"/>
        <w:gridCol w:w="1434"/>
        <w:gridCol w:w="972"/>
        <w:gridCol w:w="972"/>
        <w:gridCol w:w="972"/>
        <w:gridCol w:w="972"/>
        <w:gridCol w:w="973"/>
        <w:gridCol w:w="973"/>
        <w:gridCol w:w="973"/>
        <w:gridCol w:w="973"/>
        <w:gridCol w:w="973"/>
        <w:gridCol w:w="973"/>
        <w:gridCol w:w="973"/>
        <w:gridCol w:w="973"/>
      </w:tblGrid>
      <w:tr w14:paraId="183A5D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434" w:type="dxa"/>
            <w:tcBorders>
              <w:bottom w:val="single" w:color="auto" w:sz="12" w:space="0"/>
            </w:tcBorders>
            <w:shd w:val="clear" w:color="auto" w:fill="auto"/>
            <w:noWrap/>
            <w:tcMar>
              <w:top w:w="15" w:type="dxa"/>
              <w:left w:w="15" w:type="dxa"/>
              <w:right w:w="15" w:type="dxa"/>
            </w:tcMar>
            <w:vAlign w:val="center"/>
          </w:tcPr>
          <w:p w14:paraId="256775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highlight w:val="none"/>
                <w:u w:val="none"/>
              </w:rPr>
            </w:pPr>
            <w:r>
              <w:rPr>
                <w:rFonts w:hint="default" w:ascii="Times New Roman" w:hAnsi="Times New Roman" w:eastAsia="宋体" w:cs="Times New Roman"/>
                <w:b/>
                <w:bCs w:val="0"/>
                <w:i w:val="0"/>
                <w:color w:val="000000"/>
                <w:kern w:val="0"/>
                <w:sz w:val="21"/>
                <w:szCs w:val="21"/>
                <w:highlight w:val="none"/>
                <w:u w:val="none"/>
                <w:lang w:val="en-US" w:eastAsia="zh-CN" w:bidi="ar"/>
              </w:rPr>
              <w:t>单项污染指数</w:t>
            </w:r>
          </w:p>
        </w:tc>
        <w:tc>
          <w:tcPr>
            <w:tcW w:w="1434" w:type="dxa"/>
            <w:tcBorders>
              <w:bottom w:val="single" w:color="auto" w:sz="12" w:space="0"/>
            </w:tcBorders>
            <w:shd w:val="clear" w:color="auto" w:fill="auto"/>
            <w:noWrap/>
            <w:tcMar>
              <w:top w:w="15" w:type="dxa"/>
              <w:left w:w="15" w:type="dxa"/>
              <w:right w:w="15" w:type="dxa"/>
            </w:tcMar>
            <w:vAlign w:val="center"/>
          </w:tcPr>
          <w:p w14:paraId="069662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highlight w:val="none"/>
                <w:u w:val="none"/>
              </w:rPr>
            </w:pPr>
            <w:r>
              <w:rPr>
                <w:rFonts w:hint="eastAsia" w:cs="Times New Roman"/>
                <w:b/>
                <w:bCs w:val="0"/>
                <w:i w:val="0"/>
                <w:color w:val="000000"/>
                <w:kern w:val="0"/>
                <w:sz w:val="21"/>
                <w:szCs w:val="21"/>
                <w:highlight w:val="none"/>
                <w:u w:val="none"/>
                <w:lang w:val="en-US" w:eastAsia="zh-CN" w:bidi="ar"/>
              </w:rPr>
              <w:t>总氟化物</w:t>
            </w:r>
          </w:p>
        </w:tc>
        <w:tc>
          <w:tcPr>
            <w:tcW w:w="972" w:type="dxa"/>
            <w:tcBorders>
              <w:bottom w:val="single" w:color="auto" w:sz="12" w:space="0"/>
            </w:tcBorders>
            <w:shd w:val="clear" w:color="auto" w:fill="auto"/>
            <w:noWrap/>
            <w:tcMar>
              <w:top w:w="15" w:type="dxa"/>
              <w:left w:w="15" w:type="dxa"/>
              <w:right w:w="15" w:type="dxa"/>
            </w:tcMar>
            <w:vAlign w:val="center"/>
          </w:tcPr>
          <w:p w14:paraId="6B7CC4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highlight w:val="none"/>
                <w:u w:val="none"/>
              </w:rPr>
            </w:pPr>
            <w:r>
              <w:rPr>
                <w:rFonts w:hint="default" w:ascii="Times New Roman" w:hAnsi="Times New Roman" w:eastAsia="宋体" w:cs="Times New Roman"/>
                <w:b/>
                <w:bCs w:val="0"/>
                <w:i w:val="0"/>
                <w:color w:val="000000"/>
                <w:kern w:val="0"/>
                <w:sz w:val="21"/>
                <w:szCs w:val="21"/>
                <w:highlight w:val="none"/>
                <w:u w:val="none"/>
                <w:lang w:val="en-US" w:eastAsia="zh-CN" w:bidi="ar"/>
              </w:rPr>
              <w:t>铅</w:t>
            </w:r>
          </w:p>
        </w:tc>
        <w:tc>
          <w:tcPr>
            <w:tcW w:w="972" w:type="dxa"/>
            <w:tcBorders>
              <w:bottom w:val="single" w:color="auto" w:sz="12" w:space="0"/>
            </w:tcBorders>
            <w:shd w:val="clear" w:color="auto" w:fill="auto"/>
            <w:noWrap/>
            <w:tcMar>
              <w:top w:w="15" w:type="dxa"/>
              <w:left w:w="15" w:type="dxa"/>
              <w:right w:w="15" w:type="dxa"/>
            </w:tcMar>
            <w:vAlign w:val="center"/>
          </w:tcPr>
          <w:p w14:paraId="6D5363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highlight w:val="none"/>
                <w:u w:val="none"/>
              </w:rPr>
            </w:pPr>
            <w:r>
              <w:rPr>
                <w:rFonts w:hint="default" w:ascii="Times New Roman" w:hAnsi="Times New Roman" w:eastAsia="宋体" w:cs="Times New Roman"/>
                <w:b/>
                <w:bCs w:val="0"/>
                <w:i w:val="0"/>
                <w:color w:val="000000"/>
                <w:kern w:val="0"/>
                <w:sz w:val="21"/>
                <w:szCs w:val="21"/>
                <w:highlight w:val="none"/>
                <w:u w:val="none"/>
                <w:lang w:val="en-US" w:eastAsia="zh-CN" w:bidi="ar"/>
              </w:rPr>
              <w:t>汞</w:t>
            </w:r>
          </w:p>
        </w:tc>
        <w:tc>
          <w:tcPr>
            <w:tcW w:w="972" w:type="dxa"/>
            <w:tcBorders>
              <w:bottom w:val="single" w:color="auto" w:sz="12" w:space="0"/>
            </w:tcBorders>
            <w:shd w:val="clear" w:color="auto" w:fill="auto"/>
            <w:noWrap/>
            <w:tcMar>
              <w:top w:w="15" w:type="dxa"/>
              <w:left w:w="15" w:type="dxa"/>
              <w:right w:w="15" w:type="dxa"/>
            </w:tcMar>
            <w:vAlign w:val="center"/>
          </w:tcPr>
          <w:p w14:paraId="0C542F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highlight w:val="none"/>
                <w:u w:val="none"/>
              </w:rPr>
            </w:pPr>
            <w:r>
              <w:rPr>
                <w:rFonts w:hint="default" w:ascii="Times New Roman" w:hAnsi="Times New Roman" w:eastAsia="宋体" w:cs="Times New Roman"/>
                <w:b/>
                <w:bCs w:val="0"/>
                <w:i w:val="0"/>
                <w:color w:val="000000"/>
                <w:kern w:val="0"/>
                <w:sz w:val="21"/>
                <w:szCs w:val="21"/>
                <w:highlight w:val="none"/>
                <w:u w:val="none"/>
                <w:lang w:val="en-US" w:eastAsia="zh-CN" w:bidi="ar"/>
              </w:rPr>
              <w:t>钴</w:t>
            </w:r>
          </w:p>
        </w:tc>
        <w:tc>
          <w:tcPr>
            <w:tcW w:w="972" w:type="dxa"/>
            <w:tcBorders>
              <w:bottom w:val="single" w:color="auto" w:sz="12" w:space="0"/>
            </w:tcBorders>
            <w:shd w:val="clear" w:color="auto" w:fill="auto"/>
            <w:noWrap/>
            <w:tcMar>
              <w:top w:w="15" w:type="dxa"/>
              <w:left w:w="15" w:type="dxa"/>
              <w:right w:w="15" w:type="dxa"/>
            </w:tcMar>
            <w:vAlign w:val="center"/>
          </w:tcPr>
          <w:p w14:paraId="05E7E8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highlight w:val="none"/>
                <w:u w:val="none"/>
              </w:rPr>
            </w:pPr>
            <w:r>
              <w:rPr>
                <w:rFonts w:hint="default" w:ascii="Times New Roman" w:hAnsi="Times New Roman" w:eastAsia="宋体" w:cs="Times New Roman"/>
                <w:b/>
                <w:bCs w:val="0"/>
                <w:i w:val="0"/>
                <w:color w:val="000000"/>
                <w:kern w:val="0"/>
                <w:sz w:val="21"/>
                <w:szCs w:val="21"/>
                <w:highlight w:val="none"/>
                <w:u w:val="none"/>
                <w:lang w:val="en-US" w:eastAsia="zh-CN" w:bidi="ar"/>
              </w:rPr>
              <w:t>镉</w:t>
            </w:r>
          </w:p>
        </w:tc>
        <w:tc>
          <w:tcPr>
            <w:tcW w:w="973" w:type="dxa"/>
            <w:tcBorders>
              <w:bottom w:val="single" w:color="auto" w:sz="12" w:space="0"/>
            </w:tcBorders>
            <w:shd w:val="clear" w:color="auto" w:fill="auto"/>
            <w:noWrap/>
            <w:tcMar>
              <w:top w:w="15" w:type="dxa"/>
              <w:left w:w="15" w:type="dxa"/>
              <w:right w:w="15" w:type="dxa"/>
            </w:tcMar>
            <w:vAlign w:val="center"/>
          </w:tcPr>
          <w:p w14:paraId="3E333B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highlight w:val="none"/>
                <w:u w:val="none"/>
              </w:rPr>
            </w:pPr>
            <w:r>
              <w:rPr>
                <w:rFonts w:hint="default" w:ascii="Times New Roman" w:hAnsi="Times New Roman" w:eastAsia="宋体" w:cs="Times New Roman"/>
                <w:b/>
                <w:bCs w:val="0"/>
                <w:i w:val="0"/>
                <w:color w:val="000000"/>
                <w:kern w:val="0"/>
                <w:sz w:val="21"/>
                <w:szCs w:val="21"/>
                <w:highlight w:val="none"/>
                <w:u w:val="none"/>
                <w:lang w:val="en-US" w:eastAsia="zh-CN" w:bidi="ar"/>
              </w:rPr>
              <w:t>铜</w:t>
            </w:r>
          </w:p>
        </w:tc>
        <w:tc>
          <w:tcPr>
            <w:tcW w:w="973" w:type="dxa"/>
            <w:tcBorders>
              <w:bottom w:val="single" w:color="auto" w:sz="12" w:space="0"/>
            </w:tcBorders>
            <w:shd w:val="clear" w:color="auto" w:fill="auto"/>
            <w:noWrap/>
            <w:tcMar>
              <w:top w:w="15" w:type="dxa"/>
              <w:left w:w="15" w:type="dxa"/>
              <w:right w:w="15" w:type="dxa"/>
            </w:tcMar>
            <w:vAlign w:val="center"/>
          </w:tcPr>
          <w:p w14:paraId="481F8C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highlight w:val="none"/>
                <w:u w:val="none"/>
              </w:rPr>
            </w:pPr>
            <w:r>
              <w:rPr>
                <w:rFonts w:hint="default" w:ascii="Times New Roman" w:hAnsi="Times New Roman" w:eastAsia="宋体" w:cs="Times New Roman"/>
                <w:b/>
                <w:bCs w:val="0"/>
                <w:i w:val="0"/>
                <w:color w:val="000000"/>
                <w:kern w:val="0"/>
                <w:sz w:val="21"/>
                <w:szCs w:val="21"/>
                <w:highlight w:val="none"/>
                <w:u w:val="none"/>
                <w:lang w:val="en-US" w:eastAsia="zh-CN" w:bidi="ar"/>
              </w:rPr>
              <w:t>镍</w:t>
            </w:r>
          </w:p>
        </w:tc>
        <w:tc>
          <w:tcPr>
            <w:tcW w:w="973" w:type="dxa"/>
            <w:tcBorders>
              <w:bottom w:val="single" w:color="auto" w:sz="12" w:space="0"/>
            </w:tcBorders>
            <w:shd w:val="clear" w:color="auto" w:fill="auto"/>
            <w:noWrap/>
            <w:tcMar>
              <w:top w:w="15" w:type="dxa"/>
              <w:left w:w="15" w:type="dxa"/>
              <w:right w:w="15" w:type="dxa"/>
            </w:tcMar>
            <w:vAlign w:val="center"/>
          </w:tcPr>
          <w:p w14:paraId="717434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highlight w:val="none"/>
                <w:u w:val="none"/>
              </w:rPr>
            </w:pPr>
            <w:r>
              <w:rPr>
                <w:rFonts w:hint="default" w:ascii="Times New Roman" w:hAnsi="Times New Roman" w:eastAsia="宋体" w:cs="Times New Roman"/>
                <w:b/>
                <w:bCs w:val="0"/>
                <w:i w:val="0"/>
                <w:color w:val="000000"/>
                <w:kern w:val="0"/>
                <w:sz w:val="21"/>
                <w:szCs w:val="21"/>
                <w:highlight w:val="none"/>
                <w:u w:val="none"/>
                <w:lang w:val="en-US" w:eastAsia="zh-CN" w:bidi="ar"/>
              </w:rPr>
              <w:t>铬</w:t>
            </w:r>
          </w:p>
        </w:tc>
        <w:tc>
          <w:tcPr>
            <w:tcW w:w="973" w:type="dxa"/>
            <w:tcBorders>
              <w:bottom w:val="single" w:color="auto" w:sz="12" w:space="0"/>
            </w:tcBorders>
            <w:shd w:val="clear" w:color="auto" w:fill="auto"/>
            <w:noWrap/>
            <w:tcMar>
              <w:top w:w="15" w:type="dxa"/>
              <w:left w:w="15" w:type="dxa"/>
              <w:right w:w="15" w:type="dxa"/>
            </w:tcMar>
            <w:vAlign w:val="center"/>
          </w:tcPr>
          <w:p w14:paraId="30B5C6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kern w:val="0"/>
                <w:sz w:val="21"/>
                <w:szCs w:val="21"/>
                <w:highlight w:val="none"/>
                <w:u w:val="none"/>
                <w:lang w:val="en-US" w:eastAsia="zh-CN" w:bidi="ar"/>
              </w:rPr>
            </w:pPr>
            <w:r>
              <w:rPr>
                <w:rFonts w:hint="default" w:ascii="Times New Roman" w:hAnsi="Times New Roman" w:cs="Times New Roman"/>
                <w:b/>
                <w:bCs w:val="0"/>
                <w:i w:val="0"/>
                <w:color w:val="000000"/>
                <w:kern w:val="0"/>
                <w:sz w:val="21"/>
                <w:szCs w:val="21"/>
                <w:highlight w:val="none"/>
                <w:u w:val="none"/>
                <w:lang w:val="en-US" w:eastAsia="zh-CN" w:bidi="ar"/>
              </w:rPr>
              <w:t>锌</w:t>
            </w:r>
          </w:p>
        </w:tc>
        <w:tc>
          <w:tcPr>
            <w:tcW w:w="973" w:type="dxa"/>
            <w:tcBorders>
              <w:bottom w:val="single" w:color="auto" w:sz="12" w:space="0"/>
            </w:tcBorders>
            <w:shd w:val="clear" w:color="auto" w:fill="auto"/>
            <w:noWrap/>
            <w:tcMar>
              <w:top w:w="15" w:type="dxa"/>
              <w:left w:w="15" w:type="dxa"/>
              <w:right w:w="15" w:type="dxa"/>
            </w:tcMar>
            <w:vAlign w:val="center"/>
          </w:tcPr>
          <w:p w14:paraId="2AB16F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highlight w:val="none"/>
                <w:u w:val="none"/>
              </w:rPr>
            </w:pPr>
            <w:r>
              <w:rPr>
                <w:rFonts w:hint="default" w:ascii="Times New Roman" w:hAnsi="Times New Roman" w:eastAsia="宋体" w:cs="Times New Roman"/>
                <w:b/>
                <w:bCs w:val="0"/>
                <w:i w:val="0"/>
                <w:color w:val="000000"/>
                <w:kern w:val="0"/>
                <w:sz w:val="21"/>
                <w:szCs w:val="21"/>
                <w:highlight w:val="none"/>
                <w:u w:val="none"/>
                <w:lang w:val="en-US" w:eastAsia="zh-CN" w:bidi="ar"/>
              </w:rPr>
              <w:t>砷</w:t>
            </w:r>
          </w:p>
        </w:tc>
        <w:tc>
          <w:tcPr>
            <w:tcW w:w="973" w:type="dxa"/>
            <w:tcBorders>
              <w:bottom w:val="single" w:color="auto" w:sz="12" w:space="0"/>
            </w:tcBorders>
            <w:shd w:val="clear" w:color="auto" w:fill="auto"/>
            <w:noWrap/>
            <w:tcMar>
              <w:top w:w="15" w:type="dxa"/>
              <w:left w:w="15" w:type="dxa"/>
              <w:right w:w="15" w:type="dxa"/>
            </w:tcMar>
            <w:vAlign w:val="center"/>
          </w:tcPr>
          <w:p w14:paraId="04875F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highlight w:val="none"/>
                <w:u w:val="none"/>
              </w:rPr>
            </w:pPr>
            <w:r>
              <w:rPr>
                <w:rFonts w:hint="default" w:ascii="Times New Roman" w:hAnsi="Times New Roman" w:eastAsia="宋体" w:cs="Times New Roman"/>
                <w:b/>
                <w:bCs w:val="0"/>
                <w:i w:val="0"/>
                <w:color w:val="000000"/>
                <w:kern w:val="0"/>
                <w:sz w:val="21"/>
                <w:szCs w:val="21"/>
                <w:highlight w:val="none"/>
                <w:u w:val="none"/>
                <w:lang w:val="en-US" w:eastAsia="zh-CN" w:bidi="ar"/>
              </w:rPr>
              <w:t>氰化物</w:t>
            </w:r>
          </w:p>
        </w:tc>
        <w:tc>
          <w:tcPr>
            <w:tcW w:w="973" w:type="dxa"/>
            <w:tcBorders>
              <w:bottom w:val="single" w:color="auto" w:sz="12" w:space="0"/>
            </w:tcBorders>
            <w:shd w:val="clear" w:color="auto" w:fill="auto"/>
            <w:noWrap/>
            <w:tcMar>
              <w:top w:w="15" w:type="dxa"/>
              <w:left w:w="15" w:type="dxa"/>
              <w:right w:w="15" w:type="dxa"/>
            </w:tcMar>
            <w:vAlign w:val="center"/>
          </w:tcPr>
          <w:p w14:paraId="171549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highlight w:val="none"/>
                <w:u w:val="none"/>
              </w:rPr>
            </w:pPr>
            <w:r>
              <w:rPr>
                <w:rFonts w:hint="default" w:ascii="Times New Roman" w:hAnsi="Times New Roman" w:eastAsia="宋体" w:cs="Times New Roman"/>
                <w:b/>
                <w:bCs w:val="0"/>
                <w:i w:val="0"/>
                <w:color w:val="000000"/>
                <w:kern w:val="0"/>
                <w:sz w:val="21"/>
                <w:szCs w:val="21"/>
                <w:highlight w:val="none"/>
                <w:u w:val="none"/>
                <w:lang w:val="en-US" w:eastAsia="zh-CN" w:bidi="ar"/>
              </w:rPr>
              <w:t>二噁英</w:t>
            </w:r>
          </w:p>
        </w:tc>
        <w:tc>
          <w:tcPr>
            <w:tcW w:w="973" w:type="dxa"/>
            <w:tcBorders>
              <w:bottom w:val="single" w:color="auto" w:sz="12" w:space="0"/>
            </w:tcBorders>
            <w:shd w:val="clear" w:color="auto" w:fill="auto"/>
            <w:noWrap/>
            <w:tcMar>
              <w:top w:w="15" w:type="dxa"/>
              <w:left w:w="15" w:type="dxa"/>
              <w:right w:w="15" w:type="dxa"/>
            </w:tcMar>
            <w:vAlign w:val="center"/>
          </w:tcPr>
          <w:p w14:paraId="436F3D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val="0"/>
                <w:i w:val="0"/>
                <w:color w:val="000000"/>
                <w:sz w:val="21"/>
                <w:szCs w:val="21"/>
                <w:highlight w:val="none"/>
                <w:u w:val="none"/>
              </w:rPr>
            </w:pPr>
            <w:r>
              <w:rPr>
                <w:rFonts w:hint="default" w:ascii="Times New Roman" w:hAnsi="Times New Roman" w:eastAsia="宋体" w:cs="Times New Roman"/>
                <w:b/>
                <w:bCs w:val="0"/>
                <w:i w:val="0"/>
                <w:color w:val="000000"/>
                <w:kern w:val="0"/>
                <w:sz w:val="21"/>
                <w:szCs w:val="21"/>
                <w:highlight w:val="none"/>
                <w:u w:val="none"/>
                <w:lang w:val="en-US" w:eastAsia="zh-CN" w:bidi="ar"/>
              </w:rPr>
              <w:t>C10 - C40</w:t>
            </w:r>
          </w:p>
        </w:tc>
      </w:tr>
      <w:tr w14:paraId="051BF6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434" w:type="dxa"/>
            <w:tcBorders>
              <w:top w:val="single" w:color="auto" w:sz="12" w:space="0"/>
              <w:tl2br w:val="nil"/>
              <w:tr2bl w:val="nil"/>
            </w:tcBorders>
            <w:shd w:val="clear" w:color="auto" w:fill="auto"/>
            <w:noWrap/>
            <w:tcMar>
              <w:top w:w="15" w:type="dxa"/>
              <w:left w:w="15" w:type="dxa"/>
              <w:right w:w="15" w:type="dxa"/>
            </w:tcMar>
            <w:vAlign w:val="center"/>
          </w:tcPr>
          <w:p w14:paraId="6864BC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 xml:space="preserve">PI </w:t>
            </w:r>
            <w:r>
              <w:rPr>
                <w:rFonts w:hint="default" w:ascii="Times New Roman" w:hAnsi="Times New Roman" w:eastAsia="宋体" w:cs="Times New Roman"/>
                <w:i w:val="0"/>
                <w:color w:val="000000"/>
                <w:kern w:val="0"/>
                <w:sz w:val="21"/>
                <w:szCs w:val="21"/>
                <w:highlight w:val="none"/>
                <w:u w:val="none"/>
                <w:vertAlign w:val="subscript"/>
                <w:lang w:val="en-US" w:eastAsia="zh-CN" w:bidi="ar"/>
              </w:rPr>
              <w:t>均</w:t>
            </w:r>
          </w:p>
        </w:tc>
        <w:tc>
          <w:tcPr>
            <w:tcW w:w="1434" w:type="dxa"/>
            <w:tcBorders>
              <w:top w:val="single" w:color="auto" w:sz="12" w:space="0"/>
              <w:tl2br w:val="nil"/>
              <w:tr2bl w:val="nil"/>
            </w:tcBorders>
            <w:shd w:val="clear" w:color="auto" w:fill="auto"/>
            <w:noWrap/>
            <w:tcMar>
              <w:top w:w="15" w:type="dxa"/>
              <w:left w:w="15" w:type="dxa"/>
              <w:right w:w="15" w:type="dxa"/>
            </w:tcMar>
            <w:vAlign w:val="center"/>
          </w:tcPr>
          <w:p w14:paraId="6904B8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0.1231</w:t>
            </w:r>
          </w:p>
        </w:tc>
        <w:tc>
          <w:tcPr>
            <w:tcW w:w="972" w:type="dxa"/>
            <w:tcBorders>
              <w:top w:val="single" w:color="auto" w:sz="12" w:space="0"/>
              <w:tl2br w:val="nil"/>
              <w:tr2bl w:val="nil"/>
            </w:tcBorders>
            <w:shd w:val="clear" w:color="auto" w:fill="auto"/>
            <w:noWrap/>
            <w:tcMar>
              <w:top w:w="15" w:type="dxa"/>
              <w:left w:w="15" w:type="dxa"/>
              <w:right w:w="15" w:type="dxa"/>
            </w:tcMar>
            <w:vAlign w:val="center"/>
          </w:tcPr>
          <w:p w14:paraId="512008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0.0894</w:t>
            </w:r>
          </w:p>
        </w:tc>
        <w:tc>
          <w:tcPr>
            <w:tcW w:w="972" w:type="dxa"/>
            <w:tcBorders>
              <w:top w:val="single" w:color="auto" w:sz="12" w:space="0"/>
              <w:tl2br w:val="nil"/>
              <w:tr2bl w:val="nil"/>
            </w:tcBorders>
            <w:shd w:val="clear" w:color="auto" w:fill="auto"/>
            <w:noWrap/>
            <w:tcMar>
              <w:top w:w="15" w:type="dxa"/>
              <w:left w:w="15" w:type="dxa"/>
              <w:right w:w="15" w:type="dxa"/>
            </w:tcMar>
            <w:vAlign w:val="center"/>
          </w:tcPr>
          <w:p w14:paraId="7BCCE3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0.0267</w:t>
            </w:r>
          </w:p>
        </w:tc>
        <w:tc>
          <w:tcPr>
            <w:tcW w:w="972" w:type="dxa"/>
            <w:tcBorders>
              <w:top w:val="single" w:color="auto" w:sz="12" w:space="0"/>
              <w:tl2br w:val="nil"/>
              <w:tr2bl w:val="nil"/>
            </w:tcBorders>
            <w:shd w:val="clear" w:color="auto" w:fill="auto"/>
            <w:noWrap/>
            <w:tcMar>
              <w:top w:w="15" w:type="dxa"/>
              <w:left w:w="15" w:type="dxa"/>
              <w:right w:w="15" w:type="dxa"/>
            </w:tcMar>
            <w:vAlign w:val="center"/>
          </w:tcPr>
          <w:p w14:paraId="5DD340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0.2661</w:t>
            </w:r>
          </w:p>
        </w:tc>
        <w:tc>
          <w:tcPr>
            <w:tcW w:w="972" w:type="dxa"/>
            <w:tcBorders>
              <w:top w:val="single" w:color="auto" w:sz="12" w:space="0"/>
              <w:tl2br w:val="nil"/>
              <w:tr2bl w:val="nil"/>
            </w:tcBorders>
            <w:shd w:val="clear" w:color="auto" w:fill="auto"/>
            <w:noWrap/>
            <w:tcMar>
              <w:top w:w="15" w:type="dxa"/>
              <w:left w:w="15" w:type="dxa"/>
              <w:right w:w="15" w:type="dxa"/>
            </w:tcMar>
            <w:vAlign w:val="center"/>
          </w:tcPr>
          <w:p w14:paraId="76D89C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0.0692</w:t>
            </w:r>
          </w:p>
        </w:tc>
        <w:tc>
          <w:tcPr>
            <w:tcW w:w="973" w:type="dxa"/>
            <w:tcBorders>
              <w:top w:val="single" w:color="auto" w:sz="12" w:space="0"/>
              <w:tl2br w:val="nil"/>
              <w:tr2bl w:val="nil"/>
            </w:tcBorders>
            <w:shd w:val="clear" w:color="auto" w:fill="auto"/>
            <w:noWrap/>
            <w:tcMar>
              <w:top w:w="15" w:type="dxa"/>
              <w:left w:w="15" w:type="dxa"/>
              <w:right w:w="15" w:type="dxa"/>
            </w:tcMar>
            <w:vAlign w:val="center"/>
          </w:tcPr>
          <w:p w14:paraId="195153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0.1142</w:t>
            </w:r>
          </w:p>
        </w:tc>
        <w:tc>
          <w:tcPr>
            <w:tcW w:w="973" w:type="dxa"/>
            <w:tcBorders>
              <w:top w:val="single" w:color="auto" w:sz="12" w:space="0"/>
              <w:tl2br w:val="nil"/>
              <w:tr2bl w:val="nil"/>
            </w:tcBorders>
            <w:shd w:val="clear" w:color="auto" w:fill="auto"/>
            <w:noWrap/>
            <w:tcMar>
              <w:top w:w="15" w:type="dxa"/>
              <w:left w:w="15" w:type="dxa"/>
              <w:right w:w="15" w:type="dxa"/>
            </w:tcMar>
            <w:vAlign w:val="center"/>
          </w:tcPr>
          <w:p w14:paraId="6DA8C5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0.1709</w:t>
            </w:r>
          </w:p>
        </w:tc>
        <w:tc>
          <w:tcPr>
            <w:tcW w:w="973" w:type="dxa"/>
            <w:tcBorders>
              <w:top w:val="single" w:color="auto" w:sz="12" w:space="0"/>
              <w:tl2br w:val="nil"/>
              <w:tr2bl w:val="nil"/>
            </w:tcBorders>
            <w:shd w:val="clear" w:color="auto" w:fill="auto"/>
            <w:noWrap/>
            <w:tcMar>
              <w:top w:w="15" w:type="dxa"/>
              <w:left w:w="15" w:type="dxa"/>
              <w:right w:w="15" w:type="dxa"/>
            </w:tcMar>
            <w:vAlign w:val="center"/>
          </w:tcPr>
          <w:p w14:paraId="2D83CA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0.1761</w:t>
            </w:r>
          </w:p>
        </w:tc>
        <w:tc>
          <w:tcPr>
            <w:tcW w:w="973" w:type="dxa"/>
            <w:tcBorders>
              <w:top w:val="single" w:color="auto" w:sz="12" w:space="0"/>
              <w:tl2br w:val="nil"/>
              <w:tr2bl w:val="nil"/>
            </w:tcBorders>
            <w:shd w:val="clear" w:color="auto" w:fill="auto"/>
            <w:noWrap/>
            <w:tcMar>
              <w:top w:w="15" w:type="dxa"/>
              <w:left w:w="15" w:type="dxa"/>
              <w:right w:w="15" w:type="dxa"/>
            </w:tcMar>
            <w:vAlign w:val="center"/>
          </w:tcPr>
          <w:p w14:paraId="2A0D95E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18"/>
                <w:szCs w:val="18"/>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0.2373</w:t>
            </w:r>
          </w:p>
        </w:tc>
        <w:tc>
          <w:tcPr>
            <w:tcW w:w="973" w:type="dxa"/>
            <w:tcBorders>
              <w:top w:val="single" w:color="auto" w:sz="12" w:space="0"/>
              <w:tl2br w:val="nil"/>
              <w:tr2bl w:val="nil"/>
            </w:tcBorders>
            <w:shd w:val="clear" w:color="auto" w:fill="auto"/>
            <w:noWrap/>
            <w:tcMar>
              <w:top w:w="15" w:type="dxa"/>
              <w:left w:w="15" w:type="dxa"/>
              <w:right w:w="15" w:type="dxa"/>
            </w:tcMar>
            <w:vAlign w:val="center"/>
          </w:tcPr>
          <w:p w14:paraId="2158AF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0.2762</w:t>
            </w:r>
          </w:p>
        </w:tc>
        <w:tc>
          <w:tcPr>
            <w:tcW w:w="973" w:type="dxa"/>
            <w:tcBorders>
              <w:top w:val="single" w:color="auto" w:sz="12" w:space="0"/>
              <w:tl2br w:val="nil"/>
              <w:tr2bl w:val="nil"/>
            </w:tcBorders>
            <w:shd w:val="clear" w:color="auto" w:fill="auto"/>
            <w:noWrap/>
            <w:tcMar>
              <w:top w:w="15" w:type="dxa"/>
              <w:left w:w="15" w:type="dxa"/>
              <w:right w:w="15" w:type="dxa"/>
            </w:tcMar>
            <w:vAlign w:val="center"/>
          </w:tcPr>
          <w:p w14:paraId="12BF3E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0.0004</w:t>
            </w:r>
          </w:p>
        </w:tc>
        <w:tc>
          <w:tcPr>
            <w:tcW w:w="973" w:type="dxa"/>
            <w:tcBorders>
              <w:top w:val="single" w:color="auto" w:sz="12" w:space="0"/>
              <w:tl2br w:val="nil"/>
              <w:tr2bl w:val="nil"/>
            </w:tcBorders>
            <w:shd w:val="clear" w:color="auto" w:fill="auto"/>
            <w:noWrap/>
            <w:tcMar>
              <w:top w:w="15" w:type="dxa"/>
              <w:left w:w="15" w:type="dxa"/>
              <w:right w:w="15" w:type="dxa"/>
            </w:tcMar>
            <w:vAlign w:val="center"/>
          </w:tcPr>
          <w:p w14:paraId="75F701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0.1159</w:t>
            </w:r>
          </w:p>
        </w:tc>
        <w:tc>
          <w:tcPr>
            <w:tcW w:w="973" w:type="dxa"/>
            <w:tcBorders>
              <w:top w:val="single" w:color="auto" w:sz="12" w:space="0"/>
              <w:tl2br w:val="nil"/>
              <w:tr2bl w:val="nil"/>
            </w:tcBorders>
            <w:shd w:val="clear" w:color="auto" w:fill="auto"/>
            <w:noWrap/>
            <w:tcMar>
              <w:top w:w="15" w:type="dxa"/>
              <w:left w:w="15" w:type="dxa"/>
              <w:right w:w="15" w:type="dxa"/>
            </w:tcMar>
            <w:vAlign w:val="center"/>
          </w:tcPr>
          <w:p w14:paraId="74AAAC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0.0117</w:t>
            </w:r>
          </w:p>
        </w:tc>
      </w:tr>
      <w:tr w14:paraId="30A326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434" w:type="dxa"/>
            <w:tcBorders>
              <w:tl2br w:val="nil"/>
              <w:tr2bl w:val="nil"/>
            </w:tcBorders>
            <w:shd w:val="clear" w:color="auto" w:fill="auto"/>
            <w:noWrap/>
            <w:tcMar>
              <w:top w:w="15" w:type="dxa"/>
              <w:left w:w="15" w:type="dxa"/>
              <w:right w:w="15" w:type="dxa"/>
            </w:tcMar>
            <w:vAlign w:val="center"/>
          </w:tcPr>
          <w:p w14:paraId="5EED58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 xml:space="preserve">PI </w:t>
            </w:r>
            <w:r>
              <w:rPr>
                <w:rFonts w:hint="default" w:ascii="Times New Roman" w:hAnsi="Times New Roman" w:eastAsia="宋体" w:cs="Times New Roman"/>
                <w:i w:val="0"/>
                <w:color w:val="000000"/>
                <w:kern w:val="0"/>
                <w:sz w:val="21"/>
                <w:szCs w:val="21"/>
                <w:highlight w:val="none"/>
                <w:u w:val="none"/>
                <w:vertAlign w:val="subscript"/>
                <w:lang w:val="en-US" w:eastAsia="zh-CN" w:bidi="ar"/>
              </w:rPr>
              <w:t>最大</w:t>
            </w:r>
          </w:p>
        </w:tc>
        <w:tc>
          <w:tcPr>
            <w:tcW w:w="1434" w:type="dxa"/>
            <w:tcBorders>
              <w:tl2br w:val="nil"/>
              <w:tr2bl w:val="nil"/>
            </w:tcBorders>
            <w:shd w:val="clear" w:color="auto" w:fill="auto"/>
            <w:noWrap/>
            <w:tcMar>
              <w:top w:w="15" w:type="dxa"/>
              <w:left w:w="15" w:type="dxa"/>
              <w:right w:w="15" w:type="dxa"/>
            </w:tcMar>
            <w:vAlign w:val="center"/>
          </w:tcPr>
          <w:p w14:paraId="76CB9C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0.3536</w:t>
            </w:r>
          </w:p>
        </w:tc>
        <w:tc>
          <w:tcPr>
            <w:tcW w:w="972" w:type="dxa"/>
            <w:tcBorders>
              <w:tl2br w:val="nil"/>
              <w:tr2bl w:val="nil"/>
            </w:tcBorders>
            <w:shd w:val="clear" w:color="auto" w:fill="auto"/>
            <w:noWrap/>
            <w:tcMar>
              <w:top w:w="15" w:type="dxa"/>
              <w:left w:w="15" w:type="dxa"/>
              <w:right w:w="15" w:type="dxa"/>
            </w:tcMar>
            <w:vAlign w:val="center"/>
          </w:tcPr>
          <w:p w14:paraId="15F03E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0.2122</w:t>
            </w:r>
          </w:p>
        </w:tc>
        <w:tc>
          <w:tcPr>
            <w:tcW w:w="972" w:type="dxa"/>
            <w:tcBorders>
              <w:tl2br w:val="nil"/>
              <w:tr2bl w:val="nil"/>
            </w:tcBorders>
            <w:shd w:val="clear" w:color="auto" w:fill="auto"/>
            <w:noWrap/>
            <w:tcMar>
              <w:top w:w="15" w:type="dxa"/>
              <w:left w:w="15" w:type="dxa"/>
              <w:right w:w="15" w:type="dxa"/>
            </w:tcMar>
            <w:vAlign w:val="center"/>
          </w:tcPr>
          <w:p w14:paraId="70CEE4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0.0677</w:t>
            </w:r>
          </w:p>
        </w:tc>
        <w:tc>
          <w:tcPr>
            <w:tcW w:w="972" w:type="dxa"/>
            <w:tcBorders>
              <w:tl2br w:val="nil"/>
              <w:tr2bl w:val="nil"/>
            </w:tcBorders>
            <w:shd w:val="clear" w:color="auto" w:fill="auto"/>
            <w:noWrap/>
            <w:tcMar>
              <w:top w:w="15" w:type="dxa"/>
              <w:left w:w="15" w:type="dxa"/>
              <w:right w:w="15" w:type="dxa"/>
            </w:tcMar>
            <w:vAlign w:val="center"/>
          </w:tcPr>
          <w:p w14:paraId="231B93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0.6650</w:t>
            </w:r>
          </w:p>
        </w:tc>
        <w:tc>
          <w:tcPr>
            <w:tcW w:w="972" w:type="dxa"/>
            <w:tcBorders>
              <w:tl2br w:val="nil"/>
              <w:tr2bl w:val="nil"/>
            </w:tcBorders>
            <w:shd w:val="clear" w:color="auto" w:fill="auto"/>
            <w:noWrap/>
            <w:tcMar>
              <w:top w:w="15" w:type="dxa"/>
              <w:left w:w="15" w:type="dxa"/>
              <w:right w:w="15" w:type="dxa"/>
            </w:tcMar>
            <w:vAlign w:val="center"/>
          </w:tcPr>
          <w:p w14:paraId="45B479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0.2667</w:t>
            </w:r>
          </w:p>
        </w:tc>
        <w:tc>
          <w:tcPr>
            <w:tcW w:w="973" w:type="dxa"/>
            <w:tcBorders>
              <w:tl2br w:val="nil"/>
              <w:tr2bl w:val="nil"/>
            </w:tcBorders>
            <w:shd w:val="clear" w:color="auto" w:fill="auto"/>
            <w:noWrap/>
            <w:tcMar>
              <w:top w:w="15" w:type="dxa"/>
              <w:left w:w="15" w:type="dxa"/>
              <w:right w:w="15" w:type="dxa"/>
            </w:tcMar>
            <w:vAlign w:val="center"/>
          </w:tcPr>
          <w:p w14:paraId="01D925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0.4200</w:t>
            </w:r>
          </w:p>
        </w:tc>
        <w:tc>
          <w:tcPr>
            <w:tcW w:w="973" w:type="dxa"/>
            <w:tcBorders>
              <w:tl2br w:val="nil"/>
              <w:tr2bl w:val="nil"/>
            </w:tcBorders>
            <w:shd w:val="clear" w:color="auto" w:fill="auto"/>
            <w:noWrap/>
            <w:tcMar>
              <w:top w:w="15" w:type="dxa"/>
              <w:left w:w="15" w:type="dxa"/>
              <w:right w:w="15" w:type="dxa"/>
            </w:tcMar>
            <w:vAlign w:val="center"/>
          </w:tcPr>
          <w:p w14:paraId="5F1211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0.3737</w:t>
            </w:r>
          </w:p>
        </w:tc>
        <w:tc>
          <w:tcPr>
            <w:tcW w:w="973" w:type="dxa"/>
            <w:tcBorders>
              <w:tl2br w:val="nil"/>
              <w:tr2bl w:val="nil"/>
            </w:tcBorders>
            <w:shd w:val="clear" w:color="auto" w:fill="auto"/>
            <w:noWrap/>
            <w:tcMar>
              <w:top w:w="15" w:type="dxa"/>
              <w:left w:w="15" w:type="dxa"/>
              <w:right w:w="15" w:type="dxa"/>
            </w:tcMar>
            <w:vAlign w:val="center"/>
          </w:tcPr>
          <w:p w14:paraId="3EB1B3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0.6880</w:t>
            </w:r>
          </w:p>
        </w:tc>
        <w:tc>
          <w:tcPr>
            <w:tcW w:w="973" w:type="dxa"/>
            <w:tcBorders>
              <w:tl2br w:val="nil"/>
              <w:tr2bl w:val="nil"/>
            </w:tcBorders>
            <w:shd w:val="clear" w:color="auto" w:fill="auto"/>
            <w:noWrap/>
            <w:tcMar>
              <w:top w:w="15" w:type="dxa"/>
              <w:left w:w="15" w:type="dxa"/>
              <w:right w:w="15" w:type="dxa"/>
            </w:tcMar>
            <w:vAlign w:val="center"/>
          </w:tcPr>
          <w:p w14:paraId="33EBCD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18"/>
                <w:szCs w:val="18"/>
                <w:highlight w:val="none"/>
                <w:u w:val="none"/>
                <w:lang w:val="en-US" w:eastAsia="zh-CN" w:bidi="ar"/>
              </w:rPr>
            </w:pPr>
            <w:r>
              <w:rPr>
                <w:rFonts w:hint="default" w:ascii="Times New Roman" w:hAnsi="Times New Roman" w:eastAsia="宋体" w:cs="Times New Roman"/>
                <w:i w:val="0"/>
                <w:color w:val="000000"/>
                <w:kern w:val="0"/>
                <w:sz w:val="21"/>
                <w:szCs w:val="21"/>
                <w:highlight w:val="none"/>
                <w:u w:val="none"/>
                <w:lang w:val="en-US" w:eastAsia="zh-CN" w:bidi="ar"/>
              </w:rPr>
              <w:t>0.3033</w:t>
            </w:r>
          </w:p>
        </w:tc>
        <w:tc>
          <w:tcPr>
            <w:tcW w:w="973" w:type="dxa"/>
            <w:tcBorders>
              <w:tl2br w:val="nil"/>
              <w:tr2bl w:val="nil"/>
            </w:tcBorders>
            <w:shd w:val="clear" w:color="auto" w:fill="auto"/>
            <w:noWrap/>
            <w:tcMar>
              <w:top w:w="15" w:type="dxa"/>
              <w:left w:w="15" w:type="dxa"/>
              <w:right w:w="15" w:type="dxa"/>
            </w:tcMar>
            <w:vAlign w:val="center"/>
          </w:tcPr>
          <w:p w14:paraId="63C0DB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0.6700</w:t>
            </w:r>
          </w:p>
        </w:tc>
        <w:tc>
          <w:tcPr>
            <w:tcW w:w="973" w:type="dxa"/>
            <w:tcBorders>
              <w:tl2br w:val="nil"/>
              <w:tr2bl w:val="nil"/>
            </w:tcBorders>
            <w:shd w:val="clear" w:color="auto" w:fill="auto"/>
            <w:noWrap/>
            <w:tcMar>
              <w:top w:w="15" w:type="dxa"/>
              <w:left w:w="15" w:type="dxa"/>
              <w:right w:w="15" w:type="dxa"/>
            </w:tcMar>
            <w:vAlign w:val="center"/>
          </w:tcPr>
          <w:p w14:paraId="741AD9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0.0009</w:t>
            </w:r>
          </w:p>
        </w:tc>
        <w:tc>
          <w:tcPr>
            <w:tcW w:w="973" w:type="dxa"/>
            <w:tcBorders>
              <w:tl2br w:val="nil"/>
              <w:tr2bl w:val="nil"/>
            </w:tcBorders>
            <w:shd w:val="clear" w:color="auto" w:fill="auto"/>
            <w:noWrap/>
            <w:tcMar>
              <w:top w:w="15" w:type="dxa"/>
              <w:left w:w="15" w:type="dxa"/>
              <w:right w:w="15" w:type="dxa"/>
            </w:tcMar>
            <w:vAlign w:val="center"/>
          </w:tcPr>
          <w:p w14:paraId="2B4FFC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0.2100</w:t>
            </w:r>
          </w:p>
        </w:tc>
        <w:tc>
          <w:tcPr>
            <w:tcW w:w="973" w:type="dxa"/>
            <w:tcBorders>
              <w:tl2br w:val="nil"/>
              <w:tr2bl w:val="nil"/>
            </w:tcBorders>
            <w:shd w:val="clear" w:color="auto" w:fill="auto"/>
            <w:noWrap/>
            <w:tcMar>
              <w:top w:w="15" w:type="dxa"/>
              <w:left w:w="15" w:type="dxa"/>
              <w:right w:w="15" w:type="dxa"/>
            </w:tcMar>
            <w:vAlign w:val="center"/>
          </w:tcPr>
          <w:p w14:paraId="78A3A3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0.0578</w:t>
            </w:r>
          </w:p>
        </w:tc>
      </w:tr>
      <w:tr w14:paraId="22D8E4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jc w:val="center"/>
        </w:trPr>
        <w:tc>
          <w:tcPr>
            <w:tcW w:w="1434" w:type="dxa"/>
            <w:tcBorders>
              <w:tl2br w:val="nil"/>
              <w:tr2bl w:val="nil"/>
            </w:tcBorders>
            <w:shd w:val="clear" w:color="auto" w:fill="auto"/>
            <w:noWrap/>
            <w:tcMar>
              <w:top w:w="15" w:type="dxa"/>
              <w:left w:w="15" w:type="dxa"/>
              <w:right w:w="15" w:type="dxa"/>
            </w:tcMar>
            <w:vAlign w:val="center"/>
          </w:tcPr>
          <w:p w14:paraId="5B97C0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P</w:t>
            </w:r>
            <w:r>
              <w:rPr>
                <w:rFonts w:hint="default" w:ascii="Times New Roman" w:hAnsi="Times New Roman" w:eastAsia="宋体" w:cs="Times New Roman"/>
                <w:i w:val="0"/>
                <w:color w:val="000000"/>
                <w:kern w:val="0"/>
                <w:sz w:val="21"/>
                <w:szCs w:val="21"/>
                <w:highlight w:val="none"/>
                <w:u w:val="none"/>
                <w:vertAlign w:val="subscript"/>
                <w:lang w:val="en-US" w:eastAsia="zh-CN" w:bidi="ar"/>
              </w:rPr>
              <w:t>N</w:t>
            </w:r>
          </w:p>
        </w:tc>
        <w:tc>
          <w:tcPr>
            <w:tcW w:w="1434" w:type="dxa"/>
            <w:tcBorders>
              <w:tl2br w:val="nil"/>
              <w:tr2bl w:val="nil"/>
            </w:tcBorders>
            <w:shd w:val="clear" w:color="auto" w:fill="auto"/>
            <w:noWrap/>
            <w:tcMar>
              <w:top w:w="15" w:type="dxa"/>
              <w:left w:w="15" w:type="dxa"/>
              <w:right w:w="15" w:type="dxa"/>
            </w:tcMar>
            <w:vAlign w:val="center"/>
          </w:tcPr>
          <w:p w14:paraId="0A1472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0.2647</w:t>
            </w:r>
          </w:p>
        </w:tc>
        <w:tc>
          <w:tcPr>
            <w:tcW w:w="972" w:type="dxa"/>
            <w:tcBorders>
              <w:tl2br w:val="nil"/>
              <w:tr2bl w:val="nil"/>
            </w:tcBorders>
            <w:shd w:val="clear" w:color="auto" w:fill="auto"/>
            <w:noWrap/>
            <w:tcMar>
              <w:top w:w="15" w:type="dxa"/>
              <w:left w:w="15" w:type="dxa"/>
              <w:right w:w="15" w:type="dxa"/>
            </w:tcMar>
            <w:vAlign w:val="center"/>
          </w:tcPr>
          <w:p w14:paraId="1FE36C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0.1628</w:t>
            </w:r>
          </w:p>
        </w:tc>
        <w:tc>
          <w:tcPr>
            <w:tcW w:w="972" w:type="dxa"/>
            <w:tcBorders>
              <w:tl2br w:val="nil"/>
              <w:tr2bl w:val="nil"/>
            </w:tcBorders>
            <w:shd w:val="clear" w:color="auto" w:fill="auto"/>
            <w:noWrap/>
            <w:tcMar>
              <w:top w:w="15" w:type="dxa"/>
              <w:left w:w="15" w:type="dxa"/>
              <w:right w:w="15" w:type="dxa"/>
            </w:tcMar>
            <w:vAlign w:val="center"/>
          </w:tcPr>
          <w:p w14:paraId="4B52C4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0.0514</w:t>
            </w:r>
          </w:p>
        </w:tc>
        <w:tc>
          <w:tcPr>
            <w:tcW w:w="972" w:type="dxa"/>
            <w:tcBorders>
              <w:tl2br w:val="nil"/>
              <w:tr2bl w:val="nil"/>
            </w:tcBorders>
            <w:shd w:val="clear" w:color="auto" w:fill="auto"/>
            <w:noWrap/>
            <w:tcMar>
              <w:top w:w="15" w:type="dxa"/>
              <w:left w:w="15" w:type="dxa"/>
              <w:right w:w="15" w:type="dxa"/>
            </w:tcMar>
            <w:vAlign w:val="center"/>
          </w:tcPr>
          <w:p w14:paraId="49A858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0.5065</w:t>
            </w:r>
          </w:p>
        </w:tc>
        <w:tc>
          <w:tcPr>
            <w:tcW w:w="972" w:type="dxa"/>
            <w:tcBorders>
              <w:tl2br w:val="nil"/>
              <w:tr2bl w:val="nil"/>
            </w:tcBorders>
            <w:shd w:val="clear" w:color="auto" w:fill="auto"/>
            <w:noWrap/>
            <w:tcMar>
              <w:top w:w="15" w:type="dxa"/>
              <w:left w:w="15" w:type="dxa"/>
              <w:right w:w="15" w:type="dxa"/>
            </w:tcMar>
            <w:vAlign w:val="center"/>
          </w:tcPr>
          <w:p w14:paraId="09F0B3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0.1948</w:t>
            </w:r>
          </w:p>
        </w:tc>
        <w:tc>
          <w:tcPr>
            <w:tcW w:w="973" w:type="dxa"/>
            <w:tcBorders>
              <w:tl2br w:val="nil"/>
              <w:tr2bl w:val="nil"/>
            </w:tcBorders>
            <w:shd w:val="clear" w:color="auto" w:fill="auto"/>
            <w:noWrap/>
            <w:tcMar>
              <w:top w:w="15" w:type="dxa"/>
              <w:left w:w="15" w:type="dxa"/>
              <w:right w:w="15" w:type="dxa"/>
            </w:tcMar>
            <w:vAlign w:val="center"/>
          </w:tcPr>
          <w:p w14:paraId="071603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0.3078</w:t>
            </w:r>
          </w:p>
        </w:tc>
        <w:tc>
          <w:tcPr>
            <w:tcW w:w="973" w:type="dxa"/>
            <w:tcBorders>
              <w:tl2br w:val="nil"/>
              <w:tr2bl w:val="nil"/>
            </w:tcBorders>
            <w:shd w:val="clear" w:color="auto" w:fill="auto"/>
            <w:noWrap/>
            <w:tcMar>
              <w:top w:w="15" w:type="dxa"/>
              <w:left w:w="15" w:type="dxa"/>
              <w:right w:w="15" w:type="dxa"/>
            </w:tcMar>
            <w:vAlign w:val="center"/>
          </w:tcPr>
          <w:p w14:paraId="30DE58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0.2905</w:t>
            </w:r>
          </w:p>
        </w:tc>
        <w:tc>
          <w:tcPr>
            <w:tcW w:w="973" w:type="dxa"/>
            <w:tcBorders>
              <w:tl2br w:val="nil"/>
              <w:tr2bl w:val="nil"/>
            </w:tcBorders>
            <w:shd w:val="clear" w:color="auto" w:fill="auto"/>
            <w:noWrap/>
            <w:tcMar>
              <w:top w:w="15" w:type="dxa"/>
              <w:left w:w="15" w:type="dxa"/>
              <w:right w:w="15" w:type="dxa"/>
            </w:tcMar>
            <w:vAlign w:val="center"/>
          </w:tcPr>
          <w:p w14:paraId="6C7930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0.5022</w:t>
            </w:r>
          </w:p>
        </w:tc>
        <w:tc>
          <w:tcPr>
            <w:tcW w:w="973" w:type="dxa"/>
            <w:tcBorders>
              <w:tl2br w:val="nil"/>
              <w:tr2bl w:val="nil"/>
            </w:tcBorders>
            <w:shd w:val="clear" w:color="auto" w:fill="auto"/>
            <w:noWrap/>
            <w:tcMar>
              <w:top w:w="15" w:type="dxa"/>
              <w:left w:w="15" w:type="dxa"/>
              <w:right w:w="15" w:type="dxa"/>
            </w:tcMar>
            <w:vAlign w:val="center"/>
          </w:tcPr>
          <w:p w14:paraId="11277B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kern w:val="0"/>
                <w:sz w:val="18"/>
                <w:szCs w:val="18"/>
                <w:highlight w:val="none"/>
                <w:u w:val="none"/>
                <w:lang w:val="en-US" w:eastAsia="zh-CN" w:bidi="ar"/>
              </w:rPr>
            </w:pPr>
            <w:r>
              <w:rPr>
                <w:rFonts w:hint="default" w:ascii="Times New Roman" w:hAnsi="Times New Roman" w:eastAsia="宋体" w:cs="Times New Roman"/>
                <w:i w:val="0"/>
                <w:color w:val="000000"/>
                <w:kern w:val="0"/>
                <w:sz w:val="22"/>
                <w:szCs w:val="22"/>
                <w:highlight w:val="none"/>
                <w:u w:val="none"/>
                <w:lang w:val="en-US" w:eastAsia="zh-CN" w:bidi="ar"/>
              </w:rPr>
              <w:t>0.2723</w:t>
            </w:r>
          </w:p>
        </w:tc>
        <w:tc>
          <w:tcPr>
            <w:tcW w:w="973" w:type="dxa"/>
            <w:tcBorders>
              <w:tl2br w:val="nil"/>
              <w:tr2bl w:val="nil"/>
            </w:tcBorders>
            <w:shd w:val="clear" w:color="auto" w:fill="auto"/>
            <w:noWrap/>
            <w:tcMar>
              <w:top w:w="15" w:type="dxa"/>
              <w:left w:w="15" w:type="dxa"/>
              <w:right w:w="15" w:type="dxa"/>
            </w:tcMar>
            <w:vAlign w:val="center"/>
          </w:tcPr>
          <w:p w14:paraId="7443CEF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0.5124</w:t>
            </w:r>
          </w:p>
        </w:tc>
        <w:tc>
          <w:tcPr>
            <w:tcW w:w="973" w:type="dxa"/>
            <w:tcBorders>
              <w:tl2br w:val="nil"/>
              <w:tr2bl w:val="nil"/>
            </w:tcBorders>
            <w:shd w:val="clear" w:color="auto" w:fill="auto"/>
            <w:noWrap/>
            <w:tcMar>
              <w:top w:w="15" w:type="dxa"/>
              <w:left w:w="15" w:type="dxa"/>
              <w:right w:w="15" w:type="dxa"/>
            </w:tcMar>
            <w:vAlign w:val="center"/>
          </w:tcPr>
          <w:p w14:paraId="260795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0.2647</w:t>
            </w:r>
          </w:p>
        </w:tc>
        <w:tc>
          <w:tcPr>
            <w:tcW w:w="973" w:type="dxa"/>
            <w:tcBorders>
              <w:tl2br w:val="nil"/>
              <w:tr2bl w:val="nil"/>
            </w:tcBorders>
            <w:shd w:val="clear" w:color="auto" w:fill="auto"/>
            <w:noWrap/>
            <w:tcMar>
              <w:top w:w="15" w:type="dxa"/>
              <w:left w:w="15" w:type="dxa"/>
              <w:right w:w="15" w:type="dxa"/>
            </w:tcMar>
            <w:vAlign w:val="center"/>
          </w:tcPr>
          <w:p w14:paraId="7846AF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0.1628</w:t>
            </w:r>
          </w:p>
        </w:tc>
        <w:tc>
          <w:tcPr>
            <w:tcW w:w="973" w:type="dxa"/>
            <w:tcBorders>
              <w:tl2br w:val="nil"/>
              <w:tr2bl w:val="nil"/>
            </w:tcBorders>
            <w:shd w:val="clear" w:color="auto" w:fill="auto"/>
            <w:noWrap/>
            <w:tcMar>
              <w:top w:w="15" w:type="dxa"/>
              <w:left w:w="15" w:type="dxa"/>
              <w:right w:w="15" w:type="dxa"/>
            </w:tcMar>
            <w:vAlign w:val="center"/>
          </w:tcPr>
          <w:p w14:paraId="7B0280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color w:val="000000"/>
                <w:sz w:val="18"/>
                <w:szCs w:val="18"/>
                <w:highlight w:val="none"/>
                <w:u w:val="none"/>
              </w:rPr>
            </w:pPr>
            <w:r>
              <w:rPr>
                <w:rFonts w:hint="default" w:ascii="Times New Roman" w:hAnsi="Times New Roman" w:eastAsia="宋体" w:cs="Times New Roman"/>
                <w:i w:val="0"/>
                <w:color w:val="000000"/>
                <w:kern w:val="0"/>
                <w:sz w:val="22"/>
                <w:szCs w:val="22"/>
                <w:highlight w:val="none"/>
                <w:u w:val="none"/>
                <w:lang w:val="en-US" w:eastAsia="zh-CN" w:bidi="ar"/>
              </w:rPr>
              <w:t>0.0514</w:t>
            </w:r>
          </w:p>
        </w:tc>
      </w:tr>
    </w:tbl>
    <w:p w14:paraId="0027CD2C">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20" w:firstLineChars="0"/>
        <w:jc w:val="both"/>
        <w:textAlignment w:val="auto"/>
        <w:rPr>
          <w:rFonts w:hint="default" w:ascii="Times New Roman" w:hAnsi="Times New Roman" w:eastAsia="宋体" w:cs="Times New Roman"/>
          <w:b w:val="0"/>
          <w:bCs w:val="0"/>
          <w:highlight w:val="none"/>
          <w:lang w:val="en-US" w:eastAsia="zh-CN"/>
        </w:rPr>
        <w:sectPr>
          <w:headerReference r:id="rId19" w:type="default"/>
          <w:pgSz w:w="16781" w:h="11849" w:orient="landscape"/>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0" w:charSpace="0"/>
        </w:sectPr>
      </w:pPr>
      <w:r>
        <w:rPr>
          <w:rFonts w:hint="default" w:ascii="Times New Roman" w:hAnsi="Times New Roman" w:eastAsia="宋体" w:cs="Times New Roman"/>
          <w:b w:val="0"/>
          <w:bCs w:val="0"/>
          <w:highlight w:val="none"/>
          <w:lang w:val="en-US" w:eastAsia="zh-CN"/>
        </w:rPr>
        <w:t>根据表</w:t>
      </w:r>
      <w:r>
        <w:rPr>
          <w:rFonts w:hint="default" w:ascii="Times New Roman" w:hAnsi="Times New Roman" w:cs="Times New Roman"/>
          <w:b w:val="0"/>
          <w:bCs w:val="0"/>
          <w:highlight w:val="none"/>
          <w:lang w:val="en-US" w:eastAsia="zh-CN"/>
        </w:rPr>
        <w:t>5</w:t>
      </w:r>
      <w:r>
        <w:rPr>
          <w:rFonts w:hint="default" w:ascii="Times New Roman" w:hAnsi="Times New Roman" w:eastAsia="宋体" w:cs="Times New Roman"/>
          <w:b w:val="0"/>
          <w:bCs w:val="0"/>
          <w:highlight w:val="none"/>
          <w:lang w:val="en-US" w:eastAsia="zh-CN"/>
        </w:rPr>
        <w:t>-</w:t>
      </w:r>
      <w:r>
        <w:rPr>
          <w:rFonts w:hint="default" w:ascii="Times New Roman" w:hAnsi="Times New Roman" w:cs="Times New Roman"/>
          <w:b w:val="0"/>
          <w:bCs w:val="0"/>
          <w:highlight w:val="none"/>
          <w:lang w:val="en-US" w:eastAsia="zh-CN"/>
        </w:rPr>
        <w:t>4</w:t>
      </w:r>
      <w:r>
        <w:rPr>
          <w:rFonts w:hint="default" w:ascii="Times New Roman" w:hAnsi="Times New Roman" w:eastAsia="宋体" w:cs="Times New Roman"/>
          <w:b w:val="0"/>
          <w:bCs w:val="0"/>
          <w:highlight w:val="none"/>
          <w:lang w:val="en-US" w:eastAsia="zh-CN"/>
        </w:rPr>
        <w:t>-</w:t>
      </w:r>
      <w:r>
        <w:rPr>
          <w:rFonts w:hint="default" w:ascii="Times New Roman" w:hAnsi="Times New Roman" w:cs="Times New Roman"/>
          <w:b w:val="0"/>
          <w:bCs w:val="0"/>
          <w:highlight w:val="none"/>
          <w:lang w:val="en-US" w:eastAsia="zh-CN"/>
        </w:rPr>
        <w:t>2</w:t>
      </w:r>
      <w:r>
        <w:rPr>
          <w:rFonts w:hint="default" w:ascii="Times New Roman" w:hAnsi="Times New Roman" w:eastAsia="宋体" w:cs="Times New Roman"/>
          <w:b w:val="0"/>
          <w:bCs w:val="0"/>
          <w:highlight w:val="none"/>
          <w:lang w:val="en-US" w:eastAsia="zh-CN"/>
        </w:rPr>
        <w:t>中内容，该</w:t>
      </w:r>
      <w:r>
        <w:rPr>
          <w:highlight w:val="none"/>
        </w:rPr>
        <w:t>工业园区</w:t>
      </w:r>
      <w:r>
        <w:rPr>
          <w:rFonts w:hint="eastAsia"/>
          <w:highlight w:val="none"/>
        </w:rPr>
        <w:t>周边</w:t>
      </w:r>
      <w:r>
        <w:rPr>
          <w:rFonts w:hint="default" w:ascii="Times New Roman" w:hAnsi="Times New Roman" w:eastAsia="宋体" w:cs="Times New Roman"/>
          <w:b w:val="0"/>
          <w:bCs w:val="0"/>
          <w:color w:val="auto"/>
          <w:highlight w:val="none"/>
          <w:lang w:val="en-US" w:eastAsia="zh-CN"/>
        </w:rPr>
        <w:t>P</w:t>
      </w:r>
      <w:r>
        <w:rPr>
          <w:rFonts w:hint="default" w:ascii="Times New Roman" w:hAnsi="Times New Roman" w:eastAsia="宋体" w:cs="Times New Roman"/>
          <w:b w:val="0"/>
          <w:bCs w:val="0"/>
          <w:color w:val="auto"/>
          <w:highlight w:val="none"/>
          <w:vertAlign w:val="subscript"/>
          <w:lang w:val="en-US" w:eastAsia="zh-CN"/>
        </w:rPr>
        <w:t>N</w:t>
      </w:r>
      <w:r>
        <w:rPr>
          <w:rFonts w:hint="default" w:ascii="Times New Roman" w:hAnsi="Times New Roman" w:cs="Times New Roman"/>
          <w:b w:val="0"/>
          <w:bCs w:val="0"/>
          <w:color w:val="auto"/>
          <w:highlight w:val="none"/>
          <w:vertAlign w:val="subscript"/>
          <w:lang w:val="en-US" w:eastAsia="zh-CN"/>
        </w:rPr>
        <w:t>max</w:t>
      </w:r>
      <w:r>
        <w:rPr>
          <w:rFonts w:hint="default" w:ascii="Times New Roman" w:hAnsi="Times New Roman" w:cs="Times New Roman"/>
          <w:b w:val="0"/>
          <w:bCs w:val="0"/>
          <w:color w:val="auto"/>
          <w:highlight w:val="none"/>
          <w:lang w:val="en-US" w:eastAsia="zh-CN"/>
        </w:rPr>
        <w:t>=0.5124</w:t>
      </w:r>
      <w:r>
        <w:rPr>
          <w:rFonts w:hint="eastAsia" w:ascii="Times New Roman" w:hAnsi="Times New Roman" w:cs="Times New Roman"/>
          <w:b w:val="0"/>
          <w:bCs w:val="0"/>
          <w:color w:val="auto"/>
          <w:highlight w:val="none"/>
          <w:lang w:val="en-US" w:eastAsia="zh-CN"/>
        </w:rPr>
        <w:t>＜</w:t>
      </w:r>
      <w:r>
        <w:rPr>
          <w:rFonts w:hint="default" w:ascii="Times New Roman" w:hAnsi="Times New Roman" w:cs="Times New Roman"/>
          <w:b w:val="0"/>
          <w:bCs w:val="0"/>
          <w:color w:val="auto"/>
          <w:highlight w:val="none"/>
          <w:lang w:val="en-US" w:eastAsia="zh-CN"/>
        </w:rPr>
        <w:t>0.7</w:t>
      </w:r>
      <w:r>
        <w:rPr>
          <w:rFonts w:hint="default" w:ascii="Times New Roman" w:hAnsi="Times New Roman" w:eastAsia="宋体" w:cs="Times New Roman"/>
          <w:b w:val="0"/>
          <w:bCs w:val="0"/>
          <w:color w:val="auto"/>
          <w:highlight w:val="none"/>
          <w:lang w:val="en-US" w:eastAsia="zh-CN"/>
        </w:rPr>
        <w:t>，依据表</w:t>
      </w:r>
      <w:r>
        <w:rPr>
          <w:rFonts w:hint="eastAsia" w:cs="Times New Roman"/>
          <w:b w:val="0"/>
          <w:bCs w:val="0"/>
          <w:color w:val="auto"/>
          <w:highlight w:val="none"/>
          <w:lang w:val="en-US" w:eastAsia="zh-CN"/>
        </w:rPr>
        <w:t>5-2-2</w:t>
      </w:r>
      <w:r>
        <w:rPr>
          <w:rFonts w:hint="default" w:ascii="Times New Roman" w:hAnsi="Times New Roman" w:eastAsia="宋体" w:cs="Times New Roman"/>
          <w:b w:val="0"/>
          <w:bCs w:val="0"/>
          <w:highlight w:val="none"/>
          <w:lang w:val="en-US" w:eastAsia="zh-CN"/>
        </w:rPr>
        <w:t>内梅罗污染指数评价标准，该工业园区可判定为I级清洁（安全）。</w:t>
      </w:r>
    </w:p>
    <w:p w14:paraId="25B72D84">
      <w:pPr>
        <w:pStyle w:val="4"/>
        <w:tabs>
          <w:tab w:val="left" w:leader="dot" w:pos="0"/>
          <w:tab w:val="clear" w:pos="425"/>
        </w:tabs>
        <w:rPr>
          <w:rFonts w:hint="default" w:ascii="Times New Roman" w:hAnsi="Times New Roman" w:cs="Times New Roman"/>
          <w:highlight w:val="none"/>
        </w:rPr>
      </w:pPr>
      <w:bookmarkStart w:id="47" w:name="_Toc24255"/>
      <w:r>
        <w:rPr>
          <w:rFonts w:hint="default" w:ascii="Times New Roman" w:hAnsi="Times New Roman" w:cs="Times New Roman"/>
          <w:highlight w:val="none"/>
        </w:rPr>
        <w:t>检测结果小结</w:t>
      </w:r>
      <w:bookmarkEnd w:id="46"/>
      <w:bookmarkEnd w:id="47"/>
    </w:p>
    <w:p w14:paraId="6FD778F5">
      <w:pPr>
        <w:pStyle w:val="5"/>
        <w:tabs>
          <w:tab w:val="clear" w:pos="851"/>
        </w:tabs>
        <w:rPr>
          <w:rFonts w:hint="default" w:ascii="Times New Roman" w:hAnsi="Times New Roman" w:cs="Times New Roman"/>
          <w:highlight w:val="none"/>
        </w:rPr>
      </w:pPr>
      <w:r>
        <w:rPr>
          <w:rFonts w:hint="default" w:ascii="Times New Roman" w:hAnsi="Times New Roman" w:cs="Times New Roman"/>
          <w:highlight w:val="none"/>
        </w:rPr>
        <w:t>土壤检测结果小结</w:t>
      </w:r>
    </w:p>
    <w:p w14:paraId="660DF65C">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sz w:val="24"/>
          <w:highlight w:val="none"/>
        </w:rPr>
        <w:t>本次调查</w:t>
      </w:r>
      <w:r>
        <w:rPr>
          <w:rFonts w:hint="default" w:ascii="Times New Roman" w:hAnsi="Times New Roman" w:cs="Times New Roman"/>
          <w:sz w:val="24"/>
          <w:highlight w:val="none"/>
          <w:lang w:eastAsia="zh-CN"/>
        </w:rPr>
        <w:t>共布设</w:t>
      </w:r>
      <w:r>
        <w:rPr>
          <w:rFonts w:hint="default" w:ascii="Times New Roman" w:hAnsi="Times New Roman" w:cs="Times New Roman"/>
          <w:sz w:val="24"/>
          <w:highlight w:val="none"/>
          <w:lang w:val="en-US" w:eastAsia="zh-CN"/>
        </w:rPr>
        <w:t>20</w:t>
      </w:r>
      <w:r>
        <w:rPr>
          <w:rFonts w:hint="default" w:ascii="Times New Roman" w:hAnsi="Times New Roman" w:cs="Times New Roman"/>
          <w:sz w:val="24"/>
          <w:highlight w:val="none"/>
        </w:rPr>
        <w:t>个土壤</w:t>
      </w:r>
      <w:r>
        <w:rPr>
          <w:rFonts w:hint="default" w:ascii="Times New Roman" w:hAnsi="Times New Roman" w:cs="Times New Roman"/>
          <w:sz w:val="24"/>
          <w:highlight w:val="none"/>
          <w:lang w:eastAsia="zh-CN"/>
        </w:rPr>
        <w:t>点位，采集</w:t>
      </w:r>
      <w:r>
        <w:rPr>
          <w:rFonts w:hint="default" w:ascii="Times New Roman" w:hAnsi="Times New Roman" w:cs="Times New Roman"/>
          <w:sz w:val="24"/>
          <w:highlight w:val="none"/>
          <w:lang w:val="en-US" w:eastAsia="zh-CN"/>
        </w:rPr>
        <w:t>20个土壤</w:t>
      </w:r>
      <w:r>
        <w:rPr>
          <w:rFonts w:hint="default" w:ascii="Times New Roman" w:hAnsi="Times New Roman" w:cs="Times New Roman"/>
          <w:sz w:val="24"/>
          <w:highlight w:val="none"/>
        </w:rPr>
        <w:t>样品</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3个现场平行盲样和1个运输空白样</w:t>
      </w:r>
      <w:r>
        <w:rPr>
          <w:rFonts w:hint="default" w:ascii="Times New Roman" w:hAnsi="Times New Roman" w:cs="Times New Roman"/>
          <w:sz w:val="24"/>
          <w:highlight w:val="none"/>
        </w:rPr>
        <w:t>，共检测</w:t>
      </w:r>
      <w:r>
        <w:rPr>
          <w:rFonts w:hint="default" w:ascii="Times New Roman" w:hAnsi="Times New Roman" w:cs="Times New Roman"/>
          <w:sz w:val="24"/>
          <w:highlight w:val="none"/>
          <w:lang w:val="en-US" w:eastAsia="zh-CN"/>
        </w:rPr>
        <w:t>57</w:t>
      </w:r>
      <w:r>
        <w:rPr>
          <w:rFonts w:hint="default" w:ascii="Times New Roman" w:hAnsi="Times New Roman" w:cs="Times New Roman"/>
          <w:sz w:val="24"/>
          <w:highlight w:val="none"/>
        </w:rPr>
        <w:t>项测试项目，其中</w:t>
      </w:r>
      <w:r>
        <w:rPr>
          <w:rFonts w:hint="default" w:ascii="Times New Roman" w:hAnsi="Times New Roman" w:cs="Times New Roman"/>
          <w:sz w:val="24"/>
          <w:highlight w:val="none"/>
          <w:lang w:val="en-US" w:eastAsia="zh-CN"/>
        </w:rPr>
        <w:t>10</w:t>
      </w:r>
      <w:r>
        <w:rPr>
          <w:rFonts w:hint="default" w:ascii="Times New Roman" w:hAnsi="Times New Roman" w:cs="Times New Roman"/>
          <w:sz w:val="24"/>
          <w:highlight w:val="none"/>
        </w:rPr>
        <w:t>项重金属测试项目除</w:t>
      </w:r>
      <w:r>
        <w:rPr>
          <w:rFonts w:hint="default" w:ascii="Times New Roman" w:hAnsi="Times New Roman" w:cs="Times New Roman"/>
          <w:sz w:val="24"/>
          <w:highlight w:val="none"/>
          <w:lang w:eastAsia="zh-CN"/>
        </w:rPr>
        <w:t>铬（六价）</w:t>
      </w:r>
      <w:r>
        <w:rPr>
          <w:rFonts w:hint="default" w:ascii="Times New Roman" w:hAnsi="Times New Roman" w:cs="Times New Roman"/>
          <w:sz w:val="24"/>
          <w:highlight w:val="none"/>
        </w:rPr>
        <w:t>外均有检出；挥发性有机物、半挥发性有机物均未检出</w:t>
      </w:r>
      <w:r>
        <w:rPr>
          <w:rFonts w:hint="default" w:ascii="Times New Roman" w:hAnsi="Times New Roman" w:cs="Times New Roman"/>
          <w:sz w:val="24"/>
          <w:highlight w:val="none"/>
          <w:lang w:eastAsia="zh-CN"/>
        </w:rPr>
        <w:t>；</w:t>
      </w:r>
      <w:r>
        <w:rPr>
          <w:rFonts w:hint="eastAsia" w:cs="Times New Roman"/>
          <w:sz w:val="24"/>
          <w:highlight w:val="none"/>
          <w:lang w:eastAsia="zh-CN"/>
        </w:rPr>
        <w:t>总氟化物</w:t>
      </w:r>
      <w:r>
        <w:rPr>
          <w:rFonts w:hint="default" w:ascii="Times New Roman" w:hAnsi="Times New Roman" w:cs="Times New Roman"/>
          <w:sz w:val="24"/>
          <w:highlight w:val="none"/>
          <w:lang w:eastAsia="zh-CN"/>
        </w:rPr>
        <w:t>、</w:t>
      </w:r>
      <w:r>
        <w:rPr>
          <w:rFonts w:hint="default" w:ascii="Times New Roman" w:hAnsi="Times New Roman" w:cs="Times New Roman"/>
          <w:highlight w:val="none"/>
          <w:lang w:val="en-US" w:eastAsia="zh-CN"/>
        </w:rPr>
        <w:t>二噁英</w:t>
      </w:r>
      <w:r>
        <w:rPr>
          <w:rFonts w:hint="eastAsia" w:cs="Times New Roman"/>
          <w:highlight w:val="none"/>
          <w:lang w:val="en-US" w:eastAsia="zh-CN"/>
        </w:rPr>
        <w:t>、</w:t>
      </w:r>
      <w:r>
        <w:rPr>
          <w:rFonts w:hint="default" w:ascii="Times New Roman" w:hAnsi="Times New Roman" w:cs="Times New Roman"/>
          <w:highlight w:val="none"/>
          <w:lang w:val="en-US" w:eastAsia="zh-CN"/>
        </w:rPr>
        <w:t>氰化物</w:t>
      </w:r>
      <w:r>
        <w:rPr>
          <w:rFonts w:hint="default" w:ascii="Times New Roman" w:hAnsi="Times New Roman" w:cs="Times New Roman"/>
          <w:sz w:val="24"/>
          <w:highlight w:val="none"/>
          <w:lang w:eastAsia="zh-CN"/>
        </w:rPr>
        <w:t>均有检出</w:t>
      </w:r>
      <w:r>
        <w:rPr>
          <w:rFonts w:hint="default" w:ascii="Times New Roman" w:hAnsi="Times New Roman" w:cs="Times New Roman"/>
          <w:sz w:val="24"/>
          <w:highlight w:val="none"/>
        </w:rPr>
        <w:t>。</w:t>
      </w:r>
      <w:r>
        <w:rPr>
          <w:rFonts w:hint="default" w:ascii="Times New Roman" w:hAnsi="Times New Roman" w:cs="Times New Roman"/>
          <w:highlight w:val="none"/>
          <w:lang w:val="en-US" w:eastAsia="zh-CN"/>
        </w:rPr>
        <w:t xml:space="preserve"> </w:t>
      </w:r>
    </w:p>
    <w:p w14:paraId="755FFDEF">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firstLine="480" w:firstLineChars="200"/>
        <w:textAlignment w:val="auto"/>
        <w:rPr>
          <w:rFonts w:hint="default"/>
          <w:highlight w:val="none"/>
          <w:lang w:val="en-US" w:eastAsia="zh-CN"/>
        </w:rPr>
      </w:pPr>
      <w:r>
        <w:rPr>
          <w:rFonts w:hint="default" w:ascii="Times New Roman" w:hAnsi="Times New Roman" w:cs="Times New Roman"/>
          <w:sz w:val="24"/>
          <w:highlight w:val="none"/>
          <w:lang w:eastAsia="zh-CN"/>
        </w:rPr>
        <w:t>各点位已检出污染物</w:t>
      </w:r>
      <w:r>
        <w:rPr>
          <w:rFonts w:hint="default" w:ascii="Times New Roman" w:hAnsi="Times New Roman" w:cs="Times New Roman"/>
          <w:highlight w:val="none"/>
          <w:lang w:eastAsia="zh-CN"/>
        </w:rPr>
        <w:t>均满足各点位对应的</w:t>
      </w:r>
      <w:r>
        <w:rPr>
          <w:rFonts w:hint="default" w:ascii="Times New Roman" w:hAnsi="Times New Roman" w:cs="Times New Roman"/>
          <w:sz w:val="24"/>
          <w:highlight w:val="none"/>
          <w:lang w:eastAsia="zh-CN"/>
        </w:rPr>
        <w:t>《</w:t>
      </w:r>
      <w:r>
        <w:rPr>
          <w:rFonts w:hint="default" w:ascii="Times New Roman" w:hAnsi="Times New Roman" w:cs="Times New Roman"/>
          <w:highlight w:val="none"/>
          <w:lang w:eastAsia="zh-CN"/>
        </w:rPr>
        <w:t>土壤环境质量 建设用地土壤污染风险管控标准（试行）》（GB36600</w:t>
      </w:r>
      <w:r>
        <w:rPr>
          <w:rFonts w:hint="default" w:ascii="Times New Roman" w:hAnsi="Times New Roman" w:cs="Times New Roman"/>
          <w:highlight w:val="none"/>
          <w:lang w:val="en-US" w:eastAsia="zh-CN"/>
        </w:rPr>
        <w:t>-2018</w:t>
      </w:r>
      <w:r>
        <w:rPr>
          <w:rFonts w:hint="default" w:ascii="Times New Roman" w:hAnsi="Times New Roman" w:cs="Times New Roman"/>
          <w:highlight w:val="none"/>
          <w:lang w:eastAsia="zh-CN"/>
        </w:rPr>
        <w:t>）、《土壤环境质量 农用地土壤污染风险管控标准（试行）》（GB1561</w:t>
      </w:r>
      <w:r>
        <w:rPr>
          <w:rFonts w:hint="eastAsia" w:cs="Times New Roman"/>
          <w:highlight w:val="none"/>
          <w:lang w:val="en-US" w:eastAsia="zh-CN"/>
        </w:rPr>
        <w:t>8</w:t>
      </w:r>
      <w:r>
        <w:rPr>
          <w:rFonts w:hint="default" w:ascii="Times New Roman" w:hAnsi="Times New Roman" w:cs="Times New Roman"/>
          <w:highlight w:val="none"/>
          <w:lang w:val="en-US" w:eastAsia="zh-CN"/>
        </w:rPr>
        <w:t>-2018</w:t>
      </w:r>
      <w:r>
        <w:rPr>
          <w:rFonts w:hint="default" w:ascii="Times New Roman" w:hAnsi="Times New Roman" w:cs="Times New Roman"/>
          <w:highlight w:val="none"/>
          <w:lang w:eastAsia="zh-CN"/>
        </w:rPr>
        <w:t>）、《建设用地土壤污染风险筛选值和管制值》（DB4403_T 67-2020）（深圳）要求。</w:t>
      </w:r>
    </w:p>
    <w:p w14:paraId="399848B0">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firstLine="480" w:firstLineChars="200"/>
        <w:textAlignment w:val="auto"/>
        <w:rPr>
          <w:rFonts w:hint="default"/>
          <w:highlight w:val="none"/>
          <w:lang w:val="en-US" w:eastAsia="zh-CN"/>
        </w:rPr>
      </w:pPr>
      <w:r>
        <w:rPr>
          <w:rFonts w:hint="default" w:ascii="Times New Roman" w:hAnsi="Times New Roman" w:cs="Times New Roman"/>
          <w:highlight w:val="none"/>
          <w:lang w:eastAsia="zh-CN"/>
        </w:rPr>
        <w:t>园区内上风向点位和下风向点位</w:t>
      </w:r>
      <w:r>
        <w:rPr>
          <w:rFonts w:hint="default" w:ascii="Times New Roman" w:hAnsi="Times New Roman" w:cs="Times New Roman"/>
          <w:highlight w:val="none"/>
        </w:rPr>
        <w:t>各测试项目检测值</w:t>
      </w:r>
      <w:r>
        <w:rPr>
          <w:rFonts w:hint="default" w:ascii="Times New Roman" w:hAnsi="Times New Roman" w:cs="Times New Roman"/>
          <w:highlight w:val="none"/>
          <w:lang w:eastAsia="zh-CN"/>
        </w:rPr>
        <w:t>差别较小，各</w:t>
      </w:r>
      <w:r>
        <w:rPr>
          <w:rFonts w:hint="default" w:ascii="Times New Roman" w:hAnsi="Times New Roman" w:cs="Times New Roman"/>
          <w:highlight w:val="none"/>
        </w:rPr>
        <w:t>检测值与均值</w:t>
      </w:r>
      <w:r>
        <w:rPr>
          <w:rFonts w:hint="default" w:ascii="Times New Roman" w:hAnsi="Times New Roman" w:cs="Times New Roman"/>
          <w:highlight w:val="none"/>
          <w:lang w:eastAsia="zh-CN"/>
        </w:rPr>
        <w:t>差别较小</w:t>
      </w:r>
      <w:r>
        <w:rPr>
          <w:rFonts w:hint="default" w:ascii="Times New Roman" w:hAnsi="Times New Roman" w:cs="Times New Roman"/>
          <w:highlight w:val="none"/>
        </w:rPr>
        <w:t>，</w:t>
      </w:r>
      <w:r>
        <w:rPr>
          <w:rFonts w:hint="default" w:ascii="Times New Roman" w:hAnsi="Times New Roman" w:cs="Times New Roman"/>
          <w:highlight w:val="none"/>
          <w:lang w:eastAsia="zh-CN"/>
        </w:rPr>
        <w:t>说明工业园区周边及其已建成企业聚集区周边各</w:t>
      </w:r>
      <w:r>
        <w:rPr>
          <w:rFonts w:hint="default" w:ascii="Times New Roman" w:hAnsi="Times New Roman" w:cs="Times New Roman"/>
          <w:highlight w:val="none"/>
        </w:rPr>
        <w:t>指标浓度处在同一水平</w:t>
      </w:r>
      <w:r>
        <w:rPr>
          <w:rFonts w:hint="default" w:ascii="Times New Roman" w:hAnsi="Times New Roman" w:cs="Times New Roman"/>
          <w:highlight w:val="none"/>
          <w:lang w:eastAsia="zh-CN"/>
        </w:rPr>
        <w:t>。</w:t>
      </w:r>
    </w:p>
    <w:p w14:paraId="1C87D2D5">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firstLine="480" w:firstLineChars="200"/>
        <w:textAlignment w:val="auto"/>
        <w:rPr>
          <w:rFonts w:hint="default"/>
          <w:highlight w:val="none"/>
          <w:lang w:val="en-US" w:eastAsia="zh-CN"/>
        </w:rPr>
      </w:pPr>
      <w:r>
        <w:rPr>
          <w:rFonts w:hint="eastAsia"/>
          <w:highlight w:val="none"/>
          <w:lang w:val="en-US" w:eastAsia="zh-CN"/>
        </w:rPr>
        <w:t>各</w:t>
      </w:r>
      <w:r>
        <w:rPr>
          <w:rFonts w:hint="default"/>
          <w:highlight w:val="none"/>
          <w:lang w:val="en-US" w:eastAsia="zh-CN"/>
        </w:rPr>
        <w:t>土壤</w:t>
      </w:r>
      <w:r>
        <w:rPr>
          <w:rFonts w:hint="eastAsia"/>
          <w:highlight w:val="none"/>
          <w:lang w:val="en-US" w:eastAsia="zh-CN"/>
        </w:rPr>
        <w:t>样品的</w:t>
      </w:r>
      <w:r>
        <w:rPr>
          <w:rFonts w:hint="default"/>
          <w:highlight w:val="none"/>
          <w:lang w:val="en-US" w:eastAsia="zh-CN"/>
        </w:rPr>
        <w:t>单项污染指数Pimax=0.688＜1，可以判断</w:t>
      </w:r>
      <w:r>
        <w:rPr>
          <w:rFonts w:hint="eastAsia"/>
          <w:highlight w:val="none"/>
        </w:rPr>
        <w:t>本工业园区周边</w:t>
      </w:r>
      <w:r>
        <w:rPr>
          <w:rFonts w:hint="default"/>
          <w:highlight w:val="none"/>
          <w:lang w:val="en-US" w:eastAsia="zh-CN"/>
        </w:rPr>
        <w:t>的所有</w:t>
      </w:r>
      <w:r>
        <w:rPr>
          <w:rFonts w:hint="eastAsia"/>
          <w:highlight w:val="none"/>
          <w:lang w:val="en-US" w:eastAsia="zh-CN"/>
        </w:rPr>
        <w:t>点位各</w:t>
      </w:r>
      <w:r>
        <w:rPr>
          <w:rFonts w:hint="default"/>
          <w:highlight w:val="none"/>
          <w:lang w:val="en-US" w:eastAsia="zh-CN"/>
        </w:rPr>
        <w:t>因子的单项污染指数对应的污染程度均为无污染</w:t>
      </w:r>
      <w:r>
        <w:rPr>
          <w:rFonts w:hint="eastAsia"/>
          <w:highlight w:val="none"/>
          <w:lang w:val="en-US" w:eastAsia="zh-CN"/>
        </w:rPr>
        <w:t>。</w:t>
      </w:r>
    </w:p>
    <w:p w14:paraId="4F7FDB04">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firstLine="480" w:firstLineChars="200"/>
        <w:textAlignment w:val="auto"/>
        <w:rPr>
          <w:rFonts w:hint="default"/>
          <w:highlight w:val="none"/>
          <w:lang w:val="en-US" w:eastAsia="zh-CN"/>
        </w:rPr>
      </w:pPr>
      <w:r>
        <w:rPr>
          <w:rFonts w:hint="eastAsia"/>
          <w:highlight w:val="none"/>
          <w:lang w:val="en-US" w:eastAsia="zh-CN"/>
        </w:rPr>
        <w:t>本园区各因子内梅罗污染指数</w:t>
      </w:r>
      <w:r>
        <w:rPr>
          <w:rFonts w:hint="default" w:ascii="Times New Roman" w:hAnsi="Times New Roman" w:eastAsia="宋体" w:cs="Times New Roman"/>
          <w:b w:val="0"/>
          <w:bCs w:val="0"/>
          <w:color w:val="auto"/>
          <w:highlight w:val="none"/>
          <w:lang w:val="en-US" w:eastAsia="zh-CN"/>
        </w:rPr>
        <w:t>P</w:t>
      </w:r>
      <w:r>
        <w:rPr>
          <w:rFonts w:hint="default" w:ascii="Times New Roman" w:hAnsi="Times New Roman" w:eastAsia="宋体" w:cs="Times New Roman"/>
          <w:b w:val="0"/>
          <w:bCs w:val="0"/>
          <w:color w:val="auto"/>
          <w:highlight w:val="none"/>
          <w:vertAlign w:val="subscript"/>
          <w:lang w:val="en-US" w:eastAsia="zh-CN"/>
        </w:rPr>
        <w:t>N</w:t>
      </w:r>
      <w:r>
        <w:rPr>
          <w:rFonts w:hint="default" w:ascii="Times New Roman" w:hAnsi="Times New Roman" w:cs="Times New Roman"/>
          <w:b w:val="0"/>
          <w:bCs w:val="0"/>
          <w:color w:val="auto"/>
          <w:highlight w:val="none"/>
          <w:vertAlign w:val="subscript"/>
          <w:lang w:val="en-US" w:eastAsia="zh-CN"/>
        </w:rPr>
        <w:t>max</w:t>
      </w:r>
      <w:r>
        <w:rPr>
          <w:rFonts w:hint="default" w:ascii="Times New Roman" w:hAnsi="Times New Roman" w:cs="Times New Roman"/>
          <w:b w:val="0"/>
          <w:bCs w:val="0"/>
          <w:color w:val="auto"/>
          <w:highlight w:val="none"/>
          <w:lang w:val="en-US" w:eastAsia="zh-CN"/>
        </w:rPr>
        <w:t>=0.5124</w:t>
      </w:r>
      <w:r>
        <w:rPr>
          <w:rFonts w:hint="eastAsia" w:ascii="Times New Roman" w:hAnsi="Times New Roman" w:cs="Times New Roman"/>
          <w:b w:val="0"/>
          <w:bCs w:val="0"/>
          <w:color w:val="auto"/>
          <w:highlight w:val="none"/>
          <w:lang w:val="en-US" w:eastAsia="zh-CN"/>
        </w:rPr>
        <w:t>＜</w:t>
      </w:r>
      <w:r>
        <w:rPr>
          <w:rFonts w:hint="default" w:ascii="Times New Roman" w:hAnsi="Times New Roman" w:cs="Times New Roman"/>
          <w:b w:val="0"/>
          <w:bCs w:val="0"/>
          <w:color w:val="auto"/>
          <w:highlight w:val="none"/>
          <w:lang w:val="en-US" w:eastAsia="zh-CN"/>
        </w:rPr>
        <w:t>0.7</w:t>
      </w:r>
      <w:r>
        <w:rPr>
          <w:rFonts w:hint="eastAsia" w:cs="Times New Roman"/>
          <w:b w:val="0"/>
          <w:bCs w:val="0"/>
          <w:color w:val="auto"/>
          <w:highlight w:val="none"/>
          <w:lang w:val="en-US" w:eastAsia="zh-CN"/>
        </w:rPr>
        <w:t>，可以判断</w:t>
      </w:r>
      <w:r>
        <w:rPr>
          <w:rFonts w:hint="eastAsia"/>
          <w:highlight w:val="none"/>
        </w:rPr>
        <w:t>本园区周边</w:t>
      </w:r>
      <w:r>
        <w:rPr>
          <w:rFonts w:hint="eastAsia" w:cs="Times New Roman"/>
          <w:b w:val="0"/>
          <w:bCs w:val="0"/>
          <w:color w:val="auto"/>
          <w:highlight w:val="none"/>
          <w:lang w:val="en-US" w:eastAsia="zh-CN"/>
        </w:rPr>
        <w:t>的所有因子的</w:t>
      </w:r>
      <w:r>
        <w:rPr>
          <w:rFonts w:hint="eastAsia"/>
          <w:highlight w:val="none"/>
          <w:lang w:val="en-US" w:eastAsia="zh-CN"/>
        </w:rPr>
        <w:t>内梅罗污染指数</w:t>
      </w:r>
      <w:r>
        <w:rPr>
          <w:rFonts w:hint="default"/>
          <w:highlight w:val="none"/>
          <w:lang w:val="en-US" w:eastAsia="zh-CN"/>
        </w:rPr>
        <w:t>对应的污染</w:t>
      </w:r>
      <w:r>
        <w:rPr>
          <w:rFonts w:hint="eastAsia"/>
          <w:highlight w:val="none"/>
          <w:lang w:val="en-US" w:eastAsia="zh-CN"/>
        </w:rPr>
        <w:t>等级</w:t>
      </w:r>
      <w:r>
        <w:rPr>
          <w:rFonts w:hint="default"/>
          <w:highlight w:val="none"/>
          <w:lang w:val="en-US" w:eastAsia="zh-CN"/>
        </w:rPr>
        <w:t>均为</w:t>
      </w:r>
      <w:r>
        <w:rPr>
          <w:rFonts w:hint="default" w:ascii="Times New Roman" w:hAnsi="Times New Roman" w:eastAsia="宋体" w:cs="Times New Roman"/>
          <w:b w:val="0"/>
          <w:bCs w:val="0"/>
          <w:highlight w:val="none"/>
          <w:lang w:val="en-US" w:eastAsia="zh-CN"/>
        </w:rPr>
        <w:t>I级清洁（安全）</w:t>
      </w:r>
      <w:r>
        <w:rPr>
          <w:rFonts w:hint="eastAsia" w:cs="Times New Roman"/>
          <w:b w:val="0"/>
          <w:bCs w:val="0"/>
          <w:highlight w:val="none"/>
          <w:lang w:val="en-US" w:eastAsia="zh-CN"/>
        </w:rPr>
        <w:t>。</w:t>
      </w:r>
    </w:p>
    <w:p w14:paraId="0B5DDDC8">
      <w:pPr>
        <w:pStyle w:val="5"/>
        <w:tabs>
          <w:tab w:val="left" w:pos="425"/>
        </w:tabs>
        <w:bidi w:val="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地下水检测结果小结</w:t>
      </w:r>
    </w:p>
    <w:p w14:paraId="69202870">
      <w:pPr>
        <w:numPr>
          <w:ilvl w:val="0"/>
          <w:numId w:val="0"/>
        </w:numPr>
        <w:spacing w:line="360" w:lineRule="auto"/>
        <w:ind w:firstLine="420" w:firstLineChars="0"/>
        <w:rPr>
          <w:rFonts w:hint="default" w:ascii="Times New Roman" w:hAnsi="Times New Roman" w:cs="Times New Roman"/>
          <w:sz w:val="24"/>
          <w:highlight w:val="none"/>
        </w:rPr>
      </w:pPr>
      <w:r>
        <w:rPr>
          <w:rFonts w:hint="eastAsia" w:cs="Times New Roman"/>
          <w:sz w:val="24"/>
          <w:highlight w:val="none"/>
          <w:lang w:eastAsia="zh-CN"/>
        </w:rPr>
        <w:t>（</w:t>
      </w:r>
      <w:r>
        <w:rPr>
          <w:rFonts w:hint="eastAsia" w:cs="Times New Roman"/>
          <w:sz w:val="24"/>
          <w:highlight w:val="none"/>
          <w:lang w:val="en-US" w:eastAsia="zh-CN"/>
        </w:rPr>
        <w:t>1</w:t>
      </w:r>
      <w:r>
        <w:rPr>
          <w:rFonts w:hint="eastAsia" w:cs="Times New Roman"/>
          <w:sz w:val="24"/>
          <w:highlight w:val="none"/>
          <w:lang w:eastAsia="zh-CN"/>
        </w:rPr>
        <w:t>）</w:t>
      </w:r>
      <w:r>
        <w:rPr>
          <w:rFonts w:hint="default" w:ascii="Times New Roman" w:hAnsi="Times New Roman" w:cs="Times New Roman"/>
          <w:sz w:val="24"/>
          <w:highlight w:val="none"/>
        </w:rPr>
        <w:t>本</w:t>
      </w:r>
      <w:r>
        <w:rPr>
          <w:rFonts w:hint="default" w:ascii="Times New Roman" w:hAnsi="Times New Roman" w:cs="Times New Roman"/>
          <w:sz w:val="24"/>
          <w:highlight w:val="none"/>
          <w:lang w:eastAsia="zh-CN"/>
        </w:rPr>
        <w:t>园区</w:t>
      </w:r>
      <w:r>
        <w:rPr>
          <w:rFonts w:hint="default" w:ascii="Times New Roman" w:hAnsi="Times New Roman" w:cs="Times New Roman"/>
          <w:sz w:val="24"/>
          <w:highlight w:val="none"/>
        </w:rPr>
        <w:t>调查</w:t>
      </w:r>
      <w:r>
        <w:rPr>
          <w:rFonts w:hint="default" w:ascii="Times New Roman" w:hAnsi="Times New Roman" w:cs="Times New Roman"/>
          <w:sz w:val="24"/>
          <w:highlight w:val="none"/>
          <w:lang w:val="en-US" w:eastAsia="zh-CN"/>
        </w:rPr>
        <w:t>2</w:t>
      </w:r>
      <w:r>
        <w:rPr>
          <w:rFonts w:hint="default" w:ascii="Times New Roman" w:hAnsi="Times New Roman" w:cs="Times New Roman"/>
          <w:sz w:val="24"/>
          <w:highlight w:val="none"/>
        </w:rPr>
        <w:t>个</w:t>
      </w:r>
      <w:r>
        <w:rPr>
          <w:rFonts w:hint="default" w:ascii="Times New Roman" w:hAnsi="Times New Roman" w:cs="Times New Roman"/>
          <w:sz w:val="24"/>
          <w:highlight w:val="none"/>
          <w:lang w:eastAsia="zh-CN"/>
        </w:rPr>
        <w:t>地下水</w:t>
      </w:r>
      <w:r>
        <w:rPr>
          <w:rFonts w:hint="default" w:ascii="Times New Roman" w:hAnsi="Times New Roman" w:cs="Times New Roman"/>
          <w:sz w:val="24"/>
          <w:highlight w:val="none"/>
        </w:rPr>
        <w:t>样品（</w:t>
      </w:r>
      <w:r>
        <w:rPr>
          <w:rFonts w:hint="default" w:ascii="Times New Roman" w:hAnsi="Times New Roman" w:cs="Times New Roman"/>
          <w:sz w:val="24"/>
          <w:highlight w:val="none"/>
          <w:lang w:eastAsia="zh-CN"/>
        </w:rPr>
        <w:t>不</w:t>
      </w:r>
      <w:r>
        <w:rPr>
          <w:rFonts w:hint="default" w:ascii="Times New Roman" w:hAnsi="Times New Roman" w:cs="Times New Roman"/>
          <w:sz w:val="24"/>
          <w:highlight w:val="none"/>
        </w:rPr>
        <w:t>含平行盲样），共检测</w:t>
      </w:r>
      <w:r>
        <w:rPr>
          <w:rFonts w:hint="default" w:ascii="Times New Roman" w:hAnsi="Times New Roman" w:cs="Times New Roman"/>
          <w:sz w:val="24"/>
          <w:highlight w:val="none"/>
          <w:lang w:val="en-US" w:eastAsia="zh-CN"/>
        </w:rPr>
        <w:t>32</w:t>
      </w:r>
      <w:r>
        <w:rPr>
          <w:rFonts w:hint="default" w:ascii="Times New Roman" w:hAnsi="Times New Roman" w:cs="Times New Roman"/>
          <w:sz w:val="24"/>
          <w:highlight w:val="none"/>
        </w:rPr>
        <w:t>项测试项目</w:t>
      </w:r>
      <w:r>
        <w:rPr>
          <w:rFonts w:hint="default" w:ascii="Times New Roman" w:hAnsi="Times New Roman" w:cs="Times New Roman"/>
          <w:sz w:val="24"/>
          <w:highlight w:val="none"/>
          <w:lang w:eastAsia="zh-CN"/>
        </w:rPr>
        <w:t>包括</w:t>
      </w:r>
      <w:r>
        <w:rPr>
          <w:rFonts w:hint="default" w:ascii="Times New Roman" w:hAnsi="Times New Roman" w:cs="Times New Roman"/>
          <w:color w:val="000000" w:themeColor="text1"/>
          <w:sz w:val="24"/>
          <w:highlight w:val="none"/>
          <w14:textFill>
            <w14:solidFill>
              <w14:schemeClr w14:val="tx1"/>
            </w14:solidFill>
          </w14:textFill>
        </w:rPr>
        <w:t>无机项目</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14项</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、金属类</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13项</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、有机物类</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5项</w:t>
      </w:r>
      <w:r>
        <w:rPr>
          <w:rFonts w:hint="default" w:ascii="Times New Roman" w:hAnsi="Times New Roman" w:cs="Times New Roman"/>
          <w:color w:val="000000" w:themeColor="text1"/>
          <w:sz w:val="24"/>
          <w:highlight w:val="none"/>
          <w:lang w:eastAsia="zh-CN"/>
          <w14:textFill>
            <w14:solidFill>
              <w14:schemeClr w14:val="tx1"/>
            </w14:solidFill>
          </w14:textFill>
        </w:rPr>
        <w:t>），共检出</w:t>
      </w:r>
      <w:r>
        <w:rPr>
          <w:rFonts w:hint="default" w:ascii="Times New Roman" w:hAnsi="Times New Roman" w:cs="Times New Roman"/>
          <w:color w:val="000000" w:themeColor="text1"/>
          <w:sz w:val="24"/>
          <w:highlight w:val="none"/>
          <w:lang w:val="en-US" w:eastAsia="zh-CN"/>
          <w14:textFill>
            <w14:solidFill>
              <w14:schemeClr w14:val="tx1"/>
            </w14:solidFill>
          </w14:textFill>
        </w:rPr>
        <w:t>17项污染物指标</w:t>
      </w:r>
      <w:r>
        <w:rPr>
          <w:rFonts w:hint="default" w:ascii="Times New Roman" w:hAnsi="Times New Roman" w:cs="Times New Roman"/>
          <w:sz w:val="24"/>
          <w:highlight w:val="none"/>
        </w:rPr>
        <w:t>。</w:t>
      </w:r>
    </w:p>
    <w:p w14:paraId="2B94383A">
      <w:pPr>
        <w:numPr>
          <w:ilvl w:val="0"/>
          <w:numId w:val="0"/>
        </w:numPr>
        <w:spacing w:line="360" w:lineRule="auto"/>
        <w:ind w:firstLine="420" w:firstLineChars="0"/>
        <w:rPr>
          <w:rFonts w:hint="default" w:ascii="Times New Roman" w:hAnsi="Times New Roman" w:eastAsia="宋体" w:cs="Times New Roman"/>
          <w:sz w:val="24"/>
          <w:highlight w:val="none"/>
          <w:lang w:eastAsia="zh-CN"/>
        </w:rPr>
      </w:pPr>
      <w:r>
        <w:rPr>
          <w:rFonts w:hint="eastAsia" w:cs="Times New Roman"/>
          <w:sz w:val="24"/>
          <w:highlight w:val="none"/>
          <w:lang w:eastAsia="zh-CN"/>
        </w:rPr>
        <w:t>（</w:t>
      </w:r>
      <w:r>
        <w:rPr>
          <w:rFonts w:hint="eastAsia" w:cs="Times New Roman"/>
          <w:sz w:val="24"/>
          <w:highlight w:val="none"/>
          <w:lang w:val="en-US" w:eastAsia="zh-CN"/>
        </w:rPr>
        <w:t>2</w:t>
      </w:r>
      <w:r>
        <w:rPr>
          <w:rFonts w:hint="eastAsia" w:cs="Times New Roman"/>
          <w:sz w:val="24"/>
          <w:highlight w:val="none"/>
          <w:lang w:eastAsia="zh-CN"/>
        </w:rPr>
        <w:t>）</w:t>
      </w:r>
      <w:r>
        <w:rPr>
          <w:rFonts w:hint="default" w:ascii="Times New Roman" w:hAnsi="Times New Roman" w:cs="Times New Roman"/>
          <w:sz w:val="24"/>
          <w:highlight w:val="none"/>
          <w:lang w:eastAsia="zh-CN"/>
        </w:rPr>
        <w:t>各点位已检出污染物（</w:t>
      </w:r>
      <w:r>
        <w:rPr>
          <w:rFonts w:hint="default" w:ascii="Times New Roman" w:hAnsi="Times New Roman" w:cs="Times New Roman"/>
          <w:highlight w:val="none"/>
          <w:lang w:eastAsia="zh-CN"/>
        </w:rPr>
        <w:t>总硬度、溶解性总固体、耗氧量、硫酸盐、硝酸盐、氯化物、</w:t>
      </w:r>
      <w:r>
        <w:rPr>
          <w:rFonts w:hint="eastAsia" w:cs="Times New Roman"/>
          <w:highlight w:val="none"/>
          <w:lang w:eastAsia="zh-CN"/>
        </w:rPr>
        <w:t>总氟化物</w:t>
      </w:r>
      <w:r>
        <w:rPr>
          <w:rFonts w:hint="default" w:ascii="Times New Roman" w:hAnsi="Times New Roman" w:cs="Times New Roman"/>
          <w:highlight w:val="none"/>
          <w:lang w:eastAsia="zh-CN"/>
        </w:rPr>
        <w:t>、阴离子表面活性剂、氨氮、亚硝酸盐氮、锰、钠、锌、砷、铅、石油类</w:t>
      </w:r>
      <w:r>
        <w:rPr>
          <w:rFonts w:hint="default" w:ascii="Times New Roman" w:hAnsi="Times New Roman" w:cs="Times New Roman"/>
          <w:sz w:val="24"/>
          <w:highlight w:val="none"/>
          <w:lang w:eastAsia="zh-CN"/>
        </w:rPr>
        <w:t>）</w:t>
      </w:r>
      <w:r>
        <w:rPr>
          <w:rFonts w:hint="default" w:ascii="Times New Roman" w:hAnsi="Times New Roman" w:cs="Times New Roman"/>
          <w:highlight w:val="none"/>
          <w:lang w:eastAsia="zh-CN"/>
        </w:rPr>
        <w:t>均满足</w:t>
      </w:r>
      <w:r>
        <w:rPr>
          <w:rFonts w:hint="default" w:ascii="Times New Roman" w:hAnsi="Times New Roman" w:cs="Times New Roman"/>
          <w:color w:val="000000" w:themeColor="text1"/>
          <w:sz w:val="24"/>
          <w:highlight w:val="none"/>
          <w14:textFill>
            <w14:solidFill>
              <w14:schemeClr w14:val="tx1"/>
            </w14:solidFill>
          </w14:textFill>
        </w:rPr>
        <w:t>《地下水质量标准》（</w:t>
      </w:r>
      <w:r>
        <w:rPr>
          <w:rFonts w:hint="default" w:ascii="Times New Roman" w:hAnsi="Times New Roman" w:cs="Times New Roman"/>
          <w:color w:val="000000" w:themeColor="text1"/>
          <w:sz w:val="24"/>
          <w:highlight w:val="none"/>
          <w:lang w:val="en-US" w:eastAsia="zh-CN"/>
          <w14:textFill>
            <w14:solidFill>
              <w14:schemeClr w14:val="tx1"/>
            </w14:solidFill>
          </w14:textFill>
        </w:rPr>
        <w:t>G</w:t>
      </w:r>
      <w:r>
        <w:rPr>
          <w:rFonts w:hint="default" w:ascii="Times New Roman" w:hAnsi="Times New Roman" w:cs="Times New Roman"/>
          <w:color w:val="000000" w:themeColor="text1"/>
          <w:sz w:val="24"/>
          <w:highlight w:val="none"/>
          <w14:textFill>
            <w14:solidFill>
              <w14:schemeClr w14:val="tx1"/>
            </w14:solidFill>
          </w14:textFill>
        </w:rPr>
        <w:t>B/T 14848-2017）中</w:t>
      </w:r>
      <w:r>
        <w:rPr>
          <w:rFonts w:hint="default" w:ascii="Times New Roman" w:hAnsi="Times New Roman" w:cs="Times New Roman"/>
          <w:color w:val="000000" w:themeColor="text1"/>
          <w:sz w:val="24"/>
          <w:highlight w:val="none"/>
          <w:lang w:eastAsia="zh-CN"/>
          <w14:textFill>
            <w14:solidFill>
              <w14:schemeClr w14:val="tx1"/>
            </w14:solidFill>
          </w14:textFill>
        </w:rPr>
        <w:t>Ⅳ</w:t>
      </w:r>
      <w:r>
        <w:rPr>
          <w:rFonts w:hint="default" w:ascii="Times New Roman" w:hAnsi="Times New Roman" w:cs="Times New Roman"/>
          <w:color w:val="000000" w:themeColor="text1"/>
          <w:sz w:val="24"/>
          <w:highlight w:val="none"/>
          <w14:textFill>
            <w14:solidFill>
              <w14:schemeClr w14:val="tx1"/>
            </w14:solidFill>
          </w14:textFill>
        </w:rPr>
        <w:t>类标准限值</w:t>
      </w:r>
      <w:r>
        <w:rPr>
          <w:rFonts w:hint="default" w:ascii="Times New Roman" w:hAnsi="Times New Roman" w:cs="Times New Roman"/>
          <w:color w:val="000000" w:themeColor="text1"/>
          <w:sz w:val="24"/>
          <w:highlight w:val="none"/>
          <w:lang w:eastAsia="zh-CN"/>
          <w14:textFill>
            <w14:solidFill>
              <w14:schemeClr w14:val="tx1"/>
            </w14:solidFill>
          </w14:textFill>
        </w:rPr>
        <w:t>或</w:t>
      </w:r>
      <w:r>
        <w:rPr>
          <w:rFonts w:hint="default" w:ascii="Times New Roman" w:hAnsi="Times New Roman" w:cs="Times New Roman"/>
          <w:color w:val="000000" w:themeColor="text1"/>
          <w:sz w:val="24"/>
          <w:highlight w:val="none"/>
          <w14:textFill>
            <w14:solidFill>
              <w14:schemeClr w14:val="tx1"/>
            </w14:solidFill>
          </w14:textFill>
        </w:rPr>
        <w:t>《地表水环境质量标准》</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GB3838-2002</w:t>
      </w:r>
      <w:r>
        <w:rPr>
          <w:rFonts w:hint="default" w:ascii="Times New Roman" w:hAnsi="Times New Roman" w:cs="Times New Roman"/>
          <w:highlight w:val="none"/>
          <w:lang w:eastAsia="zh-CN"/>
        </w:rPr>
        <w:t>）要求。</w:t>
      </w:r>
    </w:p>
    <w:p w14:paraId="15F4B28E">
      <w:pPr>
        <w:pStyle w:val="5"/>
        <w:tabs>
          <w:tab w:val="clear" w:pos="851"/>
        </w:tabs>
        <w:rPr>
          <w:rFonts w:hint="default" w:ascii="Times New Roman" w:hAnsi="Times New Roman" w:cs="Times New Roman"/>
          <w:highlight w:val="none"/>
        </w:rPr>
      </w:pPr>
      <w:r>
        <w:rPr>
          <w:rFonts w:hint="default" w:ascii="Times New Roman" w:hAnsi="Times New Roman" w:cs="Times New Roman"/>
          <w:highlight w:val="none"/>
        </w:rPr>
        <w:t>不确定性分析</w:t>
      </w:r>
    </w:p>
    <w:p w14:paraId="570E6977">
      <w:pPr>
        <w:spacing w:line="360" w:lineRule="auto"/>
        <w:ind w:firstLine="482"/>
        <w:rPr>
          <w:rFonts w:hint="default" w:ascii="Times New Roman" w:hAnsi="Times New Roman" w:cs="Times New Roman"/>
          <w:sz w:val="24"/>
          <w:highlight w:val="none"/>
        </w:rPr>
      </w:pPr>
      <w:r>
        <w:rPr>
          <w:rFonts w:hint="default" w:ascii="Times New Roman" w:hAnsi="Times New Roman" w:cs="Times New Roman"/>
          <w:sz w:val="24"/>
          <w:highlight w:val="none"/>
        </w:rPr>
        <w:t>本调查报告是基于实际调查情况，以土壤污染状况调查导则、标准等相关文件为理论依据，以目前所掌握的调查资料、调查范围、调查点位实际监测数据为基础，结合专业的判断进行的逻辑推论与结果分析成果，但不排除存在如下不确定情况：</w:t>
      </w:r>
    </w:p>
    <w:p w14:paraId="17166FFF">
      <w:pPr>
        <w:spacing w:line="360" w:lineRule="auto"/>
        <w:ind w:firstLine="482"/>
        <w:rPr>
          <w:highlight w:val="none"/>
        </w:rPr>
      </w:pPr>
      <w:r>
        <w:rPr>
          <w:rFonts w:hint="eastAsia"/>
          <w:highlight w:val="none"/>
        </w:rPr>
        <w:t>本次调查范围园区内企业众多，尚不能完全一一搜集到各个企业相关资料、档案文件，且园区历史沿革悠久，历史上存续过或现状存续的企业的识别可能会存在遗漏，因此，</w:t>
      </w:r>
      <w:r>
        <w:rPr>
          <w:highlight w:val="none"/>
        </w:rPr>
        <w:t>园区特征污染物的识别</w:t>
      </w:r>
      <w:r>
        <w:rPr>
          <w:rFonts w:hint="eastAsia"/>
          <w:highlight w:val="none"/>
        </w:rPr>
        <w:t>可能与实际情况有所差别</w:t>
      </w:r>
      <w:r>
        <w:rPr>
          <w:rFonts w:hint="eastAsia"/>
          <w:highlight w:val="none"/>
          <w:lang w:eastAsia="zh-CN"/>
        </w:rPr>
        <w:t>。</w:t>
      </w:r>
      <w:r>
        <w:rPr>
          <w:rFonts w:hint="eastAsia"/>
          <w:highlight w:val="none"/>
        </w:rPr>
        <w:t>但本次特征污染物的识别原则</w:t>
      </w:r>
      <w:r>
        <w:rPr>
          <w:highlight w:val="none"/>
        </w:rPr>
        <w:t>主要依据</w:t>
      </w:r>
      <w:r>
        <w:rPr>
          <w:rFonts w:hint="eastAsia"/>
          <w:highlight w:val="none"/>
        </w:rPr>
        <w:t>园区规划</w:t>
      </w:r>
      <w:r>
        <w:rPr>
          <w:highlight w:val="none"/>
        </w:rPr>
        <w:t>产业定位</w:t>
      </w:r>
      <w:r>
        <w:rPr>
          <w:rFonts w:hint="eastAsia"/>
          <w:highlight w:val="none"/>
        </w:rPr>
        <w:t>确定，并根据</w:t>
      </w:r>
      <w:r>
        <w:rPr>
          <w:rFonts w:hint="eastAsia"/>
          <w:color w:val="000000" w:themeColor="text1"/>
          <w:highlight w:val="none"/>
          <w14:textFill>
            <w14:solidFill>
              <w14:schemeClr w14:val="tx1"/>
            </w14:solidFill>
          </w14:textFill>
        </w:rPr>
        <w:t>重点行</w:t>
      </w:r>
      <w:r>
        <w:rPr>
          <w:rFonts w:hint="eastAsia"/>
          <w:highlight w:val="none"/>
        </w:rPr>
        <w:t>业企业用地调查信息管理系统、全国排污许可证管理信息平台公开端补充典型</w:t>
      </w:r>
      <w:r>
        <w:rPr>
          <w:highlight w:val="none"/>
        </w:rPr>
        <w:t>企业</w:t>
      </w:r>
      <w:r>
        <w:rPr>
          <w:rFonts w:hint="eastAsia"/>
          <w:highlight w:val="none"/>
        </w:rPr>
        <w:t>污染因子</w:t>
      </w:r>
      <w:r>
        <w:rPr>
          <w:rFonts w:hint="eastAsia"/>
          <w:highlight w:val="none"/>
          <w:lang w:eastAsia="zh-CN"/>
        </w:rPr>
        <w:t>。</w:t>
      </w:r>
      <w:r>
        <w:rPr>
          <w:rFonts w:hint="eastAsia"/>
          <w:highlight w:val="none"/>
          <w:lang w:val="en-US" w:eastAsia="zh-CN"/>
        </w:rPr>
        <w:t>因此，</w:t>
      </w:r>
      <w:r>
        <w:rPr>
          <w:rFonts w:hint="eastAsia"/>
          <w:highlight w:val="none"/>
        </w:rPr>
        <w:t>识别出的因子能够涵盖</w:t>
      </w:r>
      <w:r>
        <w:rPr>
          <w:rFonts w:hint="eastAsia"/>
          <w:highlight w:val="none"/>
          <w:lang w:val="en-US" w:eastAsia="zh-CN"/>
        </w:rPr>
        <w:t>园区内可能涉及的主要土壤污染因子</w:t>
      </w:r>
      <w:r>
        <w:rPr>
          <w:rFonts w:hint="eastAsia"/>
          <w:highlight w:val="none"/>
        </w:rPr>
        <w:t>及存在土壤环境潜在污染风险企业的特征因子，特征污染物的设定可以满足本次调查目的的要求</w:t>
      </w:r>
      <w:r>
        <w:rPr>
          <w:highlight w:val="none"/>
        </w:rPr>
        <w:t>。</w:t>
      </w:r>
    </w:p>
    <w:p w14:paraId="06E78AC7">
      <w:pPr>
        <w:spacing w:line="360" w:lineRule="auto"/>
        <w:ind w:firstLine="482"/>
        <w:rPr>
          <w:rFonts w:hint="default" w:ascii="Times New Roman" w:hAnsi="Times New Roman" w:cs="Times New Roman"/>
          <w:sz w:val="24"/>
          <w:highlight w:val="none"/>
        </w:rPr>
      </w:pPr>
      <w:r>
        <w:rPr>
          <w:rFonts w:hint="default" w:ascii="Times New Roman" w:hAnsi="Times New Roman" w:cs="Times New Roman"/>
          <w:sz w:val="24"/>
          <w:highlight w:val="none"/>
        </w:rPr>
        <w:t>综上所述，本报告是基于现阶段的实际情况进行的分析，如果调查后由于人为及自然等因素的影响导致</w:t>
      </w:r>
      <w:r>
        <w:rPr>
          <w:rFonts w:hint="default" w:ascii="Times New Roman" w:hAnsi="Times New Roman" w:cs="Times New Roman"/>
          <w:sz w:val="24"/>
          <w:highlight w:val="none"/>
          <w:lang w:eastAsia="zh-CN"/>
        </w:rPr>
        <w:t>采样点位附近状况</w:t>
      </w:r>
      <w:r>
        <w:rPr>
          <w:rFonts w:hint="default" w:ascii="Times New Roman" w:hAnsi="Times New Roman" w:cs="Times New Roman"/>
          <w:sz w:val="24"/>
          <w:highlight w:val="none"/>
        </w:rPr>
        <w:t xml:space="preserve">有改变，可能会改变污染物的种类、浓度和分布情况等，进而对本报告的准确性和有效性造成影响。 </w:t>
      </w:r>
    </w:p>
    <w:p w14:paraId="561C545F">
      <w:pPr>
        <w:pStyle w:val="2"/>
        <w:rPr>
          <w:rFonts w:hint="default" w:ascii="Times New Roman" w:hAnsi="Times New Roman" w:cs="Times New Roman"/>
          <w:highlight w:val="none"/>
          <w:lang w:eastAsia="zh-CN"/>
        </w:rPr>
        <w:sectPr>
          <w:pgSz w:w="11849" w:h="16781"/>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0" w:charSpace="0"/>
        </w:sectPr>
      </w:pPr>
    </w:p>
    <w:p w14:paraId="1B91EC90">
      <w:pPr>
        <w:pStyle w:val="3"/>
        <w:numPr>
          <w:ilvl w:val="0"/>
          <w:numId w:val="1"/>
        </w:numPr>
        <w:tabs>
          <w:tab w:val="clear" w:pos="425"/>
        </w:tabs>
        <w:rPr>
          <w:rFonts w:hint="default" w:ascii="Times New Roman" w:hAnsi="Times New Roman" w:cs="Times New Roman"/>
          <w:highlight w:val="none"/>
        </w:rPr>
      </w:pPr>
      <w:bookmarkStart w:id="48" w:name="_Toc56693201"/>
      <w:bookmarkStart w:id="49" w:name="_Toc28052"/>
      <w:bookmarkStart w:id="50" w:name="_Toc46849320"/>
      <w:r>
        <w:rPr>
          <w:rFonts w:hint="default" w:ascii="Times New Roman" w:hAnsi="Times New Roman" w:cs="Times New Roman"/>
          <w:highlight w:val="none"/>
        </w:rPr>
        <w:t>结论与建议</w:t>
      </w:r>
      <w:bookmarkEnd w:id="48"/>
      <w:bookmarkEnd w:id="49"/>
      <w:bookmarkEnd w:id="50"/>
    </w:p>
    <w:p w14:paraId="19825B4C">
      <w:pPr>
        <w:pStyle w:val="4"/>
        <w:tabs>
          <w:tab w:val="left" w:leader="dot" w:pos="0"/>
          <w:tab w:val="clear" w:pos="425"/>
        </w:tabs>
        <w:rPr>
          <w:rFonts w:hint="default" w:ascii="Times New Roman" w:hAnsi="Times New Roman" w:cs="Times New Roman"/>
          <w:highlight w:val="none"/>
        </w:rPr>
      </w:pPr>
      <w:bookmarkStart w:id="51" w:name="_Toc30200"/>
      <w:bookmarkStart w:id="52" w:name="_Toc46849321"/>
      <w:bookmarkStart w:id="53" w:name="_Toc56693202"/>
      <w:r>
        <w:rPr>
          <w:rFonts w:hint="default" w:ascii="Times New Roman" w:hAnsi="Times New Roman" w:cs="Times New Roman"/>
          <w:highlight w:val="none"/>
        </w:rPr>
        <w:t>调查结论</w:t>
      </w:r>
      <w:bookmarkEnd w:id="51"/>
      <w:bookmarkEnd w:id="52"/>
      <w:bookmarkEnd w:id="53"/>
    </w:p>
    <w:p w14:paraId="35AA3013">
      <w:pPr>
        <w:spacing w:line="360" w:lineRule="auto"/>
        <w:ind w:firstLine="482"/>
        <w:rPr>
          <w:rFonts w:hint="default" w:ascii="Times New Roman" w:hAnsi="Times New Roman" w:cs="Times New Roman"/>
          <w:color w:val="000000"/>
          <w:kern w:val="0"/>
          <w:sz w:val="24"/>
          <w:highlight w:val="none"/>
        </w:rPr>
      </w:pPr>
      <w:r>
        <w:rPr>
          <w:rFonts w:hint="default" w:ascii="Times New Roman" w:hAnsi="Times New Roman" w:cs="Times New Roman"/>
          <w:sz w:val="24"/>
          <w:highlight w:val="none"/>
        </w:rPr>
        <w:t>本次调查</w:t>
      </w:r>
      <w:r>
        <w:rPr>
          <w:rFonts w:hint="default" w:ascii="Times New Roman" w:hAnsi="Times New Roman" w:cs="Times New Roman"/>
          <w:sz w:val="24"/>
          <w:highlight w:val="none"/>
          <w:lang w:eastAsia="zh-CN"/>
        </w:rPr>
        <w:t>共布设</w:t>
      </w:r>
      <w:r>
        <w:rPr>
          <w:rFonts w:hint="default" w:ascii="Times New Roman" w:hAnsi="Times New Roman" w:cs="Times New Roman"/>
          <w:sz w:val="24"/>
          <w:highlight w:val="none"/>
          <w:lang w:val="en-US" w:eastAsia="zh-CN"/>
        </w:rPr>
        <w:t>20</w:t>
      </w:r>
      <w:r>
        <w:rPr>
          <w:rFonts w:hint="default" w:ascii="Times New Roman" w:hAnsi="Times New Roman" w:cs="Times New Roman"/>
          <w:sz w:val="24"/>
          <w:highlight w:val="none"/>
        </w:rPr>
        <w:t>个土壤</w:t>
      </w:r>
      <w:r>
        <w:rPr>
          <w:rFonts w:hint="default" w:ascii="Times New Roman" w:hAnsi="Times New Roman" w:cs="Times New Roman"/>
          <w:sz w:val="24"/>
          <w:highlight w:val="none"/>
          <w:lang w:eastAsia="zh-CN"/>
        </w:rPr>
        <w:t>点位，采集</w:t>
      </w:r>
      <w:r>
        <w:rPr>
          <w:rFonts w:hint="default" w:ascii="Times New Roman" w:hAnsi="Times New Roman" w:cs="Times New Roman"/>
          <w:sz w:val="24"/>
          <w:highlight w:val="none"/>
          <w:lang w:val="en-US" w:eastAsia="zh-CN"/>
        </w:rPr>
        <w:t>20个土壤</w:t>
      </w:r>
      <w:r>
        <w:rPr>
          <w:rFonts w:hint="default" w:ascii="Times New Roman" w:hAnsi="Times New Roman" w:cs="Times New Roman"/>
          <w:sz w:val="24"/>
          <w:highlight w:val="none"/>
        </w:rPr>
        <w:t>样品</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3个现场平行盲样和1个运输空白样</w:t>
      </w:r>
      <w:r>
        <w:rPr>
          <w:rFonts w:hint="default" w:ascii="Times New Roman" w:hAnsi="Times New Roman" w:cs="Times New Roman"/>
          <w:color w:val="000000"/>
          <w:kern w:val="0"/>
          <w:sz w:val="24"/>
          <w:highlight w:val="none"/>
        </w:rPr>
        <w:t>，测试项目包括pH、重金属、挥发性有机物、半挥发性有机物、石油烃</w:t>
      </w:r>
      <w:r>
        <w:rPr>
          <w:rFonts w:hint="default" w:ascii="Times New Roman" w:hAnsi="Times New Roman" w:cs="Times New Roman"/>
          <w:color w:val="000000"/>
          <w:kern w:val="0"/>
          <w:sz w:val="24"/>
          <w:highlight w:val="none"/>
          <w:lang w:eastAsia="zh-CN"/>
        </w:rPr>
        <w:t>、氰化物、二恶英</w:t>
      </w:r>
      <w:r>
        <w:rPr>
          <w:rFonts w:hint="default" w:ascii="Times New Roman" w:hAnsi="Times New Roman" w:cs="Times New Roman"/>
          <w:color w:val="000000"/>
          <w:kern w:val="0"/>
          <w:sz w:val="24"/>
          <w:highlight w:val="none"/>
        </w:rPr>
        <w:t>等</w:t>
      </w:r>
      <w:r>
        <w:rPr>
          <w:rFonts w:hint="default" w:ascii="Times New Roman" w:hAnsi="Times New Roman" w:cs="Times New Roman"/>
          <w:color w:val="000000"/>
          <w:kern w:val="0"/>
          <w:sz w:val="24"/>
          <w:highlight w:val="none"/>
          <w:lang w:val="en-US" w:eastAsia="zh-CN"/>
        </w:rPr>
        <w:t>57</w:t>
      </w:r>
      <w:r>
        <w:rPr>
          <w:rFonts w:hint="default" w:ascii="Times New Roman" w:hAnsi="Times New Roman" w:cs="Times New Roman"/>
          <w:color w:val="000000"/>
          <w:kern w:val="0"/>
          <w:sz w:val="24"/>
          <w:highlight w:val="none"/>
        </w:rPr>
        <w:t>项；共布设</w:t>
      </w:r>
      <w:r>
        <w:rPr>
          <w:rFonts w:hint="default" w:ascii="Times New Roman" w:hAnsi="Times New Roman" w:cs="Times New Roman"/>
          <w:color w:val="000000"/>
          <w:kern w:val="0"/>
          <w:sz w:val="24"/>
          <w:highlight w:val="none"/>
          <w:lang w:val="en-US" w:eastAsia="zh-CN"/>
        </w:rPr>
        <w:t>2</w:t>
      </w:r>
      <w:r>
        <w:rPr>
          <w:rFonts w:hint="default" w:ascii="Times New Roman" w:hAnsi="Times New Roman" w:cs="Times New Roman"/>
          <w:color w:val="000000"/>
          <w:kern w:val="0"/>
          <w:sz w:val="24"/>
          <w:highlight w:val="none"/>
        </w:rPr>
        <w:t>个地下水监测点位，共送检</w:t>
      </w:r>
      <w:r>
        <w:rPr>
          <w:rFonts w:hint="default" w:ascii="Times New Roman" w:hAnsi="Times New Roman" w:cs="Times New Roman"/>
          <w:color w:val="000000"/>
          <w:kern w:val="0"/>
          <w:sz w:val="24"/>
          <w:highlight w:val="none"/>
          <w:lang w:val="en-US" w:eastAsia="zh-CN"/>
        </w:rPr>
        <w:t>2</w:t>
      </w:r>
      <w:r>
        <w:rPr>
          <w:rFonts w:hint="default" w:ascii="Times New Roman" w:hAnsi="Times New Roman" w:cs="Times New Roman"/>
          <w:color w:val="000000"/>
          <w:kern w:val="0"/>
          <w:sz w:val="24"/>
          <w:highlight w:val="none"/>
        </w:rPr>
        <w:t>个地下水样品，测试项目包括无机项目、金属类、有机类等</w:t>
      </w:r>
      <w:r>
        <w:rPr>
          <w:rFonts w:hint="default" w:ascii="Times New Roman" w:hAnsi="Times New Roman" w:cs="Times New Roman"/>
          <w:color w:val="000000"/>
          <w:kern w:val="0"/>
          <w:sz w:val="24"/>
          <w:highlight w:val="none"/>
          <w:lang w:val="en-US" w:eastAsia="zh-CN"/>
        </w:rPr>
        <w:t>32</w:t>
      </w:r>
      <w:r>
        <w:rPr>
          <w:rFonts w:hint="default" w:ascii="Times New Roman" w:hAnsi="Times New Roman" w:cs="Times New Roman"/>
          <w:color w:val="000000"/>
          <w:kern w:val="0"/>
          <w:sz w:val="24"/>
          <w:highlight w:val="none"/>
        </w:rPr>
        <w:t>项。调查结论如下：</w:t>
      </w:r>
    </w:p>
    <w:p w14:paraId="3FDD1F58">
      <w:pPr>
        <w:numPr>
          <w:ilvl w:val="0"/>
          <w:numId w:val="12"/>
        </w:numPr>
        <w:spacing w:line="360" w:lineRule="auto"/>
        <w:ind w:firstLine="482"/>
        <w:rPr>
          <w:rFonts w:hint="default" w:ascii="Times New Roman" w:hAnsi="Times New Roman" w:cs="Times New Roman"/>
          <w:color w:val="000000"/>
          <w:sz w:val="24"/>
          <w:highlight w:val="none"/>
        </w:rPr>
      </w:pPr>
      <w:r>
        <w:rPr>
          <w:rFonts w:hint="default" w:ascii="Times New Roman" w:hAnsi="Times New Roman" w:cs="Times New Roman"/>
          <w:sz w:val="24"/>
          <w:highlight w:val="none"/>
        </w:rPr>
        <w:t>调查</w:t>
      </w:r>
      <w:r>
        <w:rPr>
          <w:rFonts w:hint="eastAsia" w:cs="Times New Roman"/>
          <w:sz w:val="24"/>
          <w:highlight w:val="none"/>
          <w:lang w:val="en-US" w:eastAsia="zh-CN"/>
        </w:rPr>
        <w:t>园区</w:t>
      </w:r>
      <w:r>
        <w:rPr>
          <w:rFonts w:hint="default" w:ascii="Times New Roman" w:hAnsi="Times New Roman" w:cs="Times New Roman"/>
          <w:sz w:val="24"/>
          <w:highlight w:val="none"/>
        </w:rPr>
        <w:t>土壤pH</w:t>
      </w:r>
      <w:r>
        <w:rPr>
          <w:rFonts w:hint="default" w:ascii="Times New Roman" w:hAnsi="Times New Roman" w:cs="Times New Roman"/>
          <w:sz w:val="24"/>
          <w:highlight w:val="none"/>
          <w:lang w:val="en-US" w:eastAsia="zh-CN"/>
        </w:rPr>
        <w:t>区间为5.2~8.73</w:t>
      </w:r>
      <w:r>
        <w:rPr>
          <w:rFonts w:hint="default" w:ascii="Times New Roman" w:hAnsi="Times New Roman" w:cs="Times New Roman"/>
          <w:sz w:val="24"/>
          <w:highlight w:val="none"/>
        </w:rPr>
        <w:t>，呈</w:t>
      </w:r>
      <w:r>
        <w:rPr>
          <w:rFonts w:hint="default" w:ascii="Times New Roman" w:hAnsi="Times New Roman" w:cs="Times New Roman"/>
          <w:sz w:val="24"/>
          <w:highlight w:val="none"/>
          <w:lang w:eastAsia="zh-CN"/>
        </w:rPr>
        <w:t>弱酸性</w:t>
      </w:r>
      <w:r>
        <w:rPr>
          <w:rFonts w:hint="default" w:ascii="Times New Roman" w:hAnsi="Times New Roman" w:cs="Times New Roman"/>
          <w:sz w:val="24"/>
          <w:highlight w:val="none"/>
        </w:rPr>
        <w:t>~弱碱性。</w:t>
      </w:r>
      <w:r>
        <w:rPr>
          <w:rFonts w:hint="default" w:ascii="Times New Roman" w:hAnsi="Times New Roman" w:cs="Times New Roman"/>
          <w:color w:val="000000"/>
          <w:sz w:val="24"/>
          <w:highlight w:val="none"/>
        </w:rPr>
        <w:t>所有送检土壤样品中重金属、挥发性有机物、半挥发性有机物、石油烃</w:t>
      </w:r>
      <w:r>
        <w:rPr>
          <w:rFonts w:hint="default" w:ascii="Times New Roman" w:hAnsi="Times New Roman" w:cs="Times New Roman"/>
          <w:color w:val="000000"/>
          <w:kern w:val="0"/>
          <w:sz w:val="24"/>
          <w:highlight w:val="none"/>
          <w:lang w:eastAsia="zh-CN"/>
        </w:rPr>
        <w:t>、氰化物、二恶英</w:t>
      </w:r>
      <w:r>
        <w:rPr>
          <w:rFonts w:hint="default" w:ascii="Times New Roman" w:hAnsi="Times New Roman" w:cs="Times New Roman"/>
          <w:color w:val="000000"/>
          <w:kern w:val="0"/>
          <w:sz w:val="24"/>
          <w:highlight w:val="none"/>
        </w:rPr>
        <w:t>等</w:t>
      </w:r>
      <w:r>
        <w:rPr>
          <w:rFonts w:hint="default" w:ascii="Times New Roman" w:hAnsi="Times New Roman" w:cs="Times New Roman"/>
          <w:color w:val="000000"/>
          <w:sz w:val="24"/>
          <w:highlight w:val="none"/>
        </w:rPr>
        <w:t>检测值均可</w:t>
      </w:r>
      <w:r>
        <w:rPr>
          <w:color w:val="000000"/>
          <w:highlight w:val="none"/>
        </w:rPr>
        <w:t>满足</w:t>
      </w:r>
      <w:r>
        <w:rPr>
          <w:highlight w:val="none"/>
        </w:rPr>
        <w:t>相应用地现状</w:t>
      </w:r>
      <w:r>
        <w:rPr>
          <w:rFonts w:hint="eastAsia"/>
          <w:highlight w:val="none"/>
        </w:rPr>
        <w:t>及</w:t>
      </w:r>
      <w:r>
        <w:rPr>
          <w:highlight w:val="none"/>
        </w:rPr>
        <w:t>规划对应的标准限值</w:t>
      </w:r>
      <w:r>
        <w:rPr>
          <w:rFonts w:hint="eastAsia"/>
          <w:highlight w:val="none"/>
        </w:rPr>
        <w:t>要求</w:t>
      </w:r>
      <w:r>
        <w:rPr>
          <w:color w:val="000000"/>
          <w:highlight w:val="none"/>
        </w:rPr>
        <w:t>，</w:t>
      </w:r>
      <w:r>
        <w:rPr>
          <w:rFonts w:hint="eastAsia"/>
          <w:color w:val="000000"/>
          <w:highlight w:val="none"/>
        </w:rPr>
        <w:t>园区周边</w:t>
      </w:r>
      <w:r>
        <w:rPr>
          <w:color w:val="000000"/>
          <w:highlight w:val="none"/>
        </w:rPr>
        <w:t>土壤中各类检出的污染物浓度可接受。</w:t>
      </w:r>
    </w:p>
    <w:p w14:paraId="6C6AC158">
      <w:pPr>
        <w:numPr>
          <w:ilvl w:val="0"/>
          <w:numId w:val="12"/>
        </w:numPr>
        <w:spacing w:line="360" w:lineRule="auto"/>
        <w:ind w:firstLine="482"/>
        <w:rPr>
          <w:rFonts w:hint="default" w:ascii="Times New Roman" w:hAnsi="Times New Roman" w:cs="Times New Roman"/>
          <w:color w:val="000000"/>
          <w:sz w:val="24"/>
          <w:highlight w:val="none"/>
        </w:rPr>
      </w:pPr>
      <w:r>
        <w:rPr>
          <w:rFonts w:hint="default" w:ascii="Times New Roman" w:hAnsi="Times New Roman" w:cs="Times New Roman"/>
          <w:highlight w:val="none"/>
          <w:lang w:eastAsia="zh-CN"/>
        </w:rPr>
        <w:t>园区内上风向点位和下风向点位</w:t>
      </w:r>
      <w:r>
        <w:rPr>
          <w:rFonts w:hint="default" w:ascii="Times New Roman" w:hAnsi="Times New Roman" w:cs="Times New Roman"/>
          <w:highlight w:val="none"/>
        </w:rPr>
        <w:t>各测试项目检测值</w:t>
      </w:r>
      <w:r>
        <w:rPr>
          <w:rFonts w:hint="default" w:ascii="Times New Roman" w:hAnsi="Times New Roman" w:cs="Times New Roman"/>
          <w:highlight w:val="none"/>
          <w:lang w:eastAsia="zh-CN"/>
        </w:rPr>
        <w:t>差别较小，各</w:t>
      </w:r>
      <w:r>
        <w:rPr>
          <w:rFonts w:hint="default" w:ascii="Times New Roman" w:hAnsi="Times New Roman" w:cs="Times New Roman"/>
          <w:highlight w:val="none"/>
        </w:rPr>
        <w:t>检测值与均值</w:t>
      </w:r>
      <w:r>
        <w:rPr>
          <w:rFonts w:hint="default" w:ascii="Times New Roman" w:hAnsi="Times New Roman" w:cs="Times New Roman"/>
          <w:highlight w:val="none"/>
          <w:lang w:eastAsia="zh-CN"/>
        </w:rPr>
        <w:t>差别较小</w:t>
      </w:r>
      <w:r>
        <w:rPr>
          <w:rFonts w:hint="default" w:ascii="Times New Roman" w:hAnsi="Times New Roman" w:cs="Times New Roman"/>
          <w:highlight w:val="none"/>
        </w:rPr>
        <w:t>，</w:t>
      </w:r>
      <w:r>
        <w:rPr>
          <w:rFonts w:hint="default" w:ascii="Times New Roman" w:hAnsi="Times New Roman" w:cs="Times New Roman"/>
          <w:highlight w:val="none"/>
          <w:lang w:eastAsia="zh-CN"/>
        </w:rPr>
        <w:t>说明工业园区周边及其已建成企业聚集区周边各</w:t>
      </w:r>
      <w:r>
        <w:rPr>
          <w:rFonts w:hint="default" w:ascii="Times New Roman" w:hAnsi="Times New Roman" w:cs="Times New Roman"/>
          <w:highlight w:val="none"/>
        </w:rPr>
        <w:t>指标浓度处在同一水平</w:t>
      </w:r>
      <w:r>
        <w:rPr>
          <w:rFonts w:hint="default" w:ascii="Times New Roman" w:hAnsi="Times New Roman" w:cs="Times New Roman"/>
          <w:highlight w:val="none"/>
          <w:lang w:eastAsia="zh-CN"/>
        </w:rPr>
        <w:t>。</w:t>
      </w:r>
    </w:p>
    <w:p w14:paraId="194A20D5">
      <w:pPr>
        <w:numPr>
          <w:ilvl w:val="0"/>
          <w:numId w:val="12"/>
        </w:numPr>
        <w:spacing w:line="360" w:lineRule="auto"/>
        <w:ind w:firstLine="482"/>
        <w:rPr>
          <w:rFonts w:hint="default" w:ascii="Times New Roman" w:hAnsi="Times New Roman" w:cs="Times New Roman"/>
          <w:color w:val="000000"/>
          <w:sz w:val="24"/>
          <w:highlight w:val="none"/>
        </w:rPr>
      </w:pPr>
      <w:r>
        <w:rPr>
          <w:rFonts w:hint="default" w:ascii="Times New Roman" w:hAnsi="Times New Roman" w:cs="Times New Roman"/>
          <w:highlight w:val="none"/>
          <w:lang w:eastAsia="zh-CN"/>
        </w:rPr>
        <w:t>各土壤样品的单项污染指数Pimax=0.688＜1，可以判断</w:t>
      </w:r>
      <w:r>
        <w:rPr>
          <w:rFonts w:hint="eastAsia"/>
          <w:highlight w:val="none"/>
        </w:rPr>
        <w:t>本工业园区周边</w:t>
      </w:r>
      <w:r>
        <w:rPr>
          <w:rFonts w:hint="default" w:ascii="Times New Roman" w:hAnsi="Times New Roman" w:cs="Times New Roman"/>
          <w:highlight w:val="none"/>
          <w:lang w:eastAsia="zh-CN"/>
        </w:rPr>
        <w:t>的所有点位各因子的单项污染指数对应的污染程度均为无污染。</w:t>
      </w:r>
    </w:p>
    <w:p w14:paraId="15553812">
      <w:pPr>
        <w:numPr>
          <w:ilvl w:val="0"/>
          <w:numId w:val="12"/>
        </w:numPr>
        <w:spacing w:line="360" w:lineRule="auto"/>
        <w:ind w:firstLine="482"/>
        <w:rPr>
          <w:rFonts w:hint="default" w:ascii="Times New Roman" w:hAnsi="Times New Roman" w:eastAsia="宋体" w:cs="Times New Roman"/>
          <w:sz w:val="24"/>
          <w:highlight w:val="none"/>
          <w:lang w:eastAsia="zh-CN"/>
        </w:rPr>
      </w:pPr>
      <w:r>
        <w:rPr>
          <w:rFonts w:hint="default" w:ascii="Times New Roman" w:hAnsi="Times New Roman" w:cs="Times New Roman"/>
          <w:highlight w:val="none"/>
          <w:lang w:eastAsia="zh-CN"/>
        </w:rPr>
        <w:t>本园区各因子内梅罗污染指数PNmax=0.5124＜0.7，可以判断</w:t>
      </w:r>
      <w:r>
        <w:rPr>
          <w:rFonts w:hint="eastAsia"/>
          <w:highlight w:val="none"/>
        </w:rPr>
        <w:t>本工业园区周边</w:t>
      </w:r>
      <w:r>
        <w:rPr>
          <w:rFonts w:hint="default" w:ascii="Times New Roman" w:hAnsi="Times New Roman" w:cs="Times New Roman"/>
          <w:highlight w:val="none"/>
          <w:lang w:eastAsia="zh-CN"/>
        </w:rPr>
        <w:t>的所有因子的内梅罗污染指数对应的污染等级均为I级清洁（安全）</w:t>
      </w:r>
      <w:r>
        <w:rPr>
          <w:rFonts w:hint="eastAsia" w:cs="Times New Roman"/>
          <w:highlight w:val="none"/>
          <w:lang w:eastAsia="zh-CN"/>
        </w:rPr>
        <w:t>。</w:t>
      </w:r>
    </w:p>
    <w:p w14:paraId="08243704">
      <w:pPr>
        <w:numPr>
          <w:ilvl w:val="0"/>
          <w:numId w:val="12"/>
        </w:numPr>
        <w:spacing w:line="360" w:lineRule="auto"/>
        <w:ind w:firstLine="482"/>
        <w:rPr>
          <w:rFonts w:hint="default" w:ascii="Times New Roman" w:hAnsi="Times New Roman" w:eastAsia="宋体" w:cs="Times New Roman"/>
          <w:sz w:val="24"/>
          <w:highlight w:val="none"/>
          <w:lang w:eastAsia="zh-CN"/>
        </w:rPr>
      </w:pPr>
      <w:r>
        <w:rPr>
          <w:rFonts w:hint="default" w:ascii="Times New Roman" w:hAnsi="Times New Roman" w:cs="Times New Roman"/>
          <w:color w:val="000000"/>
          <w:sz w:val="24"/>
          <w:highlight w:val="none"/>
        </w:rPr>
        <w:t>调查</w:t>
      </w:r>
      <w:r>
        <w:rPr>
          <w:rFonts w:hint="eastAsia" w:cs="Times New Roman"/>
          <w:color w:val="000000"/>
          <w:sz w:val="24"/>
          <w:highlight w:val="none"/>
          <w:lang w:val="en-US" w:eastAsia="zh-CN"/>
        </w:rPr>
        <w:t>范围</w:t>
      </w:r>
      <w:r>
        <w:rPr>
          <w:rFonts w:hint="default" w:ascii="Times New Roman" w:hAnsi="Times New Roman" w:cs="Times New Roman"/>
          <w:color w:val="000000"/>
          <w:sz w:val="24"/>
          <w:highlight w:val="none"/>
        </w:rPr>
        <w:t>内地下水测试项目</w:t>
      </w:r>
      <w:r>
        <w:rPr>
          <w:rFonts w:hint="default" w:ascii="Times New Roman" w:hAnsi="Times New Roman" w:cs="Times New Roman"/>
          <w:sz w:val="24"/>
          <w:highlight w:val="none"/>
          <w:lang w:eastAsia="zh-CN"/>
        </w:rPr>
        <w:t>已检出污染物（</w:t>
      </w:r>
      <w:r>
        <w:rPr>
          <w:rFonts w:hint="default" w:ascii="Times New Roman" w:hAnsi="Times New Roman" w:cs="Times New Roman"/>
          <w:highlight w:val="none"/>
          <w:lang w:eastAsia="zh-CN"/>
        </w:rPr>
        <w:t>总硬度、溶解性总固体、耗氧量、硫酸盐、硝酸盐、氯化物、</w:t>
      </w:r>
      <w:r>
        <w:rPr>
          <w:rFonts w:hint="eastAsia" w:cs="Times New Roman"/>
          <w:highlight w:val="none"/>
          <w:lang w:eastAsia="zh-CN"/>
        </w:rPr>
        <w:t>总氟化物</w:t>
      </w:r>
      <w:r>
        <w:rPr>
          <w:rFonts w:hint="default" w:ascii="Times New Roman" w:hAnsi="Times New Roman" w:cs="Times New Roman"/>
          <w:highlight w:val="none"/>
          <w:lang w:eastAsia="zh-CN"/>
        </w:rPr>
        <w:t>、阴离子表面活性剂、氨氮、亚硝酸盐氮、锰、钠、锌、砷、铅、石油类</w:t>
      </w:r>
      <w:r>
        <w:rPr>
          <w:rFonts w:hint="default" w:ascii="Times New Roman" w:hAnsi="Times New Roman" w:cs="Times New Roman"/>
          <w:sz w:val="24"/>
          <w:highlight w:val="none"/>
          <w:lang w:eastAsia="zh-CN"/>
        </w:rPr>
        <w:t>）</w:t>
      </w:r>
      <w:r>
        <w:rPr>
          <w:rFonts w:hint="default" w:ascii="Times New Roman" w:hAnsi="Times New Roman" w:cs="Times New Roman"/>
          <w:highlight w:val="none"/>
          <w:lang w:eastAsia="zh-CN"/>
        </w:rPr>
        <w:t>均满足</w:t>
      </w:r>
      <w:r>
        <w:rPr>
          <w:rFonts w:hint="default" w:ascii="Times New Roman" w:hAnsi="Times New Roman" w:cs="Times New Roman"/>
          <w:color w:val="000000" w:themeColor="text1"/>
          <w:sz w:val="24"/>
          <w:highlight w:val="none"/>
          <w14:textFill>
            <w14:solidFill>
              <w14:schemeClr w14:val="tx1"/>
            </w14:solidFill>
          </w14:textFill>
        </w:rPr>
        <w:t>《地下水质量标准》（</w:t>
      </w:r>
      <w:r>
        <w:rPr>
          <w:rFonts w:hint="default" w:ascii="Times New Roman" w:hAnsi="Times New Roman" w:cs="Times New Roman"/>
          <w:color w:val="000000" w:themeColor="text1"/>
          <w:sz w:val="24"/>
          <w:highlight w:val="none"/>
          <w:lang w:val="en-US" w:eastAsia="zh-CN"/>
          <w14:textFill>
            <w14:solidFill>
              <w14:schemeClr w14:val="tx1"/>
            </w14:solidFill>
          </w14:textFill>
        </w:rPr>
        <w:t>G</w:t>
      </w:r>
      <w:r>
        <w:rPr>
          <w:rFonts w:hint="default" w:ascii="Times New Roman" w:hAnsi="Times New Roman" w:cs="Times New Roman"/>
          <w:color w:val="000000" w:themeColor="text1"/>
          <w:sz w:val="24"/>
          <w:highlight w:val="none"/>
          <w14:textFill>
            <w14:solidFill>
              <w14:schemeClr w14:val="tx1"/>
            </w14:solidFill>
          </w14:textFill>
        </w:rPr>
        <w:t>B/T 14848-2017）中</w:t>
      </w:r>
      <w:r>
        <w:rPr>
          <w:rFonts w:hint="default" w:ascii="Times New Roman" w:hAnsi="Times New Roman" w:cs="Times New Roman"/>
          <w:color w:val="000000" w:themeColor="text1"/>
          <w:sz w:val="24"/>
          <w:highlight w:val="none"/>
          <w:lang w:eastAsia="zh-CN"/>
          <w14:textFill>
            <w14:solidFill>
              <w14:schemeClr w14:val="tx1"/>
            </w14:solidFill>
          </w14:textFill>
        </w:rPr>
        <w:t>Ⅳ</w:t>
      </w:r>
      <w:r>
        <w:rPr>
          <w:rFonts w:hint="default" w:ascii="Times New Roman" w:hAnsi="Times New Roman" w:cs="Times New Roman"/>
          <w:color w:val="000000" w:themeColor="text1"/>
          <w:sz w:val="24"/>
          <w:highlight w:val="none"/>
          <w14:textFill>
            <w14:solidFill>
              <w14:schemeClr w14:val="tx1"/>
            </w14:solidFill>
          </w14:textFill>
        </w:rPr>
        <w:t>类标准限值</w:t>
      </w:r>
      <w:r>
        <w:rPr>
          <w:rFonts w:hint="default" w:ascii="Times New Roman" w:hAnsi="Times New Roman" w:cs="Times New Roman"/>
          <w:color w:val="000000" w:themeColor="text1"/>
          <w:sz w:val="24"/>
          <w:highlight w:val="none"/>
          <w:lang w:eastAsia="zh-CN"/>
          <w14:textFill>
            <w14:solidFill>
              <w14:schemeClr w14:val="tx1"/>
            </w14:solidFill>
          </w14:textFill>
        </w:rPr>
        <w:t>或</w:t>
      </w:r>
      <w:r>
        <w:rPr>
          <w:rFonts w:hint="default" w:ascii="Times New Roman" w:hAnsi="Times New Roman" w:cs="Times New Roman"/>
          <w:color w:val="000000" w:themeColor="text1"/>
          <w:sz w:val="24"/>
          <w:highlight w:val="none"/>
          <w14:textFill>
            <w14:solidFill>
              <w14:schemeClr w14:val="tx1"/>
            </w14:solidFill>
          </w14:textFill>
        </w:rPr>
        <w:t>《地表水环境质量标准》</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GB3838-2002</w:t>
      </w:r>
      <w:r>
        <w:rPr>
          <w:rFonts w:hint="default" w:ascii="Times New Roman" w:hAnsi="Times New Roman" w:cs="Times New Roman"/>
          <w:highlight w:val="none"/>
          <w:lang w:eastAsia="zh-CN"/>
        </w:rPr>
        <w:t>）要求。</w:t>
      </w:r>
    </w:p>
    <w:p w14:paraId="6CB91EB3">
      <w:pPr>
        <w:spacing w:line="360" w:lineRule="auto"/>
        <w:ind w:firstLine="482"/>
        <w:rPr>
          <w:rFonts w:hint="default" w:ascii="Times New Roman" w:hAnsi="Times New Roman" w:cs="Times New Roman"/>
          <w:color w:val="auto"/>
          <w:sz w:val="24"/>
          <w:highlight w:val="none"/>
        </w:rPr>
      </w:pPr>
      <w:r>
        <w:rPr>
          <w:rFonts w:hint="default" w:ascii="Times New Roman" w:hAnsi="Times New Roman" w:cs="Times New Roman"/>
          <w:color w:val="auto"/>
          <w:kern w:val="0"/>
          <w:sz w:val="24"/>
          <w:highlight w:val="none"/>
        </w:rPr>
        <w:t>综上所述，华容创业园</w:t>
      </w:r>
      <w:r>
        <w:rPr>
          <w:rFonts w:hint="default" w:ascii="Times New Roman" w:hAnsi="Times New Roman" w:cs="Times New Roman"/>
          <w:color w:val="auto"/>
          <w:kern w:val="0"/>
          <w:sz w:val="24"/>
          <w:highlight w:val="none"/>
          <w:lang w:eastAsia="zh-CN"/>
        </w:rPr>
        <w:t>对周边土壤和地下水影响较小，华容创业园内</w:t>
      </w:r>
      <w:r>
        <w:rPr>
          <w:rFonts w:hint="eastAsia" w:cs="Times New Roman"/>
          <w:color w:val="auto"/>
          <w:kern w:val="0"/>
          <w:sz w:val="24"/>
          <w:highlight w:val="none"/>
          <w:lang w:eastAsia="zh-CN"/>
        </w:rPr>
        <w:t>主要已建成企业聚集区</w:t>
      </w:r>
      <w:r>
        <w:rPr>
          <w:rFonts w:hint="default" w:ascii="Times New Roman" w:hAnsi="Times New Roman" w:cs="Times New Roman"/>
          <w:color w:val="auto"/>
          <w:kern w:val="0"/>
          <w:sz w:val="24"/>
          <w:highlight w:val="none"/>
          <w:lang w:eastAsia="zh-CN"/>
        </w:rPr>
        <w:t>对其周边土壤影响较小</w:t>
      </w:r>
      <w:r>
        <w:rPr>
          <w:rFonts w:hint="default" w:ascii="Times New Roman" w:hAnsi="Times New Roman" w:cs="Times New Roman"/>
          <w:color w:val="auto"/>
          <w:kern w:val="0"/>
          <w:sz w:val="24"/>
          <w:highlight w:val="none"/>
        </w:rPr>
        <w:t>。</w:t>
      </w:r>
    </w:p>
    <w:p w14:paraId="2DB27E7D">
      <w:pPr>
        <w:pStyle w:val="4"/>
        <w:tabs>
          <w:tab w:val="left" w:leader="dot" w:pos="0"/>
          <w:tab w:val="clear" w:pos="425"/>
        </w:tabs>
        <w:rPr>
          <w:rFonts w:hint="default" w:ascii="Times New Roman" w:hAnsi="Times New Roman" w:cs="Times New Roman"/>
          <w:highlight w:val="none"/>
        </w:rPr>
      </w:pPr>
      <w:bookmarkStart w:id="54" w:name="_Toc56693203"/>
      <w:bookmarkStart w:id="55" w:name="_Toc46849322"/>
      <w:bookmarkStart w:id="56" w:name="_Toc13271"/>
      <w:r>
        <w:rPr>
          <w:rFonts w:hint="default" w:ascii="Times New Roman" w:hAnsi="Times New Roman" w:cs="Times New Roman"/>
          <w:highlight w:val="none"/>
        </w:rPr>
        <w:t>建议</w:t>
      </w:r>
      <w:bookmarkEnd w:id="54"/>
      <w:bookmarkEnd w:id="55"/>
      <w:bookmarkEnd w:id="56"/>
    </w:p>
    <w:p w14:paraId="4DD1DCA1">
      <w:pPr>
        <w:pStyle w:val="31"/>
        <w:numPr>
          <w:ilvl w:val="0"/>
          <w:numId w:val="13"/>
        </w:numPr>
        <w:spacing w:after="0"/>
        <w:ind w:firstLine="480"/>
        <w:rPr>
          <w:rFonts w:hint="default" w:ascii="Times New Roman" w:hAnsi="Times New Roman" w:cs="Times New Roman"/>
          <w:color w:val="000000"/>
          <w:highlight w:val="none"/>
        </w:rPr>
      </w:pPr>
      <w:r>
        <w:rPr>
          <w:rFonts w:hint="default" w:ascii="Times New Roman" w:hAnsi="Times New Roman" w:cs="Times New Roman"/>
          <w:color w:val="000000"/>
          <w:highlight w:val="none"/>
          <w:lang w:eastAsia="zh-CN"/>
        </w:rPr>
        <w:t>制定华容创业园周边土壤环境例行监测制度，建立工业园区周边土壤环境质量管理数据库。</w:t>
      </w:r>
    </w:p>
    <w:p w14:paraId="37DDBD3C">
      <w:pPr>
        <w:pStyle w:val="31"/>
        <w:numPr>
          <w:ilvl w:val="0"/>
          <w:numId w:val="13"/>
        </w:numPr>
        <w:spacing w:after="0"/>
        <w:ind w:firstLine="480"/>
        <w:rPr>
          <w:color w:val="000000"/>
          <w:highlight w:val="none"/>
        </w:rPr>
      </w:pPr>
      <w:r>
        <w:rPr>
          <w:color w:val="000000"/>
          <w:highlight w:val="none"/>
        </w:rPr>
        <w:t>所有入园新建项目应开展环境影响评价工作，现有已入园企业，应严格落实环评文件及环境主管部门提出的各项污染防治措施，并保证污染治理设施正常、稳定运行。</w:t>
      </w:r>
    </w:p>
    <w:p w14:paraId="4174F9D7">
      <w:pPr>
        <w:pStyle w:val="31"/>
        <w:numPr>
          <w:ilvl w:val="0"/>
          <w:numId w:val="13"/>
        </w:numPr>
        <w:spacing w:after="0"/>
        <w:ind w:firstLine="480"/>
        <w:rPr>
          <w:color w:val="000000"/>
          <w:highlight w:val="none"/>
        </w:rPr>
      </w:pPr>
      <w:r>
        <w:rPr>
          <w:color w:val="000000"/>
          <w:highlight w:val="none"/>
        </w:rPr>
        <w:t>加强园区内涉重企业环境管理及监控，定期对涉重企业</w:t>
      </w:r>
      <w:r>
        <w:rPr>
          <w:rFonts w:hint="eastAsia"/>
          <w:szCs w:val="24"/>
          <w:highlight w:val="none"/>
          <w:lang w:bidi="ar"/>
        </w:rPr>
        <w:t>内部及</w:t>
      </w:r>
      <w:r>
        <w:rPr>
          <w:color w:val="000000"/>
          <w:highlight w:val="none"/>
        </w:rPr>
        <w:t>周边土壤环境质量开展检测工作。</w:t>
      </w:r>
    </w:p>
    <w:p w14:paraId="7DF93E2F">
      <w:pPr>
        <w:pStyle w:val="31"/>
        <w:numPr>
          <w:ilvl w:val="0"/>
          <w:numId w:val="13"/>
        </w:numPr>
        <w:spacing w:after="0"/>
        <w:ind w:firstLine="480"/>
        <w:rPr>
          <w:szCs w:val="24"/>
          <w:highlight w:val="none"/>
        </w:rPr>
      </w:pPr>
      <w:r>
        <w:rPr>
          <w:color w:val="000000"/>
          <w:highlight w:val="none"/>
        </w:rPr>
        <w:t>本报告仅针对调查期间</w:t>
      </w:r>
      <w:r>
        <w:rPr>
          <w:highlight w:val="none"/>
        </w:rPr>
        <w:t>监测</w:t>
      </w:r>
      <w:r>
        <w:rPr>
          <w:color w:val="000000"/>
          <w:highlight w:val="none"/>
        </w:rPr>
        <w:t>点土壤及地下水环境质量进行调查与评价，</w:t>
      </w:r>
      <w:r>
        <w:rPr>
          <w:rFonts w:hint="eastAsia"/>
          <w:color w:val="000000"/>
          <w:highlight w:val="none"/>
        </w:rPr>
        <w:t>园区周边土壤</w:t>
      </w:r>
      <w:r>
        <w:rPr>
          <w:highlight w:val="none"/>
        </w:rPr>
        <w:t>点位</w:t>
      </w:r>
      <w:r>
        <w:rPr>
          <w:rFonts w:hint="eastAsia"/>
          <w:highlight w:val="none"/>
        </w:rPr>
        <w:t>若其用地类型发生变化需按照实际情况视需要另行</w:t>
      </w:r>
      <w:r>
        <w:rPr>
          <w:color w:val="000000"/>
          <w:highlight w:val="none"/>
        </w:rPr>
        <w:t>调查评估</w:t>
      </w:r>
      <w:r>
        <w:rPr>
          <w:rFonts w:hint="eastAsia"/>
          <w:color w:val="000000"/>
          <w:highlight w:val="none"/>
          <w:lang w:eastAsia="zh-CN"/>
        </w:rPr>
        <w:t>。</w:t>
      </w:r>
    </w:p>
    <w:p w14:paraId="0A81DD19">
      <w:pPr>
        <w:pStyle w:val="2"/>
        <w:rPr>
          <w:rFonts w:hint="default" w:ascii="Times New Roman" w:hAnsi="Times New Roman" w:cs="Times New Roman"/>
          <w:highlight w:val="none"/>
          <w:lang w:eastAsia="zh-CN"/>
        </w:rPr>
      </w:pPr>
    </w:p>
    <w:sectPr>
      <w:headerReference r:id="rId20" w:type="default"/>
      <w:pgSz w:w="11849" w:h="16781"/>
      <w:pgMar w:top="1134" w:right="1134" w:bottom="1134" w:left="1134" w:header="850" w:footer="992" w:gutter="0"/>
      <w:pgBorders>
        <w:top w:val="none" w:sz="0" w:space="0"/>
        <w:left w:val="none" w:sz="0" w:space="0"/>
        <w:bottom w:val="none" w:sz="0" w:space="0"/>
        <w:right w:val="none" w:sz="0" w:space="0"/>
      </w:pgBorders>
      <w:pgNumType w:fmt="numberInDash"/>
      <w:cols w:space="0" w:num="1"/>
      <w:rtlGutter w:val="0"/>
      <w:docGrid w:type="lines" w:linePitch="33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3701A">
    <w:pPr>
      <w:pStyle w:val="14"/>
      <w:rPr>
        <w:u w:val="singl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1C744">
    <w:pPr>
      <w:pStyle w:val="14"/>
      <w:rPr>
        <w:u w:val="single"/>
      </w:rPr>
    </w:pPr>
    <w:r>
      <w:rPr>
        <w:u w:val="single"/>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64EF65">
                          <w:pPr>
                            <w:pStyle w:val="14"/>
                          </w:pPr>
                          <w:r>
                            <w:rPr>
                              <w:rFonts w:hint="eastAsia"/>
                            </w:rPr>
                            <w:fldChar w:fldCharType="begin"/>
                          </w:r>
                          <w:r>
                            <w:rPr>
                              <w:rFonts w:hint="eastAsia"/>
                            </w:rPr>
                            <w:instrText xml:space="preserve"> PAGE  \* MERGEFORMAT </w:instrText>
                          </w:r>
                          <w:r>
                            <w:rPr>
                              <w:rFonts w:hint="eastAsia"/>
                            </w:rPr>
                            <w:fldChar w:fldCharType="separate"/>
                          </w:r>
                          <w:r>
                            <w:t>- 59 -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864EF65">
                    <w:pPr>
                      <w:pStyle w:val="14"/>
                    </w:pPr>
                    <w:r>
                      <w:rPr>
                        <w:rFonts w:hint="eastAsia"/>
                      </w:rPr>
                      <w:fldChar w:fldCharType="begin"/>
                    </w:r>
                    <w:r>
                      <w:rPr>
                        <w:rFonts w:hint="eastAsia"/>
                      </w:rPr>
                      <w:instrText xml:space="preserve"> PAGE  \* MERGEFORMAT </w:instrText>
                    </w:r>
                    <w:r>
                      <w:rPr>
                        <w:rFonts w:hint="eastAsia"/>
                      </w:rPr>
                      <w:fldChar w:fldCharType="separate"/>
                    </w:r>
                    <w:r>
                      <w:t>- 59 -</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5D833">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C92C10">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- 13 -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AC92C10">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- 13 -</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DFBF8">
    <w:pPr>
      <w:pStyle w:val="1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D6B223">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- 16 -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AD6B223">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- 16 -</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5E7D8">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eastAsia" w:eastAsia="宋体"/>
        <w:b/>
        <w:bCs/>
        <w:color w:val="000000" w:themeColor="text1"/>
        <w:szCs w:val="18"/>
        <w:lang w:eastAsia="zh-CN"/>
        <w14:textFill>
          <w14:solidFill>
            <w14:schemeClr w14:val="tx1"/>
          </w14:solidFill>
        </w14:textFill>
      </w:rPr>
    </w:pPr>
    <w:r>
      <w:rPr>
        <w:rFonts w:hint="eastAsia"/>
        <w:b/>
        <w:bCs/>
        <w:color w:val="000000" w:themeColor="text1"/>
        <w:kern w:val="0"/>
        <w:szCs w:val="18"/>
        <w14:textFill>
          <w14:solidFill>
            <w14:schemeClr w14:val="tx1"/>
          </w14:solidFill>
        </w14:textFill>
      </w:rPr>
      <w:t>鄂州市工业园区周边土壤质量调查评估报告（2020年）——华容创业园</w:t>
    </w:r>
    <w:r>
      <w:rPr>
        <w:b/>
        <w:bCs/>
        <w:color w:val="000000" w:themeColor="text1"/>
        <w:kern w:val="0"/>
        <w:szCs w:val="18"/>
        <w14:textFill>
          <w14:solidFill>
            <w14:schemeClr w14:val="tx1"/>
          </w14:solidFill>
        </w14:textFill>
      </w:rPr>
      <w:t xml:space="preserve">    </w:t>
    </w:r>
    <w:r>
      <w:rPr>
        <w:rFonts w:hint="eastAsia"/>
        <w:b/>
        <w:bCs/>
        <w:color w:val="000000" w:themeColor="text1"/>
        <w:kern w:val="0"/>
        <w:szCs w:val="18"/>
        <w:lang w:val="en-US" w:eastAsia="zh-CN"/>
        <w14:textFill>
          <w14:solidFill>
            <w14:schemeClr w14:val="tx1"/>
          </w14:solidFill>
        </w14:textFill>
      </w:rPr>
      <w:t xml:space="preserve">                                    </w:t>
    </w:r>
    <w:r>
      <w:rPr>
        <w:rFonts w:hint="eastAsia"/>
        <w:b/>
        <w:bCs/>
        <w:color w:val="000000" w:themeColor="text1"/>
        <w:kern w:val="0"/>
        <w:szCs w:val="18"/>
        <w:lang w:eastAsia="zh-CN"/>
        <w14:textFill>
          <w14:solidFill>
            <w14:schemeClr w14:val="tx1"/>
          </w14:solidFill>
        </w14:textFill>
      </w:rPr>
      <w:t>目录</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73BEE">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14:textFill>
          <w14:solidFill>
            <w14:schemeClr w14:val="tx1"/>
          </w14:solidFill>
        </w14:textFill>
      </w:rPr>
      <w:t>鄂州市工业园区周边土壤质量调查评估报告（2020年）——华容创业园</w:t>
    </w:r>
    <w:r>
      <w:rPr>
        <w:b/>
        <w:bCs/>
        <w:color w:val="000000" w:themeColor="text1"/>
        <w:kern w:val="0"/>
        <w:szCs w:val="18"/>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 xml:space="preserve">                                                                                     5.结果与评价</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74C93">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14:textFill>
          <w14:solidFill>
            <w14:schemeClr w14:val="tx1"/>
          </w14:solidFill>
        </w14:textFill>
      </w:rPr>
      <w:t>鄂州市工业园区周边土壤质量调查评估报告（2020年）——华容创业园</w:t>
    </w:r>
    <w:r>
      <w:rPr>
        <w:b/>
        <w:bCs/>
        <w:color w:val="000000" w:themeColor="text1"/>
        <w:kern w:val="0"/>
        <w:szCs w:val="18"/>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 xml:space="preserve">                               5.结果与评价</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C2E47">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14:textFill>
          <w14:solidFill>
            <w14:schemeClr w14:val="tx1"/>
          </w14:solidFill>
        </w14:textFill>
      </w:rPr>
      <w:t>鄂州市工业园区周边土壤质量调查评估报告（2020年）——华容创业园</w:t>
    </w:r>
    <w:r>
      <w:rPr>
        <w:b/>
        <w:bCs/>
        <w:color w:val="000000" w:themeColor="text1"/>
        <w:kern w:val="0"/>
        <w:szCs w:val="18"/>
        <w14:textFill>
          <w14:solidFill>
            <w14:schemeClr w14:val="tx1"/>
          </w14:solidFill>
        </w14:textFill>
      </w:rPr>
      <w:t xml:space="preserve"> </w:t>
    </w:r>
    <w:r>
      <w:rPr>
        <w:rFonts w:hint="eastAsia"/>
        <w:b/>
        <w:bCs/>
        <w:color w:val="000000" w:themeColor="text1"/>
        <w:kern w:val="0"/>
        <w:szCs w:val="18"/>
        <w:lang w:val="en-US" w:eastAsia="zh-CN"/>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 xml:space="preserve">              6.结论与建议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A23B6">
    <w:pPr>
      <w:pStyle w:val="15"/>
      <w:rPr>
        <w:rFonts w:hint="eastAsia"/>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B9153">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b/>
        <w:highlight w:val="none"/>
        <w:lang w:val="en-US" w:eastAsia="zh-CN"/>
      </w:rPr>
    </w:pPr>
    <w:r>
      <w:rPr>
        <w:rFonts w:hint="eastAsia"/>
        <w:b/>
        <w:bCs/>
        <w:color w:val="000000" w:themeColor="text1"/>
        <w:kern w:val="0"/>
        <w:szCs w:val="18"/>
        <w:highlight w:val="none"/>
        <w14:textFill>
          <w14:solidFill>
            <w14:schemeClr w14:val="tx1"/>
          </w14:solidFill>
        </w14:textFill>
      </w:rPr>
      <w:t xml:space="preserve">鄂州市工业园区周边土壤质量调查评估报告（2020年）——华容创业园  </w:t>
    </w:r>
    <w:r>
      <w:rPr>
        <w:rFonts w:hint="eastAsia"/>
        <w:b/>
        <w:bCs/>
        <w:color w:val="000000" w:themeColor="text1"/>
        <w:kern w:val="0"/>
        <w:szCs w:val="18"/>
        <w:highlight w:val="none"/>
        <w:lang w:val="en-US" w:eastAsia="zh-CN"/>
        <w14:textFill>
          <w14:solidFill>
            <w14:schemeClr w14:val="tx1"/>
          </w14:solidFill>
        </w14:textFill>
      </w:rPr>
      <w:t xml:space="preserve"> </w:t>
    </w:r>
    <w:r>
      <w:rPr>
        <w:rFonts w:hint="eastAsia"/>
        <w:b/>
        <w:bCs/>
        <w:color w:val="000000" w:themeColor="text1"/>
        <w:kern w:val="0"/>
        <w:szCs w:val="18"/>
        <w:highlight w:val="none"/>
        <w14:textFill>
          <w14:solidFill>
            <w14:schemeClr w14:val="tx1"/>
          </w14:solidFill>
        </w14:textFill>
      </w:rPr>
      <w:t xml:space="preserve">                  </w:t>
    </w:r>
    <w:r>
      <w:rPr>
        <w:rFonts w:hint="eastAsia"/>
        <w:b/>
        <w:bCs/>
        <w:color w:val="000000" w:themeColor="text1"/>
        <w:kern w:val="0"/>
        <w:szCs w:val="18"/>
        <w:highlight w:val="none"/>
        <w:lang w:val="en-US" w:eastAsia="zh-CN"/>
        <w14:textFill>
          <w14:solidFill>
            <w14:schemeClr w14:val="tx1"/>
          </w14:solidFill>
        </w14:textFill>
      </w:rPr>
      <w:t xml:space="preserve">                 1.概述</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93F33">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b/>
        <w:lang w:val="en-US" w:eastAsia="zh-CN"/>
      </w:rPr>
    </w:pPr>
    <w:r>
      <w:rPr>
        <w:rFonts w:hint="eastAsia"/>
        <w:b/>
        <w:bCs/>
        <w:color w:val="000000" w:themeColor="text1"/>
        <w:kern w:val="0"/>
        <w:szCs w:val="18"/>
        <w14:textFill>
          <w14:solidFill>
            <w14:schemeClr w14:val="tx1"/>
          </w14:solidFill>
        </w14:textFill>
      </w:rPr>
      <w:t>鄂州市工业园区周边土壤质量调查评估报告（2020年）——华容创业园</w:t>
    </w:r>
    <w:r>
      <w:rPr>
        <w:rFonts w:hint="eastAsia"/>
        <w:b/>
        <w:bCs/>
        <w:color w:val="000000" w:themeColor="text1"/>
        <w:kern w:val="0"/>
        <w:szCs w:val="18"/>
        <w:lang w:val="en-US" w:eastAsia="zh-CN"/>
        <w14:textFill>
          <w14:solidFill>
            <w14:schemeClr w14:val="tx1"/>
          </w14:solidFill>
        </w14:textFill>
      </w:rPr>
      <w:t xml:space="preserve"> </w:t>
    </w:r>
    <w:r>
      <w:rPr>
        <w:rFonts w:hint="eastAsia"/>
        <w:b/>
        <w:bCs/>
        <w:color w:val="000000" w:themeColor="text1"/>
        <w:kern w:val="0"/>
        <w:szCs w:val="18"/>
        <w14:textFill>
          <w14:solidFill>
            <w14:schemeClr w14:val="tx1"/>
          </w14:solidFill>
        </w14:textFill>
      </w:rPr>
      <w:t xml:space="preserve">                    </w:t>
    </w:r>
    <w:r>
      <w:rPr>
        <w:rFonts w:hint="eastAsia"/>
        <w:b/>
        <w:bCs/>
        <w:color w:val="000000" w:themeColor="text1"/>
        <w:kern w:val="0"/>
        <w:szCs w:val="18"/>
        <w:lang w:val="en-US" w:eastAsia="zh-CN"/>
        <w14:textFill>
          <w14:solidFill>
            <w14:schemeClr w14:val="tx1"/>
          </w14:solidFill>
        </w14:textFill>
      </w:rPr>
      <w:t xml:space="preserve">          2.调查区域概况</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577EE">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highlight w:val="none"/>
        <w14:textFill>
          <w14:solidFill>
            <w14:schemeClr w14:val="tx1"/>
          </w14:solidFill>
        </w14:textFill>
      </w:rPr>
      <w:t>鄂州市工业园区周边土壤质量调查评估报告（2020年）——华容创业园</w:t>
    </w:r>
    <w:r>
      <w:rPr>
        <w:rFonts w:hint="eastAsia" w:cs="Times New Roman"/>
        <w:b/>
        <w:bCs/>
        <w:color w:val="000000" w:themeColor="text1"/>
        <w:kern w:val="0"/>
        <w:sz w:val="18"/>
        <w:szCs w:val="18"/>
        <w:highlight w:val="none"/>
        <w:lang w:val="en-US" w:eastAsia="zh-CN"/>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 xml:space="preserve">                           3.调查工作方案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C7B8B">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highlight w:val="none"/>
        <w14:textFill>
          <w14:solidFill>
            <w14:schemeClr w14:val="tx1"/>
          </w14:solidFill>
        </w14:textFill>
      </w:rPr>
      <w:t>鄂州市工业园区周边土壤质量调查评估报告（2020年）——华容创业园</w:t>
    </w:r>
    <w:r>
      <w:rPr>
        <w:rFonts w:hint="eastAsia" w:cs="Times New Roman"/>
        <w:b/>
        <w:bCs/>
        <w:color w:val="000000" w:themeColor="text1"/>
        <w:kern w:val="0"/>
        <w:sz w:val="18"/>
        <w:szCs w:val="18"/>
        <w:highlight w:val="none"/>
        <w:lang w:val="en-US" w:eastAsia="zh-CN"/>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 xml:space="preserve">                     4.现场工作及实验室分析</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2DCB2">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14:textFill>
          <w14:solidFill>
            <w14:schemeClr w14:val="tx1"/>
          </w14:solidFill>
        </w14:textFill>
      </w:rPr>
      <w:t>鄂州市工业园区周边土壤质量调查评估报告（2020年）——华容创业园</w:t>
    </w:r>
    <w:r>
      <w:rPr>
        <w:b/>
        <w:bCs/>
        <w:color w:val="000000" w:themeColor="text1"/>
        <w:kern w:val="0"/>
        <w:szCs w:val="18"/>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 xml:space="preserve">                                                                           4.现场工作及实验室分析</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C1438">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14:textFill>
          <w14:solidFill>
            <w14:schemeClr w14:val="tx1"/>
          </w14:solidFill>
        </w14:textFill>
      </w:rPr>
      <w:t>鄂州市工业园区周边土壤质量调查评估报告（2020年）——华容创业园</w:t>
    </w:r>
    <w:r>
      <w:rPr>
        <w:rFonts w:hint="eastAsia" w:cs="Times New Roman"/>
        <w:b/>
        <w:bCs/>
        <w:color w:val="000000" w:themeColor="text1"/>
        <w:kern w:val="0"/>
        <w:sz w:val="18"/>
        <w:szCs w:val="18"/>
        <w:lang w:val="en-US" w:eastAsia="zh-CN"/>
        <w14:textFill>
          <w14:solidFill>
            <w14:schemeClr w14:val="tx1"/>
          </w14:solidFill>
        </w14:textFill>
      </w:rPr>
      <w:t xml:space="preserve">                       4.现场工作及实验室分析</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977C7">
    <w:pPr>
      <w:pStyle w:val="15"/>
      <w:keepNext w:val="0"/>
      <w:keepLines w:val="0"/>
      <w:pageBreakBefore w:val="0"/>
      <w:widowControl w:val="0"/>
      <w:pBdr>
        <w:bottom w:val="single" w:color="auto" w:sz="4" w:space="1"/>
      </w:pBdr>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b/>
        <w:bCs/>
        <w:color w:val="000000" w:themeColor="text1"/>
        <w:kern w:val="0"/>
        <w:szCs w:val="18"/>
        <w14:textFill>
          <w14:solidFill>
            <w14:schemeClr w14:val="tx1"/>
          </w14:solidFill>
        </w14:textFill>
      </w:rPr>
      <w:t>鄂州市工业园区周边土壤质量调查评估报告（2020年）——华容创业园</w:t>
    </w:r>
    <w:r>
      <w:rPr>
        <w:rFonts w:hint="eastAsia"/>
        <w:b/>
        <w:bCs/>
        <w:color w:val="000000" w:themeColor="text1"/>
        <w:kern w:val="0"/>
        <w:szCs w:val="18"/>
        <w:lang w:val="en-US" w:eastAsia="zh-CN"/>
        <w14:textFill>
          <w14:solidFill>
            <w14:schemeClr w14:val="tx1"/>
          </w14:solidFill>
        </w14:textFill>
      </w:rPr>
      <w:t xml:space="preserve">  </w:t>
    </w:r>
    <w:r>
      <w:rPr>
        <w:rFonts w:hint="eastAsia" w:cs="Times New Roman"/>
        <w:b/>
        <w:bCs/>
        <w:color w:val="000000" w:themeColor="text1"/>
        <w:kern w:val="0"/>
        <w:sz w:val="18"/>
        <w:szCs w:val="18"/>
        <w:lang w:val="en-US" w:eastAsia="zh-CN"/>
        <w14:textFill>
          <w14:solidFill>
            <w14:schemeClr w14:val="tx1"/>
          </w14:solidFill>
        </w14:textFill>
      </w:rPr>
      <w:t xml:space="preserve">                             5.结果与评价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C82E71"/>
    <w:multiLevelType w:val="singleLevel"/>
    <w:tmpl w:val="88C82E71"/>
    <w:lvl w:ilvl="0" w:tentative="0">
      <w:start w:val="1"/>
      <w:numFmt w:val="decimal"/>
      <w:suff w:val="nothing"/>
      <w:lvlText w:val="（%1）"/>
      <w:lvlJc w:val="left"/>
    </w:lvl>
  </w:abstractNum>
  <w:abstractNum w:abstractNumId="1">
    <w:nsid w:val="93E6CCA3"/>
    <w:multiLevelType w:val="singleLevel"/>
    <w:tmpl w:val="93E6CCA3"/>
    <w:lvl w:ilvl="0" w:tentative="0">
      <w:start w:val="1"/>
      <w:numFmt w:val="decimal"/>
      <w:suff w:val="nothing"/>
      <w:lvlText w:val="（%1）"/>
      <w:lvlJc w:val="left"/>
    </w:lvl>
  </w:abstractNum>
  <w:abstractNum w:abstractNumId="2">
    <w:nsid w:val="9F8DEC4D"/>
    <w:multiLevelType w:val="multilevel"/>
    <w:tmpl w:val="9F8DEC4D"/>
    <w:lvl w:ilvl="0" w:tentative="0">
      <w:start w:val="1"/>
      <w:numFmt w:val="decimal"/>
      <w:pStyle w:val="6"/>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
    <w:nsid w:val="A48C27CA"/>
    <w:multiLevelType w:val="singleLevel"/>
    <w:tmpl w:val="A48C27CA"/>
    <w:lvl w:ilvl="0" w:tentative="0">
      <w:start w:val="1"/>
      <w:numFmt w:val="decimal"/>
      <w:suff w:val="nothing"/>
      <w:lvlText w:val="（%1）"/>
      <w:lvlJc w:val="left"/>
    </w:lvl>
  </w:abstractNum>
  <w:abstractNum w:abstractNumId="4">
    <w:nsid w:val="C0A7D593"/>
    <w:multiLevelType w:val="multilevel"/>
    <w:tmpl w:val="C0A7D593"/>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pStyle w:val="7"/>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5">
    <w:nsid w:val="E8EB3CD0"/>
    <w:multiLevelType w:val="multilevel"/>
    <w:tmpl w:val="E8EB3CD0"/>
    <w:lvl w:ilvl="0" w:tentative="0">
      <w:start w:val="1"/>
      <w:numFmt w:val="decimal"/>
      <w:suff w:val="nothing"/>
      <w:lvlText w:val="（%1）"/>
      <w:lvlJc w:val="left"/>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6">
    <w:nsid w:val="F6B9518F"/>
    <w:multiLevelType w:val="singleLevel"/>
    <w:tmpl w:val="F6B9518F"/>
    <w:lvl w:ilvl="0" w:tentative="0">
      <w:start w:val="1"/>
      <w:numFmt w:val="decimal"/>
      <w:suff w:val="nothing"/>
      <w:lvlText w:val="（%1）"/>
      <w:lvlJc w:val="left"/>
    </w:lvl>
  </w:abstractNum>
  <w:abstractNum w:abstractNumId="7">
    <w:nsid w:val="0000000E"/>
    <w:multiLevelType w:val="multilevel"/>
    <w:tmpl w:val="0000000E"/>
    <w:lvl w:ilvl="0" w:tentative="0">
      <w:start w:val="1"/>
      <w:numFmt w:val="decimal"/>
      <w:lvlText w:val="%1."/>
      <w:lvlJc w:val="left"/>
      <w:pPr>
        <w:tabs>
          <w:tab w:val="left" w:pos="425"/>
        </w:tabs>
        <w:ind w:left="425" w:hanging="425"/>
      </w:pPr>
    </w:lvl>
    <w:lvl w:ilvl="1" w:tentative="0">
      <w:start w:val="1"/>
      <w:numFmt w:val="decimal"/>
      <w:pStyle w:val="4"/>
      <w:lvlText w:val="%1.%2."/>
      <w:lvlJc w:val="left"/>
      <w:pPr>
        <w:tabs>
          <w:tab w:val="left" w:pos="567"/>
        </w:tabs>
        <w:ind w:left="567" w:hanging="567"/>
      </w:pPr>
      <w:rPr>
        <w:sz w:val="24"/>
        <w:szCs w:val="24"/>
      </w:rPr>
    </w:lvl>
    <w:lvl w:ilvl="2" w:tentative="0">
      <w:start w:val="1"/>
      <w:numFmt w:val="decimal"/>
      <w:pStyle w:val="5"/>
      <w:lvlText w:val="%1.%2.%3."/>
      <w:lvlJc w:val="left"/>
      <w:pPr>
        <w:tabs>
          <w:tab w:val="left" w:pos="851"/>
        </w:tabs>
        <w:ind w:left="851" w:hanging="709"/>
      </w:pPr>
      <w:rPr>
        <w:sz w:val="24"/>
        <w:szCs w:val="24"/>
      </w:r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8">
    <w:nsid w:val="16BDCB54"/>
    <w:multiLevelType w:val="singleLevel"/>
    <w:tmpl w:val="16BDCB54"/>
    <w:lvl w:ilvl="0" w:tentative="0">
      <w:start w:val="1"/>
      <w:numFmt w:val="decimal"/>
      <w:suff w:val="nothing"/>
      <w:lvlText w:val="（%1）"/>
      <w:lvlJc w:val="left"/>
    </w:lvl>
  </w:abstractNum>
  <w:abstractNum w:abstractNumId="9">
    <w:nsid w:val="2D09ECF0"/>
    <w:multiLevelType w:val="singleLevel"/>
    <w:tmpl w:val="2D09ECF0"/>
    <w:lvl w:ilvl="0" w:tentative="0">
      <w:start w:val="1"/>
      <w:numFmt w:val="decimal"/>
      <w:suff w:val="nothing"/>
      <w:lvlText w:val="（%1）"/>
      <w:lvlJc w:val="left"/>
    </w:lvl>
  </w:abstractNum>
  <w:abstractNum w:abstractNumId="10">
    <w:nsid w:val="4AB71BF3"/>
    <w:multiLevelType w:val="singleLevel"/>
    <w:tmpl w:val="4AB71BF3"/>
    <w:lvl w:ilvl="0" w:tentative="0">
      <w:start w:val="1"/>
      <w:numFmt w:val="decimal"/>
      <w:suff w:val="nothing"/>
      <w:lvlText w:val="（%1）"/>
      <w:lvlJc w:val="left"/>
    </w:lvl>
  </w:abstractNum>
  <w:abstractNum w:abstractNumId="11">
    <w:nsid w:val="594FBAFE"/>
    <w:multiLevelType w:val="singleLevel"/>
    <w:tmpl w:val="594FBAFE"/>
    <w:lvl w:ilvl="0" w:tentative="0">
      <w:start w:val="1"/>
      <w:numFmt w:val="decimal"/>
      <w:suff w:val="nothing"/>
      <w:lvlText w:val="（%1）"/>
      <w:lvlJc w:val="left"/>
    </w:lvl>
  </w:abstractNum>
  <w:abstractNum w:abstractNumId="12">
    <w:nsid w:val="792B8015"/>
    <w:multiLevelType w:val="singleLevel"/>
    <w:tmpl w:val="792B8015"/>
    <w:lvl w:ilvl="0" w:tentative="0">
      <w:start w:val="1"/>
      <w:numFmt w:val="decimal"/>
      <w:suff w:val="nothing"/>
      <w:lvlText w:val="（%1）"/>
      <w:lvlJc w:val="left"/>
    </w:lvl>
  </w:abstractNum>
  <w:num w:numId="1">
    <w:abstractNumId w:val="7"/>
  </w:num>
  <w:num w:numId="2">
    <w:abstractNumId w:val="2"/>
  </w:num>
  <w:num w:numId="3">
    <w:abstractNumId w:val="4"/>
  </w:num>
  <w:num w:numId="4">
    <w:abstractNumId w:val="1"/>
  </w:num>
  <w:num w:numId="5">
    <w:abstractNumId w:val="9"/>
  </w:num>
  <w:num w:numId="6">
    <w:abstractNumId w:val="12"/>
  </w:num>
  <w:num w:numId="7">
    <w:abstractNumId w:val="10"/>
  </w:num>
  <w:num w:numId="8">
    <w:abstractNumId w:val="8"/>
  </w:num>
  <w:num w:numId="9">
    <w:abstractNumId w:val="0"/>
  </w:num>
  <w:num w:numId="10">
    <w:abstractNumId w:val="5"/>
  </w:num>
  <w:num w:numId="11">
    <w:abstractNumId w:val="3"/>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0"/>
  <w:bordersDoNotSurroundFooter w:val="0"/>
  <w:hideSpellingErrors/>
  <w:documentProtection w:enforcement="0"/>
  <w:defaultTabStop w:val="420"/>
  <w:drawingGridVerticalSpacing w:val="16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4F61"/>
    <w:rsid w:val="000C4C75"/>
    <w:rsid w:val="000E6504"/>
    <w:rsid w:val="00102FD0"/>
    <w:rsid w:val="00172A27"/>
    <w:rsid w:val="001E4ADC"/>
    <w:rsid w:val="001F52B1"/>
    <w:rsid w:val="00260150"/>
    <w:rsid w:val="00260A9C"/>
    <w:rsid w:val="002C568B"/>
    <w:rsid w:val="002D439F"/>
    <w:rsid w:val="002D45C9"/>
    <w:rsid w:val="0034147F"/>
    <w:rsid w:val="003534AF"/>
    <w:rsid w:val="00355C5A"/>
    <w:rsid w:val="00366160"/>
    <w:rsid w:val="003F5E7E"/>
    <w:rsid w:val="00436FD0"/>
    <w:rsid w:val="00483BDF"/>
    <w:rsid w:val="00551330"/>
    <w:rsid w:val="00596EC0"/>
    <w:rsid w:val="005A09E0"/>
    <w:rsid w:val="005E0945"/>
    <w:rsid w:val="006173F7"/>
    <w:rsid w:val="00625F8A"/>
    <w:rsid w:val="00667820"/>
    <w:rsid w:val="00695766"/>
    <w:rsid w:val="00696A64"/>
    <w:rsid w:val="006B35D1"/>
    <w:rsid w:val="0072388F"/>
    <w:rsid w:val="007417DC"/>
    <w:rsid w:val="0074360E"/>
    <w:rsid w:val="00772983"/>
    <w:rsid w:val="007764BA"/>
    <w:rsid w:val="007A4F01"/>
    <w:rsid w:val="007E4696"/>
    <w:rsid w:val="00804FCA"/>
    <w:rsid w:val="00817E95"/>
    <w:rsid w:val="0084433B"/>
    <w:rsid w:val="00846AB9"/>
    <w:rsid w:val="00875DD2"/>
    <w:rsid w:val="00876D29"/>
    <w:rsid w:val="008D270E"/>
    <w:rsid w:val="00917DDF"/>
    <w:rsid w:val="009232BD"/>
    <w:rsid w:val="00980551"/>
    <w:rsid w:val="00986C7D"/>
    <w:rsid w:val="009C035C"/>
    <w:rsid w:val="009F0A33"/>
    <w:rsid w:val="00A7537A"/>
    <w:rsid w:val="00A80313"/>
    <w:rsid w:val="00A94747"/>
    <w:rsid w:val="00AB7D7E"/>
    <w:rsid w:val="00AC4C7B"/>
    <w:rsid w:val="00AE178E"/>
    <w:rsid w:val="00AF2254"/>
    <w:rsid w:val="00AF7A7C"/>
    <w:rsid w:val="00B22E15"/>
    <w:rsid w:val="00B702D6"/>
    <w:rsid w:val="00BE2214"/>
    <w:rsid w:val="00C25BE2"/>
    <w:rsid w:val="00C37D62"/>
    <w:rsid w:val="00C67ACA"/>
    <w:rsid w:val="00C832D2"/>
    <w:rsid w:val="00CB150D"/>
    <w:rsid w:val="00CC7759"/>
    <w:rsid w:val="00D110F6"/>
    <w:rsid w:val="00DC41FB"/>
    <w:rsid w:val="00DD0CA5"/>
    <w:rsid w:val="00DD2718"/>
    <w:rsid w:val="00E343F7"/>
    <w:rsid w:val="00E36208"/>
    <w:rsid w:val="00EC76DE"/>
    <w:rsid w:val="00ED0E52"/>
    <w:rsid w:val="00F3107D"/>
    <w:rsid w:val="00F518A7"/>
    <w:rsid w:val="00F72F05"/>
    <w:rsid w:val="00FF3D8F"/>
    <w:rsid w:val="01211107"/>
    <w:rsid w:val="013C1C78"/>
    <w:rsid w:val="01553293"/>
    <w:rsid w:val="015C4062"/>
    <w:rsid w:val="01674E8C"/>
    <w:rsid w:val="01CF3D66"/>
    <w:rsid w:val="01E90805"/>
    <w:rsid w:val="020F5611"/>
    <w:rsid w:val="022630CB"/>
    <w:rsid w:val="02292F83"/>
    <w:rsid w:val="02DC7E02"/>
    <w:rsid w:val="02F36711"/>
    <w:rsid w:val="02F822E8"/>
    <w:rsid w:val="033431B6"/>
    <w:rsid w:val="03B1623F"/>
    <w:rsid w:val="03CD3FB6"/>
    <w:rsid w:val="03EC5F21"/>
    <w:rsid w:val="03EE2028"/>
    <w:rsid w:val="041F51CE"/>
    <w:rsid w:val="046C2FA5"/>
    <w:rsid w:val="047C46AD"/>
    <w:rsid w:val="04CB7316"/>
    <w:rsid w:val="04F37485"/>
    <w:rsid w:val="056E1E64"/>
    <w:rsid w:val="05743BF1"/>
    <w:rsid w:val="058E1BD8"/>
    <w:rsid w:val="05CA7326"/>
    <w:rsid w:val="05F807FF"/>
    <w:rsid w:val="06493576"/>
    <w:rsid w:val="0681510E"/>
    <w:rsid w:val="069A399E"/>
    <w:rsid w:val="06CC76B5"/>
    <w:rsid w:val="06E33C9A"/>
    <w:rsid w:val="0715171A"/>
    <w:rsid w:val="071F22FB"/>
    <w:rsid w:val="07355729"/>
    <w:rsid w:val="07607A95"/>
    <w:rsid w:val="07B95E5C"/>
    <w:rsid w:val="080A21AA"/>
    <w:rsid w:val="081D5A6B"/>
    <w:rsid w:val="08371541"/>
    <w:rsid w:val="086614E8"/>
    <w:rsid w:val="091559D6"/>
    <w:rsid w:val="097C6A67"/>
    <w:rsid w:val="09963CF9"/>
    <w:rsid w:val="09A03388"/>
    <w:rsid w:val="09B20583"/>
    <w:rsid w:val="09C01FC4"/>
    <w:rsid w:val="09E05710"/>
    <w:rsid w:val="0A162818"/>
    <w:rsid w:val="0A1D6E68"/>
    <w:rsid w:val="0A78356E"/>
    <w:rsid w:val="0B120256"/>
    <w:rsid w:val="0B4B68BC"/>
    <w:rsid w:val="0B4D141C"/>
    <w:rsid w:val="0BE20E78"/>
    <w:rsid w:val="0C4D14C4"/>
    <w:rsid w:val="0C963396"/>
    <w:rsid w:val="0CE45FD2"/>
    <w:rsid w:val="0DBC29D1"/>
    <w:rsid w:val="0DC80BE2"/>
    <w:rsid w:val="0E007FB7"/>
    <w:rsid w:val="0E1B62CC"/>
    <w:rsid w:val="0E526072"/>
    <w:rsid w:val="0E5F3A6A"/>
    <w:rsid w:val="0ECB3004"/>
    <w:rsid w:val="0F115EDF"/>
    <w:rsid w:val="0F964415"/>
    <w:rsid w:val="0FAF3F9B"/>
    <w:rsid w:val="0FF44602"/>
    <w:rsid w:val="10131A4A"/>
    <w:rsid w:val="10B6307C"/>
    <w:rsid w:val="10C8419F"/>
    <w:rsid w:val="10D44C70"/>
    <w:rsid w:val="110260E0"/>
    <w:rsid w:val="112B10F4"/>
    <w:rsid w:val="113D6568"/>
    <w:rsid w:val="113E7253"/>
    <w:rsid w:val="116A04E1"/>
    <w:rsid w:val="119162BB"/>
    <w:rsid w:val="11E46865"/>
    <w:rsid w:val="11F9763C"/>
    <w:rsid w:val="1283544F"/>
    <w:rsid w:val="128B255E"/>
    <w:rsid w:val="12D61E27"/>
    <w:rsid w:val="12D63A9F"/>
    <w:rsid w:val="13034080"/>
    <w:rsid w:val="13177AFA"/>
    <w:rsid w:val="131F7994"/>
    <w:rsid w:val="134A34EB"/>
    <w:rsid w:val="13EE3C70"/>
    <w:rsid w:val="13FA3F3B"/>
    <w:rsid w:val="143C1EF3"/>
    <w:rsid w:val="144067E3"/>
    <w:rsid w:val="14D76689"/>
    <w:rsid w:val="158C4C85"/>
    <w:rsid w:val="15912FA5"/>
    <w:rsid w:val="15AB7B11"/>
    <w:rsid w:val="164F5F8C"/>
    <w:rsid w:val="16540C54"/>
    <w:rsid w:val="16644DCA"/>
    <w:rsid w:val="16EF0D99"/>
    <w:rsid w:val="17501F70"/>
    <w:rsid w:val="17503990"/>
    <w:rsid w:val="17841DD8"/>
    <w:rsid w:val="17C6038E"/>
    <w:rsid w:val="17F840C2"/>
    <w:rsid w:val="18722E64"/>
    <w:rsid w:val="18DC2F5E"/>
    <w:rsid w:val="18DE724E"/>
    <w:rsid w:val="19135F25"/>
    <w:rsid w:val="191A7680"/>
    <w:rsid w:val="191F09D6"/>
    <w:rsid w:val="19261634"/>
    <w:rsid w:val="19447A35"/>
    <w:rsid w:val="19A5063C"/>
    <w:rsid w:val="19E36402"/>
    <w:rsid w:val="19FE0875"/>
    <w:rsid w:val="1A42275A"/>
    <w:rsid w:val="1A94779C"/>
    <w:rsid w:val="1AB0491F"/>
    <w:rsid w:val="1AD14DFB"/>
    <w:rsid w:val="1B13720F"/>
    <w:rsid w:val="1B450367"/>
    <w:rsid w:val="1B4667D0"/>
    <w:rsid w:val="1B6532EE"/>
    <w:rsid w:val="1B695676"/>
    <w:rsid w:val="1BEB3359"/>
    <w:rsid w:val="1C3D33BA"/>
    <w:rsid w:val="1C462289"/>
    <w:rsid w:val="1C812F1B"/>
    <w:rsid w:val="1C815F8F"/>
    <w:rsid w:val="1CB23FA8"/>
    <w:rsid w:val="1D1D24D0"/>
    <w:rsid w:val="1D340FCC"/>
    <w:rsid w:val="1D5045CA"/>
    <w:rsid w:val="1D7B4061"/>
    <w:rsid w:val="1D94134C"/>
    <w:rsid w:val="1E534008"/>
    <w:rsid w:val="1E6E0069"/>
    <w:rsid w:val="1E6F34D0"/>
    <w:rsid w:val="1E7B2AE9"/>
    <w:rsid w:val="1E84106F"/>
    <w:rsid w:val="1E873335"/>
    <w:rsid w:val="1EA15860"/>
    <w:rsid w:val="1EC77D1C"/>
    <w:rsid w:val="1EE47F0B"/>
    <w:rsid w:val="1F163863"/>
    <w:rsid w:val="1FC8213C"/>
    <w:rsid w:val="1FD71EE4"/>
    <w:rsid w:val="1FE44FB8"/>
    <w:rsid w:val="1FF06590"/>
    <w:rsid w:val="206F664D"/>
    <w:rsid w:val="20812DAB"/>
    <w:rsid w:val="20872DD7"/>
    <w:rsid w:val="20E1766D"/>
    <w:rsid w:val="21680C2C"/>
    <w:rsid w:val="224824A4"/>
    <w:rsid w:val="22485207"/>
    <w:rsid w:val="2288732C"/>
    <w:rsid w:val="22E842F8"/>
    <w:rsid w:val="231259D0"/>
    <w:rsid w:val="23186BA8"/>
    <w:rsid w:val="233D76C2"/>
    <w:rsid w:val="2393758A"/>
    <w:rsid w:val="24045E17"/>
    <w:rsid w:val="242D39CB"/>
    <w:rsid w:val="24D11B10"/>
    <w:rsid w:val="250635BD"/>
    <w:rsid w:val="25716782"/>
    <w:rsid w:val="25945F82"/>
    <w:rsid w:val="25FD588D"/>
    <w:rsid w:val="26555C7B"/>
    <w:rsid w:val="26DC750C"/>
    <w:rsid w:val="27004270"/>
    <w:rsid w:val="27283C0C"/>
    <w:rsid w:val="27445C08"/>
    <w:rsid w:val="27C0391D"/>
    <w:rsid w:val="27C25CE5"/>
    <w:rsid w:val="27FE397E"/>
    <w:rsid w:val="28393B99"/>
    <w:rsid w:val="2877729A"/>
    <w:rsid w:val="288E0B23"/>
    <w:rsid w:val="288F78F6"/>
    <w:rsid w:val="28A977E0"/>
    <w:rsid w:val="2946107F"/>
    <w:rsid w:val="29797537"/>
    <w:rsid w:val="29C0377A"/>
    <w:rsid w:val="2A7A3222"/>
    <w:rsid w:val="2AC20744"/>
    <w:rsid w:val="2B076E6C"/>
    <w:rsid w:val="2B9176A7"/>
    <w:rsid w:val="2C091A5B"/>
    <w:rsid w:val="2C4B48BD"/>
    <w:rsid w:val="2C8420B1"/>
    <w:rsid w:val="2D1E563E"/>
    <w:rsid w:val="2D3E6584"/>
    <w:rsid w:val="2DAD365B"/>
    <w:rsid w:val="2DD25ACE"/>
    <w:rsid w:val="2E1E5264"/>
    <w:rsid w:val="2E2F3CBA"/>
    <w:rsid w:val="2E5E66B3"/>
    <w:rsid w:val="2E8168DD"/>
    <w:rsid w:val="2E8A7C0F"/>
    <w:rsid w:val="2E996201"/>
    <w:rsid w:val="2F352089"/>
    <w:rsid w:val="2F3E3B9C"/>
    <w:rsid w:val="2F8E393E"/>
    <w:rsid w:val="2FF573AA"/>
    <w:rsid w:val="30451B6E"/>
    <w:rsid w:val="308F5FDD"/>
    <w:rsid w:val="30AF3AD6"/>
    <w:rsid w:val="310811F4"/>
    <w:rsid w:val="3146701C"/>
    <w:rsid w:val="31A07827"/>
    <w:rsid w:val="32245DE8"/>
    <w:rsid w:val="32586505"/>
    <w:rsid w:val="329F3EC1"/>
    <w:rsid w:val="32E14277"/>
    <w:rsid w:val="33082A62"/>
    <w:rsid w:val="33195C3A"/>
    <w:rsid w:val="3321502F"/>
    <w:rsid w:val="33356AEE"/>
    <w:rsid w:val="337A332E"/>
    <w:rsid w:val="33AE4BCE"/>
    <w:rsid w:val="33D91096"/>
    <w:rsid w:val="33FF46B6"/>
    <w:rsid w:val="34362B89"/>
    <w:rsid w:val="346872B6"/>
    <w:rsid w:val="34A60593"/>
    <w:rsid w:val="34DC6EDD"/>
    <w:rsid w:val="34E17A39"/>
    <w:rsid w:val="350602D2"/>
    <w:rsid w:val="35077B38"/>
    <w:rsid w:val="350E6F62"/>
    <w:rsid w:val="35140E8D"/>
    <w:rsid w:val="353C4E40"/>
    <w:rsid w:val="35575A24"/>
    <w:rsid w:val="35606AB8"/>
    <w:rsid w:val="35C626FB"/>
    <w:rsid w:val="35D948BD"/>
    <w:rsid w:val="36142768"/>
    <w:rsid w:val="365E2687"/>
    <w:rsid w:val="36A80ADB"/>
    <w:rsid w:val="36AF14C3"/>
    <w:rsid w:val="36EC3E34"/>
    <w:rsid w:val="3715799B"/>
    <w:rsid w:val="372001BD"/>
    <w:rsid w:val="37547E25"/>
    <w:rsid w:val="379C0FD9"/>
    <w:rsid w:val="381D7E33"/>
    <w:rsid w:val="3839502E"/>
    <w:rsid w:val="38502AA8"/>
    <w:rsid w:val="38533B8A"/>
    <w:rsid w:val="3928690E"/>
    <w:rsid w:val="392A431D"/>
    <w:rsid w:val="394E38BC"/>
    <w:rsid w:val="39826242"/>
    <w:rsid w:val="39C05D48"/>
    <w:rsid w:val="39DE2512"/>
    <w:rsid w:val="3A0B2595"/>
    <w:rsid w:val="3A2C3B98"/>
    <w:rsid w:val="3A416211"/>
    <w:rsid w:val="3A4730BB"/>
    <w:rsid w:val="3A55514C"/>
    <w:rsid w:val="3A6818FD"/>
    <w:rsid w:val="3A750AF1"/>
    <w:rsid w:val="3AAD1485"/>
    <w:rsid w:val="3B2C50DC"/>
    <w:rsid w:val="3B607E2A"/>
    <w:rsid w:val="3B7D1ED4"/>
    <w:rsid w:val="3BA7005C"/>
    <w:rsid w:val="3BB261A0"/>
    <w:rsid w:val="3BBE0164"/>
    <w:rsid w:val="3BC540E7"/>
    <w:rsid w:val="3BF20FF4"/>
    <w:rsid w:val="3C1A0EDA"/>
    <w:rsid w:val="3C20326E"/>
    <w:rsid w:val="3C6F0680"/>
    <w:rsid w:val="3C721D88"/>
    <w:rsid w:val="3C825B04"/>
    <w:rsid w:val="3C932C60"/>
    <w:rsid w:val="3CB54628"/>
    <w:rsid w:val="3CFA171A"/>
    <w:rsid w:val="3CFD5C66"/>
    <w:rsid w:val="3D5417DC"/>
    <w:rsid w:val="3D7A1A13"/>
    <w:rsid w:val="3DD526B0"/>
    <w:rsid w:val="3E0B30E3"/>
    <w:rsid w:val="3E131D07"/>
    <w:rsid w:val="3E4C3224"/>
    <w:rsid w:val="3EA72D51"/>
    <w:rsid w:val="3EAB6930"/>
    <w:rsid w:val="3EC83E70"/>
    <w:rsid w:val="3F3F34BC"/>
    <w:rsid w:val="3F4F147D"/>
    <w:rsid w:val="3F585171"/>
    <w:rsid w:val="3F747BEF"/>
    <w:rsid w:val="3FA52D38"/>
    <w:rsid w:val="3FB37414"/>
    <w:rsid w:val="40084668"/>
    <w:rsid w:val="400D2C11"/>
    <w:rsid w:val="401C3696"/>
    <w:rsid w:val="405A1195"/>
    <w:rsid w:val="412543F8"/>
    <w:rsid w:val="41572D21"/>
    <w:rsid w:val="415D489E"/>
    <w:rsid w:val="41C544D0"/>
    <w:rsid w:val="422D6C24"/>
    <w:rsid w:val="424D601B"/>
    <w:rsid w:val="425D0B81"/>
    <w:rsid w:val="42686235"/>
    <w:rsid w:val="428E665C"/>
    <w:rsid w:val="42E22E0D"/>
    <w:rsid w:val="431C4F9D"/>
    <w:rsid w:val="432E4B46"/>
    <w:rsid w:val="43676F5C"/>
    <w:rsid w:val="43A1162E"/>
    <w:rsid w:val="43CC39E1"/>
    <w:rsid w:val="43CF3214"/>
    <w:rsid w:val="4408325E"/>
    <w:rsid w:val="445219B8"/>
    <w:rsid w:val="44734DF7"/>
    <w:rsid w:val="447E146C"/>
    <w:rsid w:val="449D411E"/>
    <w:rsid w:val="44AC3CA0"/>
    <w:rsid w:val="44F90A89"/>
    <w:rsid w:val="44FC2B6F"/>
    <w:rsid w:val="45026C93"/>
    <w:rsid w:val="451A4FB9"/>
    <w:rsid w:val="45370A42"/>
    <w:rsid w:val="454E509B"/>
    <w:rsid w:val="457D424A"/>
    <w:rsid w:val="45B17031"/>
    <w:rsid w:val="45D0423C"/>
    <w:rsid w:val="45D9083F"/>
    <w:rsid w:val="45F60ADB"/>
    <w:rsid w:val="46271D15"/>
    <w:rsid w:val="46420366"/>
    <w:rsid w:val="465B26EB"/>
    <w:rsid w:val="46A86710"/>
    <w:rsid w:val="46B02191"/>
    <w:rsid w:val="46B74F01"/>
    <w:rsid w:val="46B94BF0"/>
    <w:rsid w:val="46CE2EF9"/>
    <w:rsid w:val="47671DEE"/>
    <w:rsid w:val="47DF74C5"/>
    <w:rsid w:val="47F545CC"/>
    <w:rsid w:val="483E5BCF"/>
    <w:rsid w:val="48621CD0"/>
    <w:rsid w:val="487F05E2"/>
    <w:rsid w:val="48937100"/>
    <w:rsid w:val="48B30F2A"/>
    <w:rsid w:val="48B5703D"/>
    <w:rsid w:val="48BE7760"/>
    <w:rsid w:val="495D5FC7"/>
    <w:rsid w:val="49686B0C"/>
    <w:rsid w:val="49963205"/>
    <w:rsid w:val="49EC2D3C"/>
    <w:rsid w:val="4A151B87"/>
    <w:rsid w:val="4A197940"/>
    <w:rsid w:val="4AEE1074"/>
    <w:rsid w:val="4B4F5E76"/>
    <w:rsid w:val="4B796FBD"/>
    <w:rsid w:val="4BF522C1"/>
    <w:rsid w:val="4C485B9B"/>
    <w:rsid w:val="4C86213D"/>
    <w:rsid w:val="4C8C5E38"/>
    <w:rsid w:val="4CAE2B8E"/>
    <w:rsid w:val="4D0456B9"/>
    <w:rsid w:val="4D735FE4"/>
    <w:rsid w:val="4D75365C"/>
    <w:rsid w:val="4EF03C8D"/>
    <w:rsid w:val="4EFF2D08"/>
    <w:rsid w:val="4F20225C"/>
    <w:rsid w:val="4FBC1645"/>
    <w:rsid w:val="4FE93AFA"/>
    <w:rsid w:val="4FF556CC"/>
    <w:rsid w:val="50623DDB"/>
    <w:rsid w:val="507C4976"/>
    <w:rsid w:val="508070CA"/>
    <w:rsid w:val="512E7CBD"/>
    <w:rsid w:val="52D0764A"/>
    <w:rsid w:val="52E32D08"/>
    <w:rsid w:val="52E55361"/>
    <w:rsid w:val="52F96D2A"/>
    <w:rsid w:val="536727E1"/>
    <w:rsid w:val="53745837"/>
    <w:rsid w:val="53945B23"/>
    <w:rsid w:val="53BC2299"/>
    <w:rsid w:val="54130D88"/>
    <w:rsid w:val="548117F1"/>
    <w:rsid w:val="54D47655"/>
    <w:rsid w:val="54DF2E25"/>
    <w:rsid w:val="54F33E2F"/>
    <w:rsid w:val="54FA45CE"/>
    <w:rsid w:val="55010A82"/>
    <w:rsid w:val="55C3493A"/>
    <w:rsid w:val="55FE61BD"/>
    <w:rsid w:val="560932FE"/>
    <w:rsid w:val="56DD104C"/>
    <w:rsid w:val="571D0BA3"/>
    <w:rsid w:val="574329AB"/>
    <w:rsid w:val="574B3683"/>
    <w:rsid w:val="5751295E"/>
    <w:rsid w:val="577853FF"/>
    <w:rsid w:val="57A605D4"/>
    <w:rsid w:val="57B706B8"/>
    <w:rsid w:val="58ED12E5"/>
    <w:rsid w:val="59124C0F"/>
    <w:rsid w:val="59876438"/>
    <w:rsid w:val="598F69D7"/>
    <w:rsid w:val="59AB3DF5"/>
    <w:rsid w:val="59CB7ECB"/>
    <w:rsid w:val="59D13DF5"/>
    <w:rsid w:val="5A1A570D"/>
    <w:rsid w:val="5A33685B"/>
    <w:rsid w:val="5A476C93"/>
    <w:rsid w:val="5A5A4AEC"/>
    <w:rsid w:val="5AF20E08"/>
    <w:rsid w:val="5B085C65"/>
    <w:rsid w:val="5B150C7A"/>
    <w:rsid w:val="5B314ED9"/>
    <w:rsid w:val="5B577157"/>
    <w:rsid w:val="5B843AF6"/>
    <w:rsid w:val="5C24640F"/>
    <w:rsid w:val="5C620FCA"/>
    <w:rsid w:val="5D243E0F"/>
    <w:rsid w:val="5D2D7DD2"/>
    <w:rsid w:val="5D8A3E78"/>
    <w:rsid w:val="5D8B5AB6"/>
    <w:rsid w:val="5DB447ED"/>
    <w:rsid w:val="5DB94CA1"/>
    <w:rsid w:val="5DBD1B05"/>
    <w:rsid w:val="5DF86BAE"/>
    <w:rsid w:val="5E7F7AA8"/>
    <w:rsid w:val="5E9A7B49"/>
    <w:rsid w:val="5ECE1F84"/>
    <w:rsid w:val="5EDB7024"/>
    <w:rsid w:val="5EEA2669"/>
    <w:rsid w:val="5EF61193"/>
    <w:rsid w:val="5F1D795F"/>
    <w:rsid w:val="5F370ADF"/>
    <w:rsid w:val="5F5D3EC4"/>
    <w:rsid w:val="5F5F42A0"/>
    <w:rsid w:val="5FCA0A1B"/>
    <w:rsid w:val="5FDE72A5"/>
    <w:rsid w:val="5FE55EA4"/>
    <w:rsid w:val="5FFF6518"/>
    <w:rsid w:val="6025260A"/>
    <w:rsid w:val="60632DF8"/>
    <w:rsid w:val="606557DC"/>
    <w:rsid w:val="60702568"/>
    <w:rsid w:val="60992005"/>
    <w:rsid w:val="60D33FAF"/>
    <w:rsid w:val="60F20CB6"/>
    <w:rsid w:val="610C10C6"/>
    <w:rsid w:val="611904EF"/>
    <w:rsid w:val="612B494B"/>
    <w:rsid w:val="616F6E89"/>
    <w:rsid w:val="61C4664C"/>
    <w:rsid w:val="61D1719B"/>
    <w:rsid w:val="61F9523B"/>
    <w:rsid w:val="628F06C7"/>
    <w:rsid w:val="628F209D"/>
    <w:rsid w:val="62E84F83"/>
    <w:rsid w:val="62E94D6B"/>
    <w:rsid w:val="63E81D4F"/>
    <w:rsid w:val="64173D22"/>
    <w:rsid w:val="643403E1"/>
    <w:rsid w:val="64445760"/>
    <w:rsid w:val="64632895"/>
    <w:rsid w:val="646503BC"/>
    <w:rsid w:val="655E469A"/>
    <w:rsid w:val="65A01D8E"/>
    <w:rsid w:val="65CA7432"/>
    <w:rsid w:val="662D758E"/>
    <w:rsid w:val="668820D7"/>
    <w:rsid w:val="66CE2B70"/>
    <w:rsid w:val="67E47A06"/>
    <w:rsid w:val="68087F84"/>
    <w:rsid w:val="684C7D48"/>
    <w:rsid w:val="68535B2D"/>
    <w:rsid w:val="689403A5"/>
    <w:rsid w:val="68DD680F"/>
    <w:rsid w:val="692F542A"/>
    <w:rsid w:val="694A7B41"/>
    <w:rsid w:val="699D0E1B"/>
    <w:rsid w:val="69B32909"/>
    <w:rsid w:val="69BE7298"/>
    <w:rsid w:val="69C561BB"/>
    <w:rsid w:val="6A4A46F6"/>
    <w:rsid w:val="6A4F4A85"/>
    <w:rsid w:val="6A710DC7"/>
    <w:rsid w:val="6AB05A94"/>
    <w:rsid w:val="6AB553BB"/>
    <w:rsid w:val="6AC02E7D"/>
    <w:rsid w:val="6AE04314"/>
    <w:rsid w:val="6B1A197D"/>
    <w:rsid w:val="6B452A58"/>
    <w:rsid w:val="6B7E7CC4"/>
    <w:rsid w:val="6BDE0DA5"/>
    <w:rsid w:val="6C321E85"/>
    <w:rsid w:val="6C662390"/>
    <w:rsid w:val="6C7E588A"/>
    <w:rsid w:val="6C834A4A"/>
    <w:rsid w:val="6CA15E50"/>
    <w:rsid w:val="6CA466E4"/>
    <w:rsid w:val="6CB26EA4"/>
    <w:rsid w:val="6CE55F22"/>
    <w:rsid w:val="6DC145CF"/>
    <w:rsid w:val="6DCC2BE1"/>
    <w:rsid w:val="6DF67911"/>
    <w:rsid w:val="6DFD3CCF"/>
    <w:rsid w:val="6E0D153B"/>
    <w:rsid w:val="6E461A97"/>
    <w:rsid w:val="6E7332D5"/>
    <w:rsid w:val="6E921074"/>
    <w:rsid w:val="6EC44855"/>
    <w:rsid w:val="6F031300"/>
    <w:rsid w:val="6F386FE2"/>
    <w:rsid w:val="6F4339E5"/>
    <w:rsid w:val="6F7420FD"/>
    <w:rsid w:val="6FCD159A"/>
    <w:rsid w:val="6FE3093B"/>
    <w:rsid w:val="6FEC7A24"/>
    <w:rsid w:val="702C316E"/>
    <w:rsid w:val="7064077F"/>
    <w:rsid w:val="707508B4"/>
    <w:rsid w:val="707644A0"/>
    <w:rsid w:val="718B0F2B"/>
    <w:rsid w:val="71F5150B"/>
    <w:rsid w:val="724439B7"/>
    <w:rsid w:val="72977C7E"/>
    <w:rsid w:val="72C25D29"/>
    <w:rsid w:val="7335541A"/>
    <w:rsid w:val="73641703"/>
    <w:rsid w:val="738A15C9"/>
    <w:rsid w:val="73C9301E"/>
    <w:rsid w:val="741A2BB9"/>
    <w:rsid w:val="74273276"/>
    <w:rsid w:val="742A7D22"/>
    <w:rsid w:val="748F4FC0"/>
    <w:rsid w:val="74911D0A"/>
    <w:rsid w:val="749B4D02"/>
    <w:rsid w:val="74DE57C0"/>
    <w:rsid w:val="75141DA2"/>
    <w:rsid w:val="755E78AB"/>
    <w:rsid w:val="7562391A"/>
    <w:rsid w:val="75654BE6"/>
    <w:rsid w:val="757A3718"/>
    <w:rsid w:val="76045BAC"/>
    <w:rsid w:val="771B6FF4"/>
    <w:rsid w:val="773A08FA"/>
    <w:rsid w:val="77637680"/>
    <w:rsid w:val="77B65398"/>
    <w:rsid w:val="77C37B25"/>
    <w:rsid w:val="77E30F24"/>
    <w:rsid w:val="77F92954"/>
    <w:rsid w:val="781B7FD6"/>
    <w:rsid w:val="78A452AC"/>
    <w:rsid w:val="78F139EF"/>
    <w:rsid w:val="79216803"/>
    <w:rsid w:val="792A2864"/>
    <w:rsid w:val="795275B3"/>
    <w:rsid w:val="797568ED"/>
    <w:rsid w:val="7996610D"/>
    <w:rsid w:val="7A995A09"/>
    <w:rsid w:val="7AE11E44"/>
    <w:rsid w:val="7B290F02"/>
    <w:rsid w:val="7B747D9A"/>
    <w:rsid w:val="7BBD1694"/>
    <w:rsid w:val="7BBD6D6A"/>
    <w:rsid w:val="7C424D12"/>
    <w:rsid w:val="7C5A43CD"/>
    <w:rsid w:val="7C89225A"/>
    <w:rsid w:val="7C8C08B0"/>
    <w:rsid w:val="7C991F0B"/>
    <w:rsid w:val="7CF923FA"/>
    <w:rsid w:val="7D053632"/>
    <w:rsid w:val="7D444D02"/>
    <w:rsid w:val="7DE26243"/>
    <w:rsid w:val="7E5B6D2B"/>
    <w:rsid w:val="7E6C6B92"/>
    <w:rsid w:val="7E9B39EA"/>
    <w:rsid w:val="7F08435C"/>
    <w:rsid w:val="7F2A79D2"/>
    <w:rsid w:val="7F3F2C1B"/>
    <w:rsid w:val="7F5268BB"/>
    <w:rsid w:val="7FC42C65"/>
    <w:rsid w:val="7FD336C4"/>
    <w:rsid w:val="7FD70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3">
    <w:name w:val="heading 1"/>
    <w:basedOn w:val="1"/>
    <w:next w:val="1"/>
    <w:qFormat/>
    <w:uiPriority w:val="0"/>
    <w:pPr>
      <w:keepNext/>
      <w:keepLines/>
      <w:pageBreakBefore/>
      <w:pBdr>
        <w:bottom w:val="single" w:color="auto" w:sz="12" w:space="1"/>
      </w:pBdr>
      <w:tabs>
        <w:tab w:val="left" w:pos="425"/>
      </w:tabs>
      <w:spacing w:before="960" w:after="960"/>
      <w:ind w:left="425" w:hanging="425"/>
      <w:outlineLvl w:val="0"/>
    </w:pPr>
    <w:rPr>
      <w:rFonts w:eastAsia="黑体"/>
      <w:b/>
      <w:bCs/>
      <w:kern w:val="44"/>
      <w:sz w:val="32"/>
      <w:szCs w:val="44"/>
    </w:rPr>
  </w:style>
  <w:style w:type="paragraph" w:styleId="4">
    <w:name w:val="heading 2"/>
    <w:basedOn w:val="1"/>
    <w:next w:val="1"/>
    <w:link w:val="29"/>
    <w:qFormat/>
    <w:uiPriority w:val="99"/>
    <w:pPr>
      <w:keepNext/>
      <w:keepLines/>
      <w:numPr>
        <w:ilvl w:val="1"/>
        <w:numId w:val="1"/>
      </w:numPr>
      <w:tabs>
        <w:tab w:val="left" w:pos="425"/>
      </w:tabs>
      <w:spacing w:after="60" w:line="360" w:lineRule="auto"/>
      <w:outlineLvl w:val="1"/>
    </w:pPr>
    <w:rPr>
      <w:rFonts w:eastAsia="黑体"/>
      <w:b/>
      <w:bCs/>
      <w:sz w:val="24"/>
    </w:rPr>
  </w:style>
  <w:style w:type="paragraph" w:styleId="5">
    <w:name w:val="heading 3"/>
    <w:basedOn w:val="1"/>
    <w:next w:val="1"/>
    <w:link w:val="65"/>
    <w:qFormat/>
    <w:uiPriority w:val="99"/>
    <w:pPr>
      <w:keepNext/>
      <w:keepLines/>
      <w:numPr>
        <w:ilvl w:val="2"/>
        <w:numId w:val="1"/>
      </w:numPr>
      <w:spacing w:after="60" w:line="360" w:lineRule="auto"/>
      <w:outlineLvl w:val="2"/>
    </w:pPr>
    <w:rPr>
      <w:b/>
      <w:bCs/>
      <w:sz w:val="24"/>
      <w:szCs w:val="32"/>
    </w:rPr>
  </w:style>
  <w:style w:type="paragraph" w:styleId="6">
    <w:name w:val="heading 4"/>
    <w:basedOn w:val="1"/>
    <w:next w:val="1"/>
    <w:link w:val="64"/>
    <w:qFormat/>
    <w:uiPriority w:val="0"/>
    <w:pPr>
      <w:keepNext/>
      <w:keepLines/>
      <w:numPr>
        <w:ilvl w:val="0"/>
        <w:numId w:val="2"/>
      </w:numPr>
      <w:spacing w:after="60" w:line="360" w:lineRule="auto"/>
      <w:outlineLvl w:val="3"/>
    </w:pPr>
    <w:rPr>
      <w:rFonts w:ascii="Times New Roman" w:hAnsi="Times New Roman" w:eastAsia="宋体"/>
      <w:b/>
      <w:bCs/>
    </w:rPr>
  </w:style>
  <w:style w:type="paragraph" w:styleId="7">
    <w:name w:val="heading 5"/>
    <w:basedOn w:val="1"/>
    <w:next w:val="1"/>
    <w:semiHidden/>
    <w:unhideWhenUsed/>
    <w:qFormat/>
    <w:uiPriority w:val="0"/>
    <w:pPr>
      <w:keepNext/>
      <w:keepLines/>
      <w:numPr>
        <w:ilvl w:val="4"/>
        <w:numId w:val="3"/>
      </w:numPr>
      <w:spacing w:before="280" w:beforeLines="0" w:beforeAutospacing="0" w:after="290" w:afterLines="0" w:afterAutospacing="0" w:line="372" w:lineRule="auto"/>
      <w:ind w:left="1008" w:hanging="1008"/>
      <w:outlineLvl w:val="4"/>
    </w:pPr>
    <w:rPr>
      <w:b/>
      <w:sz w:val="28"/>
    </w:rPr>
  </w:style>
  <w:style w:type="character" w:default="1" w:styleId="23">
    <w:name w:val="Default Paragraph Font"/>
    <w:semiHidden/>
    <w:unhideWhenUsed/>
    <w:qFormat/>
    <w:uiPriority w:val="1"/>
  </w:style>
  <w:style w:type="table" w:default="1" w:styleId="21">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67"/>
    <w:unhideWhenUsed/>
    <w:qFormat/>
    <w:uiPriority w:val="99"/>
    <w:pPr>
      <w:spacing w:after="120"/>
    </w:pPr>
  </w:style>
  <w:style w:type="paragraph" w:styleId="8">
    <w:name w:val="Normal Indent"/>
    <w:basedOn w:val="1"/>
    <w:link w:val="52"/>
    <w:qFormat/>
    <w:uiPriority w:val="0"/>
    <w:pPr>
      <w:spacing w:line="360" w:lineRule="auto"/>
      <w:ind w:firstLine="482"/>
    </w:pPr>
    <w:rPr>
      <w:sz w:val="24"/>
      <w:szCs w:val="20"/>
    </w:rPr>
  </w:style>
  <w:style w:type="paragraph" w:styleId="9">
    <w:name w:val="caption"/>
    <w:basedOn w:val="1"/>
    <w:next w:val="1"/>
    <w:qFormat/>
    <w:uiPriority w:val="0"/>
    <w:pPr>
      <w:jc w:val="center"/>
    </w:pPr>
    <w:rPr>
      <w:rFonts w:ascii="Calibri" w:hAnsi="Calibri" w:cs="黑体"/>
      <w:b/>
      <w:szCs w:val="20"/>
    </w:rPr>
  </w:style>
  <w:style w:type="paragraph" w:styleId="10">
    <w:name w:val="annotation text"/>
    <w:basedOn w:val="1"/>
    <w:link w:val="68"/>
    <w:qFormat/>
    <w:uiPriority w:val="99"/>
    <w:pPr>
      <w:keepNext w:val="0"/>
      <w:keepLines w:val="0"/>
      <w:widowControl w:val="0"/>
      <w:suppressLineNumbers w:val="0"/>
      <w:spacing w:before="0" w:beforeAutospacing="0" w:after="0" w:afterAutospacing="0" w:line="360" w:lineRule="auto"/>
      <w:ind w:left="0" w:right="0"/>
      <w:jc w:val="left"/>
    </w:pPr>
    <w:rPr>
      <w:rFonts w:hint="default" w:ascii="Times New Roman" w:hAnsi="Times New Roman" w:eastAsia="宋体" w:cs="Times New Roman"/>
      <w:kern w:val="2"/>
      <w:sz w:val="24"/>
      <w:szCs w:val="24"/>
      <w:lang w:val="en-US" w:eastAsia="zh-CN" w:bidi="ar"/>
    </w:rPr>
  </w:style>
  <w:style w:type="paragraph" w:styleId="11">
    <w:name w:val="toc 3"/>
    <w:basedOn w:val="1"/>
    <w:next w:val="1"/>
    <w:qFormat/>
    <w:uiPriority w:val="39"/>
    <w:pPr>
      <w:ind w:left="840" w:leftChars="400"/>
    </w:pPr>
  </w:style>
  <w:style w:type="paragraph" w:styleId="12">
    <w:name w:val="Body Text Indent 2"/>
    <w:basedOn w:val="1"/>
    <w:link w:val="51"/>
    <w:qFormat/>
    <w:uiPriority w:val="0"/>
    <w:pPr>
      <w:spacing w:after="120" w:line="480" w:lineRule="auto"/>
      <w:ind w:left="420" w:leftChars="200"/>
    </w:pPr>
  </w:style>
  <w:style w:type="paragraph" w:styleId="13">
    <w:name w:val="Balloon Text"/>
    <w:basedOn w:val="1"/>
    <w:link w:val="47"/>
    <w:qFormat/>
    <w:uiPriority w:val="0"/>
    <w:rPr>
      <w:sz w:val="18"/>
      <w:szCs w:val="18"/>
    </w:rPr>
  </w:style>
  <w:style w:type="paragraph" w:styleId="14">
    <w:name w:val="footer"/>
    <w:basedOn w:val="1"/>
    <w:link w:val="54"/>
    <w:qFormat/>
    <w:uiPriority w:val="99"/>
    <w:pPr>
      <w:tabs>
        <w:tab w:val="center" w:pos="4153"/>
        <w:tab w:val="right" w:pos="8306"/>
      </w:tabs>
      <w:snapToGrid w:val="0"/>
      <w:jc w:val="left"/>
    </w:pPr>
    <w:rPr>
      <w:sz w:val="18"/>
      <w:szCs w:val="18"/>
    </w:rPr>
  </w:style>
  <w:style w:type="paragraph" w:styleId="15">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toc 1"/>
    <w:basedOn w:val="1"/>
    <w:next w:val="1"/>
    <w:qFormat/>
    <w:uiPriority w:val="39"/>
  </w:style>
  <w:style w:type="paragraph" w:styleId="17">
    <w:name w:val="footnote text"/>
    <w:basedOn w:val="1"/>
    <w:qFormat/>
    <w:uiPriority w:val="0"/>
    <w:pPr>
      <w:snapToGrid w:val="0"/>
      <w:jc w:val="left"/>
    </w:pPr>
    <w:rPr>
      <w:sz w:val="18"/>
    </w:rPr>
  </w:style>
  <w:style w:type="paragraph" w:styleId="18">
    <w:name w:val="toc 2"/>
    <w:basedOn w:val="1"/>
    <w:next w:val="1"/>
    <w:qFormat/>
    <w:uiPriority w:val="39"/>
    <w:pPr>
      <w:ind w:left="420" w:leftChars="200"/>
    </w:pPr>
  </w:style>
  <w:style w:type="paragraph" w:styleId="1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0">
    <w:name w:val="annotation subject"/>
    <w:basedOn w:val="10"/>
    <w:next w:val="10"/>
    <w:link w:val="49"/>
    <w:qFormat/>
    <w:uiPriority w:val="0"/>
    <w:rPr>
      <w:b/>
      <w:bCs/>
    </w:rPr>
  </w:style>
  <w:style w:type="table" w:styleId="22">
    <w:name w:val="Table Grid"/>
    <w:basedOn w:val="21"/>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4">
    <w:name w:val="Strong"/>
    <w:basedOn w:val="23"/>
    <w:qFormat/>
    <w:uiPriority w:val="0"/>
    <w:rPr>
      <w:b/>
    </w:rPr>
  </w:style>
  <w:style w:type="character" w:styleId="25">
    <w:name w:val="FollowedHyperlink"/>
    <w:basedOn w:val="23"/>
    <w:qFormat/>
    <w:uiPriority w:val="0"/>
    <w:rPr>
      <w:color w:val="333333"/>
      <w:u w:val="none"/>
    </w:rPr>
  </w:style>
  <w:style w:type="character" w:styleId="26">
    <w:name w:val="Hyperlink"/>
    <w:qFormat/>
    <w:uiPriority w:val="99"/>
    <w:rPr>
      <w:color w:val="000000"/>
      <w:u w:val="none"/>
    </w:rPr>
  </w:style>
  <w:style w:type="character" w:styleId="27">
    <w:name w:val="annotation reference"/>
    <w:basedOn w:val="23"/>
    <w:qFormat/>
    <w:uiPriority w:val="0"/>
    <w:rPr>
      <w:sz w:val="21"/>
      <w:szCs w:val="21"/>
    </w:rPr>
  </w:style>
  <w:style w:type="character" w:styleId="28">
    <w:name w:val="footnote reference"/>
    <w:basedOn w:val="23"/>
    <w:qFormat/>
    <w:uiPriority w:val="0"/>
    <w:rPr>
      <w:vertAlign w:val="superscript"/>
    </w:rPr>
  </w:style>
  <w:style w:type="character" w:customStyle="1" w:styleId="29">
    <w:name w:val="标题 2 Char"/>
    <w:link w:val="4"/>
    <w:qFormat/>
    <w:uiPriority w:val="99"/>
    <w:rPr>
      <w:rFonts w:eastAsia="黑体"/>
      <w:b/>
      <w:bCs/>
      <w:kern w:val="2"/>
      <w:sz w:val="24"/>
      <w:szCs w:val="24"/>
    </w:rPr>
  </w:style>
  <w:style w:type="paragraph" w:customStyle="1" w:styleId="30">
    <w:name w:val="Default"/>
    <w:qFormat/>
    <w:uiPriority w:val="99"/>
    <w:pPr>
      <w:widowControl w:val="0"/>
      <w:autoSpaceDE w:val="0"/>
      <w:autoSpaceDN w:val="0"/>
      <w:adjustRightInd w:val="0"/>
    </w:pPr>
    <w:rPr>
      <w:rFonts w:ascii="宋体" w:hAnsi="宋体" w:eastAsia="宋体" w:cs="Times New Roman"/>
      <w:color w:val="000000"/>
      <w:sz w:val="24"/>
      <w:szCs w:val="22"/>
      <w:lang w:val="en-US" w:eastAsia="zh-CN" w:bidi="ar-SA"/>
    </w:rPr>
  </w:style>
  <w:style w:type="paragraph" w:customStyle="1" w:styleId="31">
    <w:name w:val="君邦正文"/>
    <w:basedOn w:val="1"/>
    <w:link w:val="50"/>
    <w:qFormat/>
    <w:uiPriority w:val="0"/>
    <w:pPr>
      <w:spacing w:after="60" w:line="360" w:lineRule="auto"/>
      <w:ind w:firstLine="200" w:firstLineChars="200"/>
    </w:pPr>
    <w:rPr>
      <w:sz w:val="24"/>
      <w:szCs w:val="20"/>
    </w:rPr>
  </w:style>
  <w:style w:type="paragraph" w:styleId="32">
    <w:name w:val="List Paragraph"/>
    <w:basedOn w:val="1"/>
    <w:qFormat/>
    <w:uiPriority w:val="34"/>
    <w:pPr>
      <w:ind w:firstLine="420" w:firstLineChars="200"/>
    </w:pPr>
  </w:style>
  <w:style w:type="paragraph" w:customStyle="1" w:styleId="33">
    <w:name w:val="表"/>
    <w:basedOn w:val="1"/>
    <w:qFormat/>
    <w:uiPriority w:val="0"/>
    <w:pPr>
      <w:snapToGrid w:val="0"/>
      <w:jc w:val="center"/>
    </w:pPr>
    <w:rPr>
      <w:spacing w:val="2"/>
      <w:szCs w:val="20"/>
    </w:rPr>
  </w:style>
  <w:style w:type="paragraph" w:customStyle="1" w:styleId="34">
    <w:name w:val="表头样式1"/>
    <w:basedOn w:val="1"/>
    <w:qFormat/>
    <w:uiPriority w:val="0"/>
    <w:pPr>
      <w:spacing w:before="156" w:beforeLines="50"/>
      <w:jc w:val="center"/>
    </w:pPr>
    <w:rPr>
      <w:rFonts w:eastAsia="黑体"/>
      <w:b/>
      <w:sz w:val="24"/>
      <w:szCs w:val="20"/>
    </w:rPr>
  </w:style>
  <w:style w:type="paragraph" w:customStyle="1" w:styleId="35">
    <w:name w:val="报告书正文"/>
    <w:basedOn w:val="1"/>
    <w:qFormat/>
    <w:uiPriority w:val="0"/>
    <w:pPr>
      <w:jc w:val="left"/>
    </w:pPr>
  </w:style>
  <w:style w:type="paragraph" w:customStyle="1" w:styleId="36">
    <w:name w:val="无间隔2"/>
    <w:basedOn w:val="1"/>
    <w:qFormat/>
    <w:uiPriority w:val="0"/>
    <w:pPr>
      <w:adjustRightInd w:val="0"/>
      <w:snapToGrid w:val="0"/>
      <w:ind w:firstLine="480" w:firstLineChars="200"/>
    </w:pPr>
    <w:rPr>
      <w:sz w:val="24"/>
    </w:rPr>
  </w:style>
  <w:style w:type="paragraph" w:customStyle="1" w:styleId="37">
    <w:name w:val="表内格式"/>
    <w:basedOn w:val="1"/>
    <w:qFormat/>
    <w:uiPriority w:val="0"/>
    <w:pPr>
      <w:jc w:val="center"/>
    </w:pPr>
    <w:rPr>
      <w:sz w:val="18"/>
      <w:szCs w:val="20"/>
    </w:rPr>
  </w:style>
  <w:style w:type="paragraph" w:customStyle="1" w:styleId="38">
    <w:name w:val="表格内容"/>
    <w:basedOn w:val="1"/>
    <w:qFormat/>
    <w:uiPriority w:val="0"/>
    <w:pPr>
      <w:spacing w:line="240" w:lineRule="exact"/>
    </w:pPr>
    <w:rPr>
      <w:kern w:val="0"/>
      <w:szCs w:val="21"/>
    </w:rPr>
  </w:style>
  <w:style w:type="character" w:customStyle="1" w:styleId="39">
    <w:name w:val="bzrq"/>
    <w:basedOn w:val="23"/>
    <w:qFormat/>
    <w:uiPriority w:val="0"/>
  </w:style>
  <w:style w:type="character" w:customStyle="1" w:styleId="40">
    <w:name w:val="sysj"/>
    <w:basedOn w:val="23"/>
    <w:qFormat/>
    <w:uiPriority w:val="0"/>
  </w:style>
  <w:style w:type="character" w:customStyle="1" w:styleId="41">
    <w:name w:val="thisit"/>
    <w:basedOn w:val="23"/>
    <w:qFormat/>
    <w:uiPriority w:val="0"/>
  </w:style>
  <w:style w:type="character" w:customStyle="1" w:styleId="42">
    <w:name w:val="f_r6"/>
    <w:basedOn w:val="23"/>
    <w:qFormat/>
    <w:uiPriority w:val="0"/>
  </w:style>
  <w:style w:type="character" w:customStyle="1" w:styleId="43">
    <w:name w:val="bzmc"/>
    <w:basedOn w:val="23"/>
    <w:qFormat/>
    <w:uiPriority w:val="0"/>
  </w:style>
  <w:style w:type="character" w:customStyle="1" w:styleId="44">
    <w:name w:val="bzmc1"/>
    <w:basedOn w:val="23"/>
    <w:qFormat/>
    <w:uiPriority w:val="0"/>
  </w:style>
  <w:style w:type="character" w:customStyle="1" w:styleId="45">
    <w:name w:val="bzmc2"/>
    <w:basedOn w:val="23"/>
    <w:qFormat/>
    <w:uiPriority w:val="0"/>
  </w:style>
  <w:style w:type="character" w:customStyle="1" w:styleId="46">
    <w:name w:val="bzrq2"/>
    <w:basedOn w:val="23"/>
    <w:qFormat/>
    <w:uiPriority w:val="0"/>
  </w:style>
  <w:style w:type="character" w:customStyle="1" w:styleId="47">
    <w:name w:val="批注框文本 Char"/>
    <w:basedOn w:val="23"/>
    <w:link w:val="13"/>
    <w:qFormat/>
    <w:uiPriority w:val="0"/>
    <w:rPr>
      <w:kern w:val="2"/>
      <w:sz w:val="18"/>
      <w:szCs w:val="18"/>
    </w:rPr>
  </w:style>
  <w:style w:type="character" w:customStyle="1" w:styleId="48">
    <w:name w:val="批注文字 Char"/>
    <w:basedOn w:val="23"/>
    <w:link w:val="10"/>
    <w:qFormat/>
    <w:uiPriority w:val="99"/>
    <w:rPr>
      <w:kern w:val="2"/>
      <w:sz w:val="21"/>
      <w:szCs w:val="24"/>
    </w:rPr>
  </w:style>
  <w:style w:type="character" w:customStyle="1" w:styleId="49">
    <w:name w:val="批注主题 Char"/>
    <w:basedOn w:val="48"/>
    <w:link w:val="20"/>
    <w:qFormat/>
    <w:uiPriority w:val="0"/>
    <w:rPr>
      <w:b/>
      <w:bCs/>
      <w:kern w:val="2"/>
      <w:sz w:val="21"/>
      <w:szCs w:val="24"/>
    </w:rPr>
  </w:style>
  <w:style w:type="character" w:customStyle="1" w:styleId="50">
    <w:name w:val="君邦正文 Char2"/>
    <w:link w:val="31"/>
    <w:qFormat/>
    <w:uiPriority w:val="0"/>
    <w:rPr>
      <w:kern w:val="2"/>
      <w:sz w:val="24"/>
    </w:rPr>
  </w:style>
  <w:style w:type="character" w:customStyle="1" w:styleId="51">
    <w:name w:val="正文文本缩进 2 Char"/>
    <w:link w:val="12"/>
    <w:qFormat/>
    <w:uiPriority w:val="0"/>
    <w:rPr>
      <w:kern w:val="2"/>
      <w:sz w:val="21"/>
      <w:szCs w:val="24"/>
    </w:rPr>
  </w:style>
  <w:style w:type="character" w:customStyle="1" w:styleId="52">
    <w:name w:val="正文缩进 Char"/>
    <w:link w:val="8"/>
    <w:qFormat/>
    <w:uiPriority w:val="0"/>
    <w:rPr>
      <w:kern w:val="2"/>
      <w:sz w:val="24"/>
    </w:rPr>
  </w:style>
  <w:style w:type="paragraph" w:customStyle="1" w:styleId="53">
    <w:name w:val="目录"/>
    <w:basedOn w:val="31"/>
    <w:next w:val="31"/>
    <w:qFormat/>
    <w:uiPriority w:val="0"/>
    <w:pPr>
      <w:pBdr>
        <w:bottom w:val="single" w:color="auto" w:sz="12" w:space="1"/>
      </w:pBdr>
      <w:spacing w:before="960" w:after="960"/>
      <w:ind w:firstLine="0" w:firstLineChars="0"/>
      <w:jc w:val="right"/>
    </w:pPr>
    <w:rPr>
      <w:rFonts w:eastAsia="黑体"/>
      <w:b/>
      <w:i/>
      <w:sz w:val="32"/>
    </w:rPr>
  </w:style>
  <w:style w:type="character" w:customStyle="1" w:styleId="54">
    <w:name w:val="页脚 Char"/>
    <w:basedOn w:val="23"/>
    <w:link w:val="14"/>
    <w:qFormat/>
    <w:uiPriority w:val="99"/>
    <w:rPr>
      <w:kern w:val="2"/>
      <w:sz w:val="18"/>
      <w:szCs w:val="18"/>
    </w:rPr>
  </w:style>
  <w:style w:type="paragraph" w:customStyle="1" w:styleId="55">
    <w:name w:val="WPSOffice手动目录 1"/>
    <w:qFormat/>
    <w:uiPriority w:val="0"/>
    <w:pPr>
      <w:ind w:leftChars="0"/>
    </w:pPr>
    <w:rPr>
      <w:rFonts w:ascii="Times New Roman" w:hAnsi="Times New Roman" w:eastAsia="宋体" w:cs="Times New Roman"/>
      <w:sz w:val="20"/>
      <w:szCs w:val="20"/>
    </w:rPr>
  </w:style>
  <w:style w:type="paragraph" w:customStyle="1" w:styleId="56">
    <w:name w:val="WPSOffice手动目录 2"/>
    <w:qFormat/>
    <w:uiPriority w:val="0"/>
    <w:pPr>
      <w:ind w:leftChars="200"/>
    </w:pPr>
    <w:rPr>
      <w:rFonts w:ascii="Times New Roman" w:hAnsi="Times New Roman" w:eastAsia="宋体" w:cs="Times New Roman"/>
      <w:sz w:val="20"/>
      <w:szCs w:val="20"/>
    </w:rPr>
  </w:style>
  <w:style w:type="paragraph" w:customStyle="1" w:styleId="57">
    <w:name w:val="正文缩进1"/>
    <w:basedOn w:val="1"/>
    <w:qFormat/>
    <w:uiPriority w:val="0"/>
    <w:pPr>
      <w:spacing w:after="160" w:line="259" w:lineRule="auto"/>
      <w:ind w:firstLine="200" w:firstLineChars="200"/>
    </w:pPr>
    <w:rPr>
      <w:rFonts w:eastAsia="宋体"/>
      <w:sz w:val="21"/>
    </w:rPr>
  </w:style>
  <w:style w:type="character" w:customStyle="1" w:styleId="58">
    <w:name w:val="fontstyle01"/>
    <w:basedOn w:val="23"/>
    <w:qFormat/>
    <w:uiPriority w:val="0"/>
    <w:rPr>
      <w:rFonts w:hint="eastAsia" w:ascii="宋体" w:hAnsi="宋体" w:eastAsia="宋体" w:cs="宋体"/>
      <w:color w:val="000000"/>
      <w:sz w:val="44"/>
      <w:szCs w:val="44"/>
    </w:rPr>
  </w:style>
  <w:style w:type="character" w:customStyle="1" w:styleId="59">
    <w:name w:val="fontstyle21"/>
    <w:basedOn w:val="23"/>
    <w:qFormat/>
    <w:uiPriority w:val="0"/>
    <w:rPr>
      <w:rFonts w:ascii="黑体" w:hAnsi="宋体" w:eastAsia="黑体" w:cs="黑体"/>
      <w:color w:val="000000"/>
      <w:sz w:val="48"/>
      <w:szCs w:val="48"/>
    </w:rPr>
  </w:style>
  <w:style w:type="character" w:customStyle="1" w:styleId="60">
    <w:name w:val="fontstyle11"/>
    <w:basedOn w:val="23"/>
    <w:qFormat/>
    <w:uiPriority w:val="0"/>
    <w:rPr>
      <w:rFonts w:hint="default" w:ascii="Times New Roman" w:hAnsi="Times New Roman" w:cs="Times New Roman"/>
      <w:color w:val="000000"/>
      <w:sz w:val="24"/>
      <w:szCs w:val="24"/>
    </w:rPr>
  </w:style>
  <w:style w:type="character" w:customStyle="1" w:styleId="61">
    <w:name w:val="font61"/>
    <w:basedOn w:val="23"/>
    <w:qFormat/>
    <w:uiPriority w:val="0"/>
    <w:rPr>
      <w:rFonts w:hint="eastAsia" w:ascii="宋体" w:hAnsi="宋体" w:eastAsia="宋体" w:cs="宋体"/>
      <w:color w:val="000000"/>
      <w:sz w:val="20"/>
      <w:szCs w:val="20"/>
      <w:u w:val="none"/>
    </w:rPr>
  </w:style>
  <w:style w:type="character" w:customStyle="1" w:styleId="62">
    <w:name w:val="font11"/>
    <w:basedOn w:val="23"/>
    <w:qFormat/>
    <w:uiPriority w:val="0"/>
    <w:rPr>
      <w:rFonts w:hint="eastAsia" w:ascii="宋体" w:hAnsi="宋体" w:eastAsia="宋体" w:cs="宋体"/>
      <w:color w:val="000000"/>
      <w:sz w:val="22"/>
      <w:szCs w:val="22"/>
      <w:u w:val="none"/>
    </w:rPr>
  </w:style>
  <w:style w:type="character" w:customStyle="1" w:styleId="63">
    <w:name w:val="font01"/>
    <w:basedOn w:val="23"/>
    <w:qFormat/>
    <w:uiPriority w:val="0"/>
    <w:rPr>
      <w:rFonts w:hint="default" w:ascii="Times New Roman" w:hAnsi="Times New Roman" w:cs="Times New Roman"/>
      <w:color w:val="000000"/>
      <w:sz w:val="22"/>
      <w:szCs w:val="22"/>
      <w:u w:val="none"/>
    </w:rPr>
  </w:style>
  <w:style w:type="character" w:customStyle="1" w:styleId="64">
    <w:name w:val="标题 4 Char"/>
    <w:link w:val="6"/>
    <w:qFormat/>
    <w:uiPriority w:val="0"/>
    <w:rPr>
      <w:rFonts w:ascii="Times New Roman" w:hAnsi="Times New Roman" w:eastAsia="宋体"/>
      <w:b/>
      <w:bCs/>
      <w:sz w:val="24"/>
      <w:szCs w:val="24"/>
    </w:rPr>
  </w:style>
  <w:style w:type="character" w:customStyle="1" w:styleId="65">
    <w:name w:val="标题 3 Char1"/>
    <w:link w:val="5"/>
    <w:qFormat/>
    <w:uiPriority w:val="99"/>
    <w:rPr>
      <w:b/>
      <w:bCs/>
      <w:sz w:val="24"/>
      <w:szCs w:val="32"/>
    </w:rPr>
  </w:style>
  <w:style w:type="character" w:customStyle="1" w:styleId="66">
    <w:name w:val="font31"/>
    <w:basedOn w:val="23"/>
    <w:qFormat/>
    <w:uiPriority w:val="0"/>
    <w:rPr>
      <w:rFonts w:hint="default" w:ascii="Times New Roman" w:hAnsi="Times New Roman" w:cs="Times New Roman"/>
      <w:color w:val="000000"/>
      <w:sz w:val="21"/>
      <w:szCs w:val="21"/>
      <w:u w:val="none"/>
      <w:vertAlign w:val="subscript"/>
    </w:rPr>
  </w:style>
  <w:style w:type="character" w:customStyle="1" w:styleId="67">
    <w:name w:val="正文文本 字符"/>
    <w:basedOn w:val="23"/>
    <w:link w:val="2"/>
    <w:qFormat/>
    <w:uiPriority w:val="0"/>
    <w:rPr>
      <w:kern w:val="2"/>
      <w:sz w:val="24"/>
      <w:szCs w:val="24"/>
    </w:rPr>
  </w:style>
  <w:style w:type="character" w:customStyle="1" w:styleId="68">
    <w:name w:val="批注文字 字符"/>
    <w:basedOn w:val="23"/>
    <w:link w:val="10"/>
    <w:qFormat/>
    <w:uiPriority w:val="0"/>
    <w:rPr>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7" Type="http://schemas.openxmlformats.org/officeDocument/2006/relationships/fontTable" Target="fontTable.xml"/><Relationship Id="rId46" Type="http://schemas.openxmlformats.org/officeDocument/2006/relationships/numbering" Target="numbering.xml"/><Relationship Id="rId45" Type="http://schemas.openxmlformats.org/officeDocument/2006/relationships/customXml" Target="../customXml/item1.xml"/><Relationship Id="rId44" Type="http://schemas.openxmlformats.org/officeDocument/2006/relationships/chart" Target="charts/chart11.xml"/><Relationship Id="rId43" Type="http://schemas.openxmlformats.org/officeDocument/2006/relationships/chart" Target="charts/chart10.xml"/><Relationship Id="rId42" Type="http://schemas.openxmlformats.org/officeDocument/2006/relationships/chart" Target="charts/chart9.xml"/><Relationship Id="rId41" Type="http://schemas.openxmlformats.org/officeDocument/2006/relationships/chart" Target="charts/chart8.xml"/><Relationship Id="rId40" Type="http://schemas.openxmlformats.org/officeDocument/2006/relationships/chart" Target="charts/chart7.xml"/><Relationship Id="rId4" Type="http://schemas.openxmlformats.org/officeDocument/2006/relationships/endnotes" Target="endnotes.xml"/><Relationship Id="rId39" Type="http://schemas.openxmlformats.org/officeDocument/2006/relationships/chart" Target="charts/chart6.xml"/><Relationship Id="rId38" Type="http://schemas.openxmlformats.org/officeDocument/2006/relationships/chart" Target="charts/chart5.xml"/><Relationship Id="rId37" Type="http://schemas.openxmlformats.org/officeDocument/2006/relationships/chart" Target="charts/chart4.xml"/><Relationship Id="rId36" Type="http://schemas.openxmlformats.org/officeDocument/2006/relationships/chart" Target="charts/chart3.xml"/><Relationship Id="rId35" Type="http://schemas.openxmlformats.org/officeDocument/2006/relationships/chart" Target="charts/chart2.xml"/><Relationship Id="rId34" Type="http://schemas.openxmlformats.org/officeDocument/2006/relationships/chart" Target="charts/chart1.xml"/><Relationship Id="rId33" Type="http://schemas.openxmlformats.org/officeDocument/2006/relationships/image" Target="media/image12.wmf"/><Relationship Id="rId32" Type="http://schemas.openxmlformats.org/officeDocument/2006/relationships/image" Target="media/image11.jpeg"/><Relationship Id="rId31" Type="http://schemas.openxmlformats.org/officeDocument/2006/relationships/image" Target="media/image10.jpeg"/><Relationship Id="rId30" Type="http://schemas.openxmlformats.org/officeDocument/2006/relationships/image" Target="media/image9.jpeg"/><Relationship Id="rId3" Type="http://schemas.openxmlformats.org/officeDocument/2006/relationships/footnotes" Target="footnotes.xml"/><Relationship Id="rId29" Type="http://schemas.openxmlformats.org/officeDocument/2006/relationships/image" Target="media/image8.jpeg"/><Relationship Id="rId28" Type="http://schemas.openxmlformats.org/officeDocument/2006/relationships/image" Target="media/image7.png"/><Relationship Id="rId27" Type="http://schemas.openxmlformats.org/officeDocument/2006/relationships/image" Target="media/image6.jpeg"/><Relationship Id="rId26" Type="http://schemas.openxmlformats.org/officeDocument/2006/relationships/image" Target="media/image5.jpeg"/><Relationship Id="rId25" Type="http://schemas.openxmlformats.org/officeDocument/2006/relationships/image" Target="media/image4.jpeg"/><Relationship Id="rId24" Type="http://schemas.openxmlformats.org/officeDocument/2006/relationships/image" Target="media/image3.jpeg"/><Relationship Id="rId23" Type="http://schemas.openxmlformats.org/officeDocument/2006/relationships/image" Target="media/image2.jpe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header" Target="header12.xml"/><Relationship Id="rId2" Type="http://schemas.openxmlformats.org/officeDocument/2006/relationships/settings" Target="settings.xml"/><Relationship Id="rId19" Type="http://schemas.openxmlformats.org/officeDocument/2006/relationships/header" Target="header11.xml"/><Relationship Id="rId18" Type="http://schemas.openxmlformats.org/officeDocument/2006/relationships/header" Target="header10.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footer" Target="footer4.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0.xml"/><Relationship Id="rId3" Type="http://schemas.microsoft.com/office/2011/relationships/chartStyle" Target="style10.xml"/><Relationship Id="rId2" Type="http://schemas.openxmlformats.org/officeDocument/2006/relationships/chartUserShapes" Target="../drawings/drawing10.xml"/><Relationship Id="rId1" Type="http://schemas.openxmlformats.org/officeDocument/2006/relationships/oleObject" Target="file:///C:\Users\Administrator\Desktop\&#37122;&#24030;&#24037;&#19994;&#22253;&#21306;&#21608;&#36793;&#35843;&#26597;&#25253;&#21578;&#20869;&#23481;\HR\&#25968;&#25454;&#25972;&#29702;\&#25955;&#28857;&#22270;.xlsx" TargetMode="External"/></Relationships>
</file>

<file path=word/charts/_rels/chart10.xml.rels><?xml version="1.0" encoding="UTF-8" standalone="yes"?>
<Relationships xmlns="http://schemas.openxmlformats.org/package/2006/relationships"><Relationship Id="rId4" Type="http://schemas.microsoft.com/office/2011/relationships/chartColorStyle" Target="colors11.xml"/><Relationship Id="rId3" Type="http://schemas.microsoft.com/office/2011/relationships/chartStyle" Target="style11.xml"/><Relationship Id="rId2" Type="http://schemas.openxmlformats.org/officeDocument/2006/relationships/chartUserShapes" Target="../drawings/drawing11.xml"/><Relationship Id="rId1" Type="http://schemas.openxmlformats.org/officeDocument/2006/relationships/oleObject" Target="file:///C:\Users\Administrator\Desktop\&#37122;&#24030;&#25253;&#21578;&#20869;&#23481;\&#25253;&#21578;&#20462;&#25913;\HR\&#20005;&#23376;&#40607;\&#25955;&#28857;&#22270;.xlsx" TargetMode="External"/></Relationships>
</file>

<file path=word/charts/_rels/chart11.xml.rels><?xml version="1.0" encoding="UTF-8" standalone="yes"?>
<Relationships xmlns="http://schemas.openxmlformats.org/package/2006/relationships"><Relationship Id="rId4" Type="http://schemas.microsoft.com/office/2011/relationships/chartColorStyle" Target="colors9.xml"/><Relationship Id="rId3" Type="http://schemas.microsoft.com/office/2011/relationships/chartStyle" Target="style9.xml"/><Relationship Id="rId2" Type="http://schemas.openxmlformats.org/officeDocument/2006/relationships/chartUserShapes" Target="../drawings/drawing9.xml"/><Relationship Id="rId1" Type="http://schemas.openxmlformats.org/officeDocument/2006/relationships/oleObject" Target="file:///C:\Users\Administrator\Desktop\&#37122;&#24030;&#25253;&#21578;&#20869;&#23481;\&#25253;&#21578;&#20462;&#25913;\HR\&#20005;&#23376;&#40607;\&#25955;&#28857;&#22270;.xlsx" TargetMode="External"/></Relationships>
</file>

<file path=word/charts/_rels/chart2.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chartUserShapes" Target="../drawings/drawing1.xml"/><Relationship Id="rId1" Type="http://schemas.openxmlformats.org/officeDocument/2006/relationships/oleObject" Target="file:///C:\Users\Administrator\Desktop\&#34920;&#26684;.xls" TargetMode="External"/></Relationships>
</file>

<file path=word/charts/_rels/chart3.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chartUserShapes" Target="../drawings/drawing3.xml"/><Relationship Id="rId1" Type="http://schemas.openxmlformats.org/officeDocument/2006/relationships/oleObject" Target="" TargetMode="External"/></Relationships>
</file>

<file path=word/charts/_rels/chart4.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chartUserShapes" Target="../drawings/drawing2.xml"/><Relationship Id="rId1" Type="http://schemas.openxmlformats.org/officeDocument/2006/relationships/oleObject" Target="file:///C:\Users\Administrator\Desktop\&#37122;&#24030;&#25253;&#21578;&#20869;&#23481;\&#25253;&#21578;&#20462;&#25913;\HR\&#20005;&#23376;&#40607;\&#25955;&#28857;&#22270;.xlsx" TargetMode="External"/></Relationships>
</file>

<file path=word/charts/_rels/chart5.xml.rels><?xml version="1.0" encoding="UTF-8" standalone="yes"?>
<Relationships xmlns="http://schemas.openxmlformats.org/package/2006/relationships"><Relationship Id="rId4" Type="http://schemas.microsoft.com/office/2011/relationships/chartColorStyle" Target="colors4.xml"/><Relationship Id="rId3" Type="http://schemas.microsoft.com/office/2011/relationships/chartStyle" Target="style4.xml"/><Relationship Id="rId2" Type="http://schemas.openxmlformats.org/officeDocument/2006/relationships/chartUserShapes" Target="../drawings/drawing4.xml"/><Relationship Id="rId1" Type="http://schemas.openxmlformats.org/officeDocument/2006/relationships/oleObject" Target="file:///C:\Users\Administrator\Desktop\&#37122;&#24030;&#25253;&#21578;&#20869;&#23481;\&#25253;&#21578;&#20462;&#25913;\HR\&#20005;&#23376;&#40607;\&#25955;&#28857;&#22270;.xlsx" TargetMode="External"/></Relationships>
</file>

<file path=word/charts/_rels/chart6.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chartUserShapes" Target="../drawings/drawing5.xml"/><Relationship Id="rId1" Type="http://schemas.openxmlformats.org/officeDocument/2006/relationships/oleObject" Target="file:///C:\Users\Administrator\Desktop\&#37122;&#24030;&#25253;&#21578;&#20869;&#23481;\&#25253;&#21578;&#20462;&#25913;\HR\&#20005;&#23376;&#40607;\&#25955;&#28857;&#22270;.xlsx" TargetMode="External"/></Relationships>
</file>

<file path=word/charts/_rels/chart7.xml.rels><?xml version="1.0" encoding="UTF-8" standalone="yes"?>
<Relationships xmlns="http://schemas.openxmlformats.org/package/2006/relationships"><Relationship Id="rId4" Type="http://schemas.microsoft.com/office/2011/relationships/chartColorStyle" Target="colors6.xml"/><Relationship Id="rId3" Type="http://schemas.microsoft.com/office/2011/relationships/chartStyle" Target="style6.xml"/><Relationship Id="rId2" Type="http://schemas.openxmlformats.org/officeDocument/2006/relationships/chartUserShapes" Target="../drawings/drawing6.xml"/><Relationship Id="rId1" Type="http://schemas.openxmlformats.org/officeDocument/2006/relationships/oleObject" Target="file:///C:\Users\Administrator\Desktop\&#37122;&#24030;&#25253;&#21578;&#20869;&#23481;\&#25253;&#21578;&#20462;&#25913;\HR\&#20005;&#23376;&#40607;\&#25955;&#28857;&#22270;.xlsx" TargetMode="External"/></Relationships>
</file>

<file path=word/charts/_rels/chart8.xml.rels><?xml version="1.0" encoding="UTF-8" standalone="yes"?>
<Relationships xmlns="http://schemas.openxmlformats.org/package/2006/relationships"><Relationship Id="rId4" Type="http://schemas.microsoft.com/office/2011/relationships/chartColorStyle" Target="colors7.xml"/><Relationship Id="rId3" Type="http://schemas.microsoft.com/office/2011/relationships/chartStyle" Target="style7.xml"/><Relationship Id="rId2" Type="http://schemas.openxmlformats.org/officeDocument/2006/relationships/chartUserShapes" Target="../drawings/drawing7.xml"/><Relationship Id="rId1" Type="http://schemas.openxmlformats.org/officeDocument/2006/relationships/oleObject" Target="file:///C:\Users\Administrator\Desktop\&#37122;&#24030;&#25253;&#21578;&#20869;&#23481;\&#25253;&#21578;&#20462;&#25913;\HR\&#20005;&#23376;&#40607;\&#25955;&#28857;&#22270;.xlsx" TargetMode="External"/></Relationships>
</file>

<file path=word/charts/_rels/chart9.xml.rels><?xml version="1.0" encoding="UTF-8" standalone="yes"?>
<Relationships xmlns="http://schemas.openxmlformats.org/package/2006/relationships"><Relationship Id="rId4" Type="http://schemas.microsoft.com/office/2011/relationships/chartColorStyle" Target="colors8.xml"/><Relationship Id="rId3" Type="http://schemas.microsoft.com/office/2011/relationships/chartStyle" Target="style8.xml"/><Relationship Id="rId2" Type="http://schemas.openxmlformats.org/officeDocument/2006/relationships/chartUserShapes" Target="../drawings/drawing8.xml"/><Relationship Id="rId1" Type="http://schemas.openxmlformats.org/officeDocument/2006/relationships/oleObject" Target="file:///C:\Users\Administrator\Desktop\&#37122;&#24030;&#25253;&#21578;&#20869;&#23481;\&#25253;&#21578;&#20462;&#25913;\HR\&#20005;&#23376;&#40607;\&#25955;&#28857;&#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b="1">
                <a:latin typeface="宋体" panose="02010600030101010101" charset="-122"/>
                <a:ea typeface="宋体" panose="02010600030101010101" charset="-122"/>
                <a:cs typeface="宋体" panose="02010600030101010101" charset="-122"/>
              </a:rPr>
              <a:t>pH</a:t>
            </a:r>
            <a:r>
              <a:rPr altLang="en-US" b="1">
                <a:latin typeface="宋体" panose="02010600030101010101" charset="-122"/>
                <a:ea typeface="宋体" panose="02010600030101010101" charset="-122"/>
                <a:cs typeface="宋体" panose="02010600030101010101" charset="-122"/>
              </a:rPr>
              <a:t>值</a:t>
            </a:r>
            <a:endParaRPr altLang="en-US" b="1">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lineChart>
        <c:grouping val="standard"/>
        <c:varyColors val="0"/>
        <c:ser>
          <c:idx val="0"/>
          <c:order val="0"/>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extLst>
                <c:ext xmlns:c15="http://schemas.microsoft.com/office/drawing/2012/chart" uri="{02D57815-91ED-43cb-92C2-25804820EDAC}">
                  <c15:fullRef>
                    <c15:sqref>[散点图.xlsx]Ph!$A$2:$U$2</c15:sqref>
                  </c15:fullRef>
                </c:ext>
              </c:extLst>
              <c:f>[散点图.xlsx]Ph!$B$2:$U$2</c:f>
              <c:strCache>
                <c:ptCount val="20"/>
                <c:pt idx="0">
                  <c:v>HR-1-75</c:v>
                </c:pt>
                <c:pt idx="1">
                  <c:v>HR-1-200</c:v>
                </c:pt>
                <c:pt idx="2">
                  <c:v>HR-1-400</c:v>
                </c:pt>
                <c:pt idx="3">
                  <c:v>HR-2-75</c:v>
                </c:pt>
                <c:pt idx="4">
                  <c:v>HR-2-200</c:v>
                </c:pt>
                <c:pt idx="5">
                  <c:v>HR-2-400</c:v>
                </c:pt>
                <c:pt idx="6">
                  <c:v>HR-3-75</c:v>
                </c:pt>
                <c:pt idx="7">
                  <c:v>HR-3-200</c:v>
                </c:pt>
                <c:pt idx="8">
                  <c:v>HR-3-400</c:v>
                </c:pt>
                <c:pt idx="9">
                  <c:v>HR-4-75</c:v>
                </c:pt>
                <c:pt idx="10">
                  <c:v>HR-4-200</c:v>
                </c:pt>
                <c:pt idx="11">
                  <c:v>HR-4-400</c:v>
                </c:pt>
                <c:pt idx="12">
                  <c:v>HR-5</c:v>
                </c:pt>
                <c:pt idx="13">
                  <c:v>HR-6</c:v>
                </c:pt>
                <c:pt idx="14">
                  <c:v>HR-JJ-1</c:v>
                </c:pt>
                <c:pt idx="15">
                  <c:v>HR-JJ-2</c:v>
                </c:pt>
                <c:pt idx="16">
                  <c:v>HR-JJ-3</c:v>
                </c:pt>
                <c:pt idx="17">
                  <c:v>HR-JJ-4</c:v>
                </c:pt>
                <c:pt idx="18">
                  <c:v>HR-JJ-5</c:v>
                </c:pt>
                <c:pt idx="19">
                  <c:v>HR-JJ-6</c:v>
                </c:pt>
              </c:strCache>
            </c:strRef>
          </c:cat>
          <c:val>
            <c:numRef>
              <c:extLst>
                <c:ext xmlns:c15="http://schemas.microsoft.com/office/drawing/2012/chart" uri="{02D57815-91ED-43cb-92C2-25804820EDAC}">
                  <c15:fullRef>
                    <c15:sqref>Ph!$A$3:$U$3</c15:sqref>
                  </c15:fullRef>
                </c:ext>
              </c:extLst>
              <c:f>[散点图.xlsx]Ph!$B$3:$U$3</c:f>
              <c:numCache>
                <c:formatCode>General</c:formatCode>
                <c:ptCount val="20"/>
                <c:pt idx="0">
                  <c:v>7.84</c:v>
                </c:pt>
                <c:pt idx="1">
                  <c:v>7.79</c:v>
                </c:pt>
                <c:pt idx="2">
                  <c:v>7.4</c:v>
                </c:pt>
                <c:pt idx="3">
                  <c:v>8.72</c:v>
                </c:pt>
                <c:pt idx="4">
                  <c:v>8.45</c:v>
                </c:pt>
                <c:pt idx="5">
                  <c:v>8.01</c:v>
                </c:pt>
                <c:pt idx="6">
                  <c:v>7.7</c:v>
                </c:pt>
                <c:pt idx="7">
                  <c:v>7.63</c:v>
                </c:pt>
                <c:pt idx="8">
                  <c:v>5.2</c:v>
                </c:pt>
                <c:pt idx="9">
                  <c:v>5.97</c:v>
                </c:pt>
                <c:pt idx="10">
                  <c:v>7.15</c:v>
                </c:pt>
                <c:pt idx="11">
                  <c:v>7.56</c:v>
                </c:pt>
                <c:pt idx="12">
                  <c:v>6.53</c:v>
                </c:pt>
                <c:pt idx="13">
                  <c:v>5.56</c:v>
                </c:pt>
                <c:pt idx="14">
                  <c:v>6.62</c:v>
                </c:pt>
                <c:pt idx="15">
                  <c:v>7.58</c:v>
                </c:pt>
                <c:pt idx="16">
                  <c:v>7.52</c:v>
                </c:pt>
                <c:pt idx="17">
                  <c:v>8.23</c:v>
                </c:pt>
                <c:pt idx="18">
                  <c:v>7.02</c:v>
                </c:pt>
                <c:pt idx="19">
                  <c:v>7.61</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37baa324-83c7-46fe-939f-ea196c66fae4}"/>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plotArea>
      <c:layout/>
      <c:lineChart>
        <c:grouping val="standard"/>
        <c:varyColors val="0"/>
        <c:ser>
          <c:idx val="0"/>
          <c:order val="0"/>
          <c:tx>
            <c:strRef>
              <c:f>[散点图.xlsx]锌!$A$3</c:f>
              <c:strCache>
                <c:ptCount val="1"/>
                <c:pt idx="0">
                  <c:v>锌</c:v>
                </c:pt>
              </c:strCache>
            </c:strRef>
          </c:tx>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[散点图.xlsx]锌!$B$2:$I$2</c:f>
              <c:strCache>
                <c:ptCount val="8"/>
                <c:pt idx="0">
                  <c:v>HR-3-75</c:v>
                </c:pt>
                <c:pt idx="1">
                  <c:v>HR-3-200</c:v>
                </c:pt>
                <c:pt idx="2">
                  <c:v>HR-3-400</c:v>
                </c:pt>
                <c:pt idx="3">
                  <c:v>HR-4-75</c:v>
                </c:pt>
                <c:pt idx="4">
                  <c:v>HR-4-200</c:v>
                </c:pt>
                <c:pt idx="5">
                  <c:v>HR-4-400</c:v>
                </c:pt>
                <c:pt idx="6">
                  <c:v>HR-5</c:v>
                </c:pt>
                <c:pt idx="7">
                  <c:v>HR-6</c:v>
                </c:pt>
              </c:strCache>
            </c:strRef>
          </c:cat>
          <c:val>
            <c:numRef>
              <c:f>[散点图.xlsx]锌!$B$3:$I$3</c:f>
              <c:numCache>
                <c:formatCode>General</c:formatCode>
                <c:ptCount val="8"/>
                <c:pt idx="0">
                  <c:v>9.3</c:v>
                </c:pt>
                <c:pt idx="1">
                  <c:v>9.8</c:v>
                </c:pt>
                <c:pt idx="2">
                  <c:v>47</c:v>
                </c:pt>
                <c:pt idx="3">
                  <c:v>6.8</c:v>
                </c:pt>
                <c:pt idx="4">
                  <c:v>5.8</c:v>
                </c:pt>
                <c:pt idx="5">
                  <c:v>8.4</c:v>
                </c:pt>
                <c:pt idx="6">
                  <c:v>7.2</c:v>
                </c:pt>
                <c:pt idx="7">
                  <c:v>10.1</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16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7c5616ef-3455-4fb0-81ef-e068e0d88d5e}"/>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plotArea>
      <c:layout/>
      <c:lineChart>
        <c:grouping val="standard"/>
        <c:varyColors val="0"/>
        <c:ser>
          <c:idx val="0"/>
          <c:order val="0"/>
          <c:tx>
            <c:strRef>
              <c:f>[散点图.xlsx]砷!$A$3</c:f>
              <c:strCache>
                <c:ptCount val="1"/>
                <c:pt idx="0">
                  <c:v>砷</c:v>
                </c:pt>
              </c:strCache>
            </c:strRef>
          </c:tx>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[散点图.xlsx]砷!$B$2:$U$2</c:f>
              <c:strCache>
                <c:ptCount val="20"/>
                <c:pt idx="0">
                  <c:v>HR-1-75</c:v>
                </c:pt>
                <c:pt idx="1">
                  <c:v>HR-1-200</c:v>
                </c:pt>
                <c:pt idx="2">
                  <c:v>HR-1-400</c:v>
                </c:pt>
                <c:pt idx="3">
                  <c:v>HR-2-75</c:v>
                </c:pt>
                <c:pt idx="4">
                  <c:v>HR-2-200</c:v>
                </c:pt>
                <c:pt idx="5">
                  <c:v>HR-2-400</c:v>
                </c:pt>
                <c:pt idx="6">
                  <c:v>HR-3-75</c:v>
                </c:pt>
                <c:pt idx="7">
                  <c:v>HR-3-200</c:v>
                </c:pt>
                <c:pt idx="8">
                  <c:v>HR-3-400</c:v>
                </c:pt>
                <c:pt idx="9">
                  <c:v>HR-4-75</c:v>
                </c:pt>
                <c:pt idx="10">
                  <c:v>HR-4-200</c:v>
                </c:pt>
                <c:pt idx="11">
                  <c:v>HR-4-400</c:v>
                </c:pt>
                <c:pt idx="12">
                  <c:v>HR-5</c:v>
                </c:pt>
                <c:pt idx="13">
                  <c:v>HR-6</c:v>
                </c:pt>
                <c:pt idx="14">
                  <c:v>HR-JJ-1</c:v>
                </c:pt>
                <c:pt idx="15">
                  <c:v>HR-JJ-2</c:v>
                </c:pt>
                <c:pt idx="16">
                  <c:v>HR-JJ-3</c:v>
                </c:pt>
                <c:pt idx="17">
                  <c:v>HR-JJ-4</c:v>
                </c:pt>
                <c:pt idx="18">
                  <c:v>HR-JJ-5</c:v>
                </c:pt>
                <c:pt idx="19">
                  <c:v>HR-JJ-6</c:v>
                </c:pt>
              </c:strCache>
            </c:strRef>
          </c:cat>
          <c:val>
            <c:numRef>
              <c:f>[散点图.xlsx]砷!$B$3:$U$3</c:f>
              <c:numCache>
                <c:formatCode>General</c:formatCode>
                <c:ptCount val="20"/>
                <c:pt idx="0">
                  <c:v>10.6</c:v>
                </c:pt>
                <c:pt idx="1">
                  <c:v>10.9</c:v>
                </c:pt>
                <c:pt idx="2">
                  <c:v>11</c:v>
                </c:pt>
                <c:pt idx="3">
                  <c:v>7.6</c:v>
                </c:pt>
                <c:pt idx="4">
                  <c:v>12.4</c:v>
                </c:pt>
                <c:pt idx="5">
                  <c:v>11.8</c:v>
                </c:pt>
                <c:pt idx="6">
                  <c:v>9.3</c:v>
                </c:pt>
                <c:pt idx="7">
                  <c:v>9.8</c:v>
                </c:pt>
                <c:pt idx="8">
                  <c:v>8</c:v>
                </c:pt>
                <c:pt idx="9">
                  <c:v>6.8</c:v>
                </c:pt>
                <c:pt idx="10">
                  <c:v>5.8</c:v>
                </c:pt>
                <c:pt idx="11">
                  <c:v>8.4</c:v>
                </c:pt>
                <c:pt idx="12">
                  <c:v>7.2</c:v>
                </c:pt>
                <c:pt idx="13">
                  <c:v>10.1</c:v>
                </c:pt>
                <c:pt idx="14">
                  <c:v>10.4</c:v>
                </c:pt>
                <c:pt idx="15">
                  <c:v>9.7</c:v>
                </c:pt>
                <c:pt idx="16">
                  <c:v>8.8</c:v>
                </c:pt>
                <c:pt idx="17">
                  <c:v>9</c:v>
                </c:pt>
                <c:pt idx="18">
                  <c:v>10.5</c:v>
                </c:pt>
                <c:pt idx="19">
                  <c:v>13.4</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40"/>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05f90f3e-109e-40d9-8764-0c49a299cc50}"/>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t>总氟化物</a:t>
            </a:r>
            <a:endParaRPr b="1"/>
          </a:p>
        </c:rich>
      </c:tx>
      <c:layout/>
      <c:overlay val="0"/>
      <c:spPr>
        <a:noFill/>
        <a:ln>
          <a:noFill/>
        </a:ln>
        <a:effectLst/>
      </c:spPr>
    </c:title>
    <c:autoTitleDeleted val="0"/>
    <c:plotArea>
      <c:layout/>
      <c:lineChart>
        <c:grouping val="standard"/>
        <c:varyColors val="0"/>
        <c:ser>
          <c:idx val="0"/>
          <c:order val="0"/>
          <c:tx>
            <c:strRef>
              <c:f>[表格.xls]Sheet3!$A$2</c:f>
              <c:strCache>
                <c:ptCount val="1"/>
                <c:pt idx="0">
                  <c:v>氟化物</c:v>
                </c:pt>
              </c:strCache>
            </c:strRef>
          </c:tx>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[表格.xls]Sheet3!$B$1:$U$1</c:f>
              <c:strCache>
                <c:ptCount val="20"/>
                <c:pt idx="0">
                  <c:v>HR-1-75</c:v>
                </c:pt>
                <c:pt idx="1">
                  <c:v>HR-1-200</c:v>
                </c:pt>
                <c:pt idx="2">
                  <c:v>HR-1-400</c:v>
                </c:pt>
                <c:pt idx="3">
                  <c:v>HR-2-75</c:v>
                </c:pt>
                <c:pt idx="4">
                  <c:v>HR-2-200</c:v>
                </c:pt>
                <c:pt idx="5">
                  <c:v>HR-2-400</c:v>
                </c:pt>
                <c:pt idx="6">
                  <c:v>HR-3-75</c:v>
                </c:pt>
                <c:pt idx="7">
                  <c:v>HR-3-200</c:v>
                </c:pt>
                <c:pt idx="8">
                  <c:v>HR-3-400</c:v>
                </c:pt>
                <c:pt idx="9">
                  <c:v>HR-4-75</c:v>
                </c:pt>
                <c:pt idx="10">
                  <c:v>HR-4-200</c:v>
                </c:pt>
                <c:pt idx="11">
                  <c:v>HR-4-400</c:v>
                </c:pt>
                <c:pt idx="12">
                  <c:v>HR-5</c:v>
                </c:pt>
                <c:pt idx="13">
                  <c:v>HR-6</c:v>
                </c:pt>
                <c:pt idx="14">
                  <c:v>HR-JJ-1</c:v>
                </c:pt>
                <c:pt idx="15">
                  <c:v>HR-JJ-2</c:v>
                </c:pt>
                <c:pt idx="16">
                  <c:v>HR-JJ-3</c:v>
                </c:pt>
                <c:pt idx="17">
                  <c:v>HR-JJ-4</c:v>
                </c:pt>
                <c:pt idx="18">
                  <c:v>HR-JJ-5</c:v>
                </c:pt>
                <c:pt idx="19">
                  <c:v>HR-JJ-6</c:v>
                </c:pt>
              </c:strCache>
            </c:strRef>
          </c:cat>
          <c:val>
            <c:numRef>
              <c:f>[表格.xls]Sheet3!$B$2:$U$2</c:f>
              <c:numCache>
                <c:formatCode>General</c:formatCode>
                <c:ptCount val="20"/>
                <c:pt idx="0">
                  <c:v>599</c:v>
                </c:pt>
                <c:pt idx="1">
                  <c:v>547</c:v>
                </c:pt>
                <c:pt idx="2">
                  <c:v>603</c:v>
                </c:pt>
                <c:pt idx="3">
                  <c:v>587</c:v>
                </c:pt>
                <c:pt idx="4">
                  <c:v>590</c:v>
                </c:pt>
                <c:pt idx="5">
                  <c:v>545</c:v>
                </c:pt>
                <c:pt idx="6">
                  <c:v>469</c:v>
                </c:pt>
                <c:pt idx="7">
                  <c:v>484</c:v>
                </c:pt>
                <c:pt idx="8">
                  <c:v>427</c:v>
                </c:pt>
                <c:pt idx="9">
                  <c:v>432</c:v>
                </c:pt>
                <c:pt idx="10">
                  <c:v>470</c:v>
                </c:pt>
                <c:pt idx="11">
                  <c:v>460</c:v>
                </c:pt>
                <c:pt idx="12">
                  <c:v>443</c:v>
                </c:pt>
                <c:pt idx="13">
                  <c:v>419</c:v>
                </c:pt>
                <c:pt idx="14">
                  <c:v>528</c:v>
                </c:pt>
                <c:pt idx="15">
                  <c:v>462</c:v>
                </c:pt>
                <c:pt idx="16">
                  <c:v>554</c:v>
                </c:pt>
                <c:pt idx="17">
                  <c:v>670</c:v>
                </c:pt>
                <c:pt idx="18">
                  <c:v>693</c:v>
                </c:pt>
                <c:pt idx="19">
                  <c:v>663</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b="0"/>
                  <a:t>检测值 </a:t>
                </a:r>
                <a:r>
                  <a:rPr lang="en-US" altLang="zh-CN" b="0"/>
                  <a:t>mg/kg</a:t>
                </a:r>
                <a:endParaRPr lang="en-US" altLang="zh-CN" b="0"/>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0a42d251-0fe9-48b3-be09-dbc0c07babf0}"/>
      </c:ext>
    </c:extLst>
  </c:chart>
  <c:spPr>
    <a:solidFill>
      <a:schemeClr val="bg1"/>
    </a:solidFill>
    <a:ln w="19050" cap="flat" cmpd="sng" algn="ctr">
      <a:solidFill>
        <a:schemeClr val="tx1"/>
      </a:solidFill>
      <a:round/>
    </a:ln>
    <a:effectLst/>
  </c:spPr>
  <c:txPr>
    <a:bodyPr/>
    <a:lstStyle/>
    <a:p>
      <a:pPr>
        <a:defRPr lang="zh-CN" b="0"/>
      </a:pPr>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plotArea>
      <c:layout/>
      <c:lineChart>
        <c:grouping val="standard"/>
        <c:varyColors val="0"/>
        <c:ser>
          <c:idx val="0"/>
          <c:order val="0"/>
          <c:tx>
            <c:strRef>
              <c:f>[表格.xls]Sheet3!$A$2</c:f>
              <c:strCache>
                <c:ptCount val="1"/>
                <c:pt idx="0">
                  <c:v>钴</c:v>
                </c:pt>
              </c:strCache>
            </c:strRef>
          </c:tx>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{"HR-1-75","HR-1-200","HR-1-400","HR-2-75","HR-2-200","HR-2-400","HR-3-75","HR-3-200","HR-3-400","HR-4-75","HR-4-200","HR-4-400","HR-5","HR-6","HR-JJ-1","HR-JJ-2","HR-JJ-3","HR-JJ-4","HR-JJ-5","HR-JJ-6"}</c:f>
              <c:strCache>
                <c:ptCount val="20"/>
                <c:pt idx="0">
                  <c:v>HR-1-75</c:v>
                </c:pt>
                <c:pt idx="1">
                  <c:v>HR-1-200</c:v>
                </c:pt>
                <c:pt idx="2">
                  <c:v>HR-1-400</c:v>
                </c:pt>
                <c:pt idx="3">
                  <c:v>HR-2-75</c:v>
                </c:pt>
                <c:pt idx="4">
                  <c:v>HR-2-200</c:v>
                </c:pt>
                <c:pt idx="5">
                  <c:v>HR-2-400</c:v>
                </c:pt>
                <c:pt idx="6">
                  <c:v>HR-3-75</c:v>
                </c:pt>
                <c:pt idx="7">
                  <c:v>HR-3-200</c:v>
                </c:pt>
                <c:pt idx="8">
                  <c:v>HR-3-400</c:v>
                </c:pt>
                <c:pt idx="9">
                  <c:v>HR-4-75</c:v>
                </c:pt>
                <c:pt idx="10">
                  <c:v>HR-4-200</c:v>
                </c:pt>
                <c:pt idx="11">
                  <c:v>HR-4-400</c:v>
                </c:pt>
                <c:pt idx="12">
                  <c:v>HR-5</c:v>
                </c:pt>
                <c:pt idx="13">
                  <c:v>HR-6</c:v>
                </c:pt>
                <c:pt idx="14">
                  <c:v>HR-JJ-1</c:v>
                </c:pt>
                <c:pt idx="15">
                  <c:v>HR-JJ-2</c:v>
                </c:pt>
                <c:pt idx="16">
                  <c:v>HR-JJ-3</c:v>
                </c:pt>
                <c:pt idx="17">
                  <c:v>HR-JJ-4</c:v>
                </c:pt>
                <c:pt idx="18">
                  <c:v>HR-JJ-5</c:v>
                </c:pt>
                <c:pt idx="19">
                  <c:v>HR-JJ-6</c:v>
                </c:pt>
              </c:strCache>
            </c:strRef>
          </c:cat>
          <c:val>
            <c:numRef>
              <c:f>{10.9,10.3,11.4,8.61,9.69,11.1,11.1,10.8,8.49,8.19,9.45,8.35,8.35,11,13.2,11.7,8.09,10.8,10.9,13.3}</c:f>
              <c:numCache>
                <c:formatCode>General</c:formatCode>
                <c:ptCount val="20"/>
                <c:pt idx="0">
                  <c:v>10.9</c:v>
                </c:pt>
                <c:pt idx="1">
                  <c:v>10.3</c:v>
                </c:pt>
                <c:pt idx="2">
                  <c:v>11.4</c:v>
                </c:pt>
                <c:pt idx="3">
                  <c:v>8.61</c:v>
                </c:pt>
                <c:pt idx="4">
                  <c:v>9.69</c:v>
                </c:pt>
                <c:pt idx="5">
                  <c:v>11.1</c:v>
                </c:pt>
                <c:pt idx="6">
                  <c:v>11.1</c:v>
                </c:pt>
                <c:pt idx="7">
                  <c:v>10.8</c:v>
                </c:pt>
                <c:pt idx="8">
                  <c:v>8.49</c:v>
                </c:pt>
                <c:pt idx="9">
                  <c:v>8.19</c:v>
                </c:pt>
                <c:pt idx="10">
                  <c:v>9.45</c:v>
                </c:pt>
                <c:pt idx="11">
                  <c:v>8.35</c:v>
                </c:pt>
                <c:pt idx="12">
                  <c:v>8.35</c:v>
                </c:pt>
                <c:pt idx="13">
                  <c:v>11</c:v>
                </c:pt>
                <c:pt idx="14">
                  <c:v>13.2</c:v>
                </c:pt>
                <c:pt idx="15">
                  <c:v>11.7</c:v>
                </c:pt>
                <c:pt idx="16">
                  <c:v>8.09</c:v>
                </c:pt>
                <c:pt idx="17">
                  <c:v>10.8</c:v>
                </c:pt>
                <c:pt idx="18">
                  <c:v>10.9</c:v>
                </c:pt>
                <c:pt idx="19">
                  <c:v>13.3</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40"/>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985574ce-0f0f-49f1-a516-3134433fc273}"/>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plotArea>
      <c:layout/>
      <c:lineChart>
        <c:grouping val="standard"/>
        <c:varyColors val="0"/>
        <c:ser>
          <c:idx val="0"/>
          <c:order val="0"/>
          <c:tx>
            <c:strRef>
              <c:f>[散点图.xlsx]汞!$A$3</c:f>
              <c:strCache>
                <c:ptCount val="1"/>
                <c:pt idx="0">
                  <c:v>汞</c:v>
                </c:pt>
              </c:strCache>
            </c:strRef>
          </c:tx>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[散点图.xlsx]汞!$B$2:$U$2</c:f>
              <c:strCache>
                <c:ptCount val="20"/>
                <c:pt idx="0">
                  <c:v>HR-1-75</c:v>
                </c:pt>
                <c:pt idx="1">
                  <c:v>HR-1-200</c:v>
                </c:pt>
                <c:pt idx="2">
                  <c:v>HR-1-400</c:v>
                </c:pt>
                <c:pt idx="3">
                  <c:v>HR-2-75</c:v>
                </c:pt>
                <c:pt idx="4">
                  <c:v>HR-2-200</c:v>
                </c:pt>
                <c:pt idx="5">
                  <c:v>HR-2-400</c:v>
                </c:pt>
                <c:pt idx="6">
                  <c:v>HR-3-75</c:v>
                </c:pt>
                <c:pt idx="7">
                  <c:v>HR-3-200</c:v>
                </c:pt>
                <c:pt idx="8">
                  <c:v>HR-3-400</c:v>
                </c:pt>
                <c:pt idx="9">
                  <c:v>HR-4-75</c:v>
                </c:pt>
                <c:pt idx="10">
                  <c:v>HR-4-200</c:v>
                </c:pt>
                <c:pt idx="11">
                  <c:v>HR-4-400</c:v>
                </c:pt>
                <c:pt idx="12">
                  <c:v>HR-5</c:v>
                </c:pt>
                <c:pt idx="13">
                  <c:v>HR-6</c:v>
                </c:pt>
                <c:pt idx="14">
                  <c:v>HR-JJ-1</c:v>
                </c:pt>
                <c:pt idx="15">
                  <c:v>HR-JJ-2</c:v>
                </c:pt>
                <c:pt idx="16">
                  <c:v>HR-JJ-3</c:v>
                </c:pt>
                <c:pt idx="17">
                  <c:v>HR-JJ-4</c:v>
                </c:pt>
                <c:pt idx="18">
                  <c:v>HR-JJ-5</c:v>
                </c:pt>
                <c:pt idx="19">
                  <c:v>HR-JJ-6</c:v>
                </c:pt>
              </c:strCache>
            </c:strRef>
          </c:cat>
          <c:val>
            <c:numRef>
              <c:f>[散点图.xlsx]汞!$B$3:$U$3</c:f>
              <c:numCache>
                <c:formatCode>General</c:formatCode>
                <c:ptCount val="20"/>
                <c:pt idx="0">
                  <c:v>0.07</c:v>
                </c:pt>
                <c:pt idx="1">
                  <c:v>0.08</c:v>
                </c:pt>
                <c:pt idx="2">
                  <c:v>0.07</c:v>
                </c:pt>
                <c:pt idx="3">
                  <c:v>0.11</c:v>
                </c:pt>
                <c:pt idx="4">
                  <c:v>0.08</c:v>
                </c:pt>
                <c:pt idx="5">
                  <c:v>0.09</c:v>
                </c:pt>
                <c:pt idx="6">
                  <c:v>0.23</c:v>
                </c:pt>
                <c:pt idx="7">
                  <c:v>0.16</c:v>
                </c:pt>
                <c:pt idx="8">
                  <c:v>0.16</c:v>
                </c:pt>
                <c:pt idx="9">
                  <c:v>0.12</c:v>
                </c:pt>
                <c:pt idx="10">
                  <c:v>0.09</c:v>
                </c:pt>
                <c:pt idx="11">
                  <c:v>0.23</c:v>
                </c:pt>
                <c:pt idx="12">
                  <c:v>0.14</c:v>
                </c:pt>
                <c:pt idx="13">
                  <c:v>0.14</c:v>
                </c:pt>
                <c:pt idx="14">
                  <c:v>0.12</c:v>
                </c:pt>
                <c:pt idx="15">
                  <c:v>0.13</c:v>
                </c:pt>
                <c:pt idx="16">
                  <c:v>0.11</c:v>
                </c:pt>
                <c:pt idx="17">
                  <c:v>0.11</c:v>
                </c:pt>
                <c:pt idx="18">
                  <c:v>0.11</c:v>
                </c:pt>
                <c:pt idx="19">
                  <c:v>0.09</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0.3"/>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47afe922-7912-4098-88be-b8c7591471e7}"/>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plotArea>
      <c:layout/>
      <c:lineChart>
        <c:grouping val="standard"/>
        <c:varyColors val="0"/>
        <c:ser>
          <c:idx val="0"/>
          <c:order val="0"/>
          <c:tx>
            <c:strRef>
              <c:f>[散点图.xlsx]铅!$A$3</c:f>
              <c:strCache>
                <c:ptCount val="1"/>
                <c:pt idx="0">
                  <c:v>铅</c:v>
                </c:pt>
              </c:strCache>
            </c:strRef>
          </c:tx>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[散点图.xlsx]铅!$B$2:$U$2</c:f>
              <c:strCache>
                <c:ptCount val="20"/>
                <c:pt idx="0">
                  <c:v>HR-1-75</c:v>
                </c:pt>
                <c:pt idx="1">
                  <c:v>HR-1-200</c:v>
                </c:pt>
                <c:pt idx="2">
                  <c:v>HR-1-400</c:v>
                </c:pt>
                <c:pt idx="3">
                  <c:v>HR-2-75</c:v>
                </c:pt>
                <c:pt idx="4">
                  <c:v>HR-2-200</c:v>
                </c:pt>
                <c:pt idx="5">
                  <c:v>HR-2-400</c:v>
                </c:pt>
                <c:pt idx="6">
                  <c:v>HR-3-75</c:v>
                </c:pt>
                <c:pt idx="7">
                  <c:v>HR-3-200</c:v>
                </c:pt>
                <c:pt idx="8">
                  <c:v>HR-3-400</c:v>
                </c:pt>
                <c:pt idx="9">
                  <c:v>HR-4-75</c:v>
                </c:pt>
                <c:pt idx="10">
                  <c:v>HR-4-200</c:v>
                </c:pt>
                <c:pt idx="11">
                  <c:v>HR-4-400</c:v>
                </c:pt>
                <c:pt idx="12">
                  <c:v>HR-5</c:v>
                </c:pt>
                <c:pt idx="13">
                  <c:v>HR-6</c:v>
                </c:pt>
                <c:pt idx="14">
                  <c:v>HR-JJ-1</c:v>
                </c:pt>
                <c:pt idx="15">
                  <c:v>HR-JJ-2</c:v>
                </c:pt>
                <c:pt idx="16">
                  <c:v>HR-JJ-3</c:v>
                </c:pt>
                <c:pt idx="17">
                  <c:v>HR-JJ-4</c:v>
                </c:pt>
                <c:pt idx="18">
                  <c:v>HR-JJ-5</c:v>
                </c:pt>
                <c:pt idx="19">
                  <c:v>HR-JJ-6</c:v>
                </c:pt>
              </c:strCache>
            </c:strRef>
          </c:cat>
          <c:val>
            <c:numRef>
              <c:f>[散点图.xlsx]铅!$B$3:$U$3</c:f>
              <c:numCache>
                <c:formatCode>General</c:formatCode>
                <c:ptCount val="20"/>
                <c:pt idx="0">
                  <c:v>19.5</c:v>
                </c:pt>
                <c:pt idx="1">
                  <c:v>17.3</c:v>
                </c:pt>
                <c:pt idx="2">
                  <c:v>17.9</c:v>
                </c:pt>
                <c:pt idx="3">
                  <c:v>30.1</c:v>
                </c:pt>
                <c:pt idx="4">
                  <c:v>21.5</c:v>
                </c:pt>
                <c:pt idx="5">
                  <c:v>29.7</c:v>
                </c:pt>
                <c:pt idx="6">
                  <c:v>23.5</c:v>
                </c:pt>
                <c:pt idx="7">
                  <c:v>36</c:v>
                </c:pt>
                <c:pt idx="8">
                  <c:v>17.9</c:v>
                </c:pt>
                <c:pt idx="9">
                  <c:v>19.1</c:v>
                </c:pt>
                <c:pt idx="10">
                  <c:v>16.4</c:v>
                </c:pt>
                <c:pt idx="11">
                  <c:v>29.3</c:v>
                </c:pt>
                <c:pt idx="12">
                  <c:v>20.2</c:v>
                </c:pt>
                <c:pt idx="13">
                  <c:v>24.1</c:v>
                </c:pt>
                <c:pt idx="14">
                  <c:v>25.5</c:v>
                </c:pt>
                <c:pt idx="15">
                  <c:v>29.2</c:v>
                </c:pt>
                <c:pt idx="16">
                  <c:v>19.5</c:v>
                </c:pt>
                <c:pt idx="17">
                  <c:v>18.5</c:v>
                </c:pt>
                <c:pt idx="18">
                  <c:v>16.6</c:v>
                </c:pt>
                <c:pt idx="19">
                  <c:v>19.2</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45"/>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cf0db12f-44e0-448e-bb0e-fd4cadb15691}"/>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plotArea>
      <c:layout/>
      <c:lineChart>
        <c:grouping val="standard"/>
        <c:varyColors val="0"/>
        <c:ser>
          <c:idx val="0"/>
          <c:order val="0"/>
          <c:tx>
            <c:strRef>
              <c:f>[散点图.xlsx]镉!$A$3</c:f>
              <c:strCache>
                <c:ptCount val="1"/>
                <c:pt idx="0">
                  <c:v>镉</c:v>
                </c:pt>
              </c:strCache>
            </c:strRef>
          </c:tx>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[散点图.xlsx]镉!$B$2:$U$2</c:f>
              <c:strCache>
                <c:ptCount val="20"/>
                <c:pt idx="0">
                  <c:v>HR-1-75</c:v>
                </c:pt>
                <c:pt idx="1">
                  <c:v>HR-1-200</c:v>
                </c:pt>
                <c:pt idx="2">
                  <c:v>HR-1-400</c:v>
                </c:pt>
                <c:pt idx="3">
                  <c:v>HR-2-75</c:v>
                </c:pt>
                <c:pt idx="4">
                  <c:v>HR-2-200</c:v>
                </c:pt>
                <c:pt idx="5">
                  <c:v>HR-2-400</c:v>
                </c:pt>
                <c:pt idx="6">
                  <c:v>HR-3-75</c:v>
                </c:pt>
                <c:pt idx="7">
                  <c:v>HR-3-200</c:v>
                </c:pt>
                <c:pt idx="8">
                  <c:v>HR-3-400</c:v>
                </c:pt>
                <c:pt idx="9">
                  <c:v>HR-4-75</c:v>
                </c:pt>
                <c:pt idx="10">
                  <c:v>HR-4-200</c:v>
                </c:pt>
                <c:pt idx="11">
                  <c:v>HR-4-400</c:v>
                </c:pt>
                <c:pt idx="12">
                  <c:v>HR-5</c:v>
                </c:pt>
                <c:pt idx="13">
                  <c:v>HR-6</c:v>
                </c:pt>
                <c:pt idx="14">
                  <c:v>HR-JJ-1</c:v>
                </c:pt>
                <c:pt idx="15">
                  <c:v>HR-JJ-2</c:v>
                </c:pt>
                <c:pt idx="16">
                  <c:v>HR-JJ-3</c:v>
                </c:pt>
                <c:pt idx="17">
                  <c:v>HR-JJ-4</c:v>
                </c:pt>
                <c:pt idx="18">
                  <c:v>HR-JJ-5</c:v>
                </c:pt>
                <c:pt idx="19">
                  <c:v>HR-JJ-6</c:v>
                </c:pt>
              </c:strCache>
            </c:strRef>
          </c:cat>
          <c:val>
            <c:numRef>
              <c:f>[散点图.xlsx]镉!$B$3:$U$3</c:f>
              <c:numCache>
                <c:formatCode>General</c:formatCode>
                <c:ptCount val="20"/>
                <c:pt idx="0">
                  <c:v>0.07</c:v>
                </c:pt>
                <c:pt idx="1">
                  <c:v>0.08</c:v>
                </c:pt>
                <c:pt idx="2">
                  <c:v>0.01</c:v>
                </c:pt>
                <c:pt idx="3">
                  <c:v>0.11</c:v>
                </c:pt>
                <c:pt idx="4">
                  <c:v>0.09</c:v>
                </c:pt>
                <c:pt idx="5">
                  <c:v>0.23</c:v>
                </c:pt>
                <c:pt idx="6">
                  <c:v>0.07</c:v>
                </c:pt>
                <c:pt idx="7">
                  <c:v>0.05</c:v>
                </c:pt>
                <c:pt idx="8">
                  <c:v>0.09</c:v>
                </c:pt>
                <c:pt idx="9">
                  <c:v>0.08</c:v>
                </c:pt>
                <c:pt idx="10">
                  <c:v>0.02</c:v>
                </c:pt>
                <c:pt idx="11">
                  <c:v>0.09</c:v>
                </c:pt>
                <c:pt idx="12">
                  <c:v>0.08</c:v>
                </c:pt>
                <c:pt idx="13">
                  <c:v>0.06</c:v>
                </c:pt>
                <c:pt idx="14">
                  <c:v>0.09</c:v>
                </c:pt>
                <c:pt idx="15">
                  <c:v>0.11</c:v>
                </c:pt>
                <c:pt idx="16">
                  <c:v>0.02</c:v>
                </c:pt>
                <c:pt idx="17">
                  <c:v>0.02</c:v>
                </c:pt>
                <c:pt idx="18">
                  <c:v>0.005</c:v>
                </c:pt>
                <c:pt idx="19">
                  <c:v>0.005</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0.6"/>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802d101e-e676-4116-b403-d9b8f548318e}"/>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plotArea>
      <c:layout/>
      <c:lineChart>
        <c:grouping val="standard"/>
        <c:varyColors val="0"/>
        <c:ser>
          <c:idx val="0"/>
          <c:order val="0"/>
          <c:tx>
            <c:strRef>
              <c:f>[散点图.xlsx]镍!$A$3</c:f>
              <c:strCache>
                <c:ptCount val="1"/>
                <c:pt idx="0">
                  <c:v>镍</c:v>
                </c:pt>
              </c:strCache>
            </c:strRef>
          </c:tx>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[散点图.xlsx]镍!$B$2:$U$2</c:f>
              <c:strCache>
                <c:ptCount val="20"/>
                <c:pt idx="0">
                  <c:v>HR-1-75</c:v>
                </c:pt>
                <c:pt idx="1">
                  <c:v>HR-1-200</c:v>
                </c:pt>
                <c:pt idx="2">
                  <c:v>HR-1-400</c:v>
                </c:pt>
                <c:pt idx="3">
                  <c:v>HR-2-75</c:v>
                </c:pt>
                <c:pt idx="4">
                  <c:v>HR-2-200</c:v>
                </c:pt>
                <c:pt idx="5">
                  <c:v>HR-2-400</c:v>
                </c:pt>
                <c:pt idx="6">
                  <c:v>HR-3-75</c:v>
                </c:pt>
                <c:pt idx="7">
                  <c:v>HR-3-200</c:v>
                </c:pt>
                <c:pt idx="8">
                  <c:v>HR-3-400</c:v>
                </c:pt>
                <c:pt idx="9">
                  <c:v>HR-4-75</c:v>
                </c:pt>
                <c:pt idx="10">
                  <c:v>HR-4-200</c:v>
                </c:pt>
                <c:pt idx="11">
                  <c:v>HR-4-400</c:v>
                </c:pt>
                <c:pt idx="12">
                  <c:v>HR-5</c:v>
                </c:pt>
                <c:pt idx="13">
                  <c:v>HR-6</c:v>
                </c:pt>
                <c:pt idx="14">
                  <c:v>HR-JJ-1</c:v>
                </c:pt>
                <c:pt idx="15">
                  <c:v>HR-JJ-2</c:v>
                </c:pt>
                <c:pt idx="16">
                  <c:v>HR-JJ-3</c:v>
                </c:pt>
                <c:pt idx="17">
                  <c:v>HR-JJ-4</c:v>
                </c:pt>
                <c:pt idx="18">
                  <c:v>HR-JJ-5</c:v>
                </c:pt>
                <c:pt idx="19">
                  <c:v>HR-JJ-6</c:v>
                </c:pt>
              </c:strCache>
            </c:strRef>
          </c:cat>
          <c:val>
            <c:numRef>
              <c:f>[散点图.xlsx]镍!$B$3:$U$3</c:f>
              <c:numCache>
                <c:formatCode>General</c:formatCode>
                <c:ptCount val="20"/>
                <c:pt idx="0">
                  <c:v>49</c:v>
                </c:pt>
                <c:pt idx="1">
                  <c:v>40</c:v>
                </c:pt>
                <c:pt idx="2">
                  <c:v>35</c:v>
                </c:pt>
                <c:pt idx="3">
                  <c:v>26</c:v>
                </c:pt>
                <c:pt idx="4">
                  <c:v>42</c:v>
                </c:pt>
                <c:pt idx="5">
                  <c:v>38</c:v>
                </c:pt>
                <c:pt idx="6">
                  <c:v>26</c:v>
                </c:pt>
                <c:pt idx="7">
                  <c:v>68</c:v>
                </c:pt>
                <c:pt idx="8">
                  <c:v>18</c:v>
                </c:pt>
                <c:pt idx="9">
                  <c:v>21</c:v>
                </c:pt>
                <c:pt idx="10">
                  <c:v>27</c:v>
                </c:pt>
                <c:pt idx="11">
                  <c:v>71</c:v>
                </c:pt>
                <c:pt idx="12">
                  <c:v>25</c:v>
                </c:pt>
                <c:pt idx="13">
                  <c:v>24</c:v>
                </c:pt>
                <c:pt idx="14">
                  <c:v>42</c:v>
                </c:pt>
                <c:pt idx="15">
                  <c:v>42</c:v>
                </c:pt>
                <c:pt idx="16">
                  <c:v>32</c:v>
                </c:pt>
                <c:pt idx="17">
                  <c:v>31</c:v>
                </c:pt>
                <c:pt idx="18">
                  <c:v>32</c:v>
                </c:pt>
                <c:pt idx="19">
                  <c:v>36</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8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046124a4-45e8-49db-a516-3ded0cd69bd0}"/>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plotArea>
      <c:layout/>
      <c:lineChart>
        <c:grouping val="standard"/>
        <c:varyColors val="0"/>
        <c:ser>
          <c:idx val="0"/>
          <c:order val="0"/>
          <c:tx>
            <c:strRef>
              <c:f>[散点图.xlsx]铬!$A$3</c:f>
              <c:strCache>
                <c:ptCount val="1"/>
                <c:pt idx="0">
                  <c:v>铬</c:v>
                </c:pt>
              </c:strCache>
            </c:strRef>
          </c:tx>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[散点图.xlsx]铬!$B$2:$U$2</c:f>
              <c:strCache>
                <c:ptCount val="20"/>
                <c:pt idx="0">
                  <c:v>HR-1-75</c:v>
                </c:pt>
                <c:pt idx="1">
                  <c:v>HR-1-200</c:v>
                </c:pt>
                <c:pt idx="2">
                  <c:v>HR-1-400</c:v>
                </c:pt>
                <c:pt idx="3">
                  <c:v>HR-2-75</c:v>
                </c:pt>
                <c:pt idx="4">
                  <c:v>HR-2-200</c:v>
                </c:pt>
                <c:pt idx="5">
                  <c:v>HR-2-400</c:v>
                </c:pt>
                <c:pt idx="6">
                  <c:v>HR-3-75</c:v>
                </c:pt>
                <c:pt idx="7">
                  <c:v>HR-3-200</c:v>
                </c:pt>
                <c:pt idx="8">
                  <c:v>HR-3-400</c:v>
                </c:pt>
                <c:pt idx="9">
                  <c:v>HR-4-75</c:v>
                </c:pt>
                <c:pt idx="10">
                  <c:v>HR-4-200</c:v>
                </c:pt>
                <c:pt idx="11">
                  <c:v>HR-4-400</c:v>
                </c:pt>
                <c:pt idx="12">
                  <c:v>HR-5</c:v>
                </c:pt>
                <c:pt idx="13">
                  <c:v>HR-6</c:v>
                </c:pt>
                <c:pt idx="14">
                  <c:v>HR-JJ-1</c:v>
                </c:pt>
                <c:pt idx="15">
                  <c:v>HR-JJ-2</c:v>
                </c:pt>
                <c:pt idx="16">
                  <c:v>HR-JJ-3</c:v>
                </c:pt>
                <c:pt idx="17">
                  <c:v>HR-JJ-4</c:v>
                </c:pt>
                <c:pt idx="18">
                  <c:v>HR-JJ-5</c:v>
                </c:pt>
                <c:pt idx="19">
                  <c:v>HR-JJ-6</c:v>
                </c:pt>
              </c:strCache>
            </c:strRef>
          </c:cat>
          <c:val>
            <c:numRef>
              <c:f>[散点图.xlsx]铬!$B$3:$U$3</c:f>
              <c:numCache>
                <c:formatCode>General</c:formatCode>
                <c:ptCount val="20"/>
                <c:pt idx="0">
                  <c:v>104</c:v>
                </c:pt>
                <c:pt idx="1">
                  <c:v>65</c:v>
                </c:pt>
                <c:pt idx="2">
                  <c:v>63</c:v>
                </c:pt>
                <c:pt idx="3">
                  <c:v>70</c:v>
                </c:pt>
                <c:pt idx="4">
                  <c:v>91</c:v>
                </c:pt>
                <c:pt idx="5">
                  <c:v>62</c:v>
                </c:pt>
                <c:pt idx="6">
                  <c:v>55</c:v>
                </c:pt>
                <c:pt idx="7">
                  <c:v>132</c:v>
                </c:pt>
                <c:pt idx="8">
                  <c:v>51</c:v>
                </c:pt>
                <c:pt idx="9">
                  <c:v>53</c:v>
                </c:pt>
                <c:pt idx="10">
                  <c:v>51</c:v>
                </c:pt>
                <c:pt idx="11">
                  <c:v>172</c:v>
                </c:pt>
                <c:pt idx="12">
                  <c:v>41</c:v>
                </c:pt>
                <c:pt idx="13">
                  <c:v>57</c:v>
                </c:pt>
                <c:pt idx="14">
                  <c:v>79</c:v>
                </c:pt>
                <c:pt idx="15">
                  <c:v>82</c:v>
                </c:pt>
                <c:pt idx="16">
                  <c:v>44</c:v>
                </c:pt>
                <c:pt idx="17">
                  <c:v>58</c:v>
                </c:pt>
                <c:pt idx="18">
                  <c:v>56</c:v>
                </c:pt>
                <c:pt idx="19">
                  <c:v>58</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180"/>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feda6944-d675-4ad3-a296-43676e486e96}"/>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plotArea>
      <c:layout/>
      <c:lineChart>
        <c:grouping val="standard"/>
        <c:varyColors val="0"/>
        <c:ser>
          <c:idx val="0"/>
          <c:order val="0"/>
          <c:tx>
            <c:strRef>
              <c:f>[散点图.xlsx]铜!$A$3</c:f>
              <c:strCache>
                <c:ptCount val="1"/>
                <c:pt idx="0">
                  <c:v>铜</c:v>
                </c:pt>
              </c:strCache>
            </c:strRef>
          </c:tx>
          <c:spPr>
            <a:ln w="28575" cap="rnd">
              <a:noFill/>
              <a:round/>
            </a:ln>
            <a:effectLst/>
          </c:spPr>
          <c:marker>
            <c:symbol val="circle"/>
            <c:size val="5"/>
            <c:spPr>
              <a:pattFill prst="pct50">
                <a:fgClr>
                  <a:schemeClr val="tx1"/>
                </a:fgClr>
                <a:bgClr>
                  <a:schemeClr val="bg1"/>
                </a:bgClr>
              </a:pattFill>
              <a:ln w="3175" cmpd="sng">
                <a:solidFill>
                  <a:schemeClr val="tx1"/>
                </a:solidFill>
                <a:prstDash val="solid"/>
              </a:ln>
              <a:effectLst/>
            </c:spPr>
          </c:marker>
          <c:dLbls>
            <c:delete val="1"/>
          </c:dLbls>
          <c:cat>
            <c:strRef>
              <c:f>[散点图.xlsx]铜!$B$2:$U$2</c:f>
              <c:strCache>
                <c:ptCount val="20"/>
                <c:pt idx="0">
                  <c:v>HR-1-75</c:v>
                </c:pt>
                <c:pt idx="1">
                  <c:v>HR-1-200</c:v>
                </c:pt>
                <c:pt idx="2">
                  <c:v>HR-1-400</c:v>
                </c:pt>
                <c:pt idx="3">
                  <c:v>HR-2-75</c:v>
                </c:pt>
                <c:pt idx="4">
                  <c:v>HR-2-200</c:v>
                </c:pt>
                <c:pt idx="5">
                  <c:v>HR-2-400</c:v>
                </c:pt>
                <c:pt idx="6">
                  <c:v>HR-3-75</c:v>
                </c:pt>
                <c:pt idx="7">
                  <c:v>HR-3-200</c:v>
                </c:pt>
                <c:pt idx="8">
                  <c:v>HR-3-400</c:v>
                </c:pt>
                <c:pt idx="9">
                  <c:v>HR-4-75</c:v>
                </c:pt>
                <c:pt idx="10">
                  <c:v>HR-4-200</c:v>
                </c:pt>
                <c:pt idx="11">
                  <c:v>HR-4-400</c:v>
                </c:pt>
                <c:pt idx="12">
                  <c:v>HR-5</c:v>
                </c:pt>
                <c:pt idx="13">
                  <c:v>HR-6</c:v>
                </c:pt>
                <c:pt idx="14">
                  <c:v>HR-JJ-1</c:v>
                </c:pt>
                <c:pt idx="15">
                  <c:v>HR-JJ-2</c:v>
                </c:pt>
                <c:pt idx="16">
                  <c:v>HR-JJ-3</c:v>
                </c:pt>
                <c:pt idx="17">
                  <c:v>HR-JJ-4</c:v>
                </c:pt>
                <c:pt idx="18">
                  <c:v>HR-JJ-5</c:v>
                </c:pt>
                <c:pt idx="19">
                  <c:v>HR-JJ-6</c:v>
                </c:pt>
              </c:strCache>
            </c:strRef>
          </c:cat>
          <c:val>
            <c:numRef>
              <c:f>[散点图.xlsx]铜!$B$3:$U$3</c:f>
              <c:numCache>
                <c:formatCode>General</c:formatCode>
                <c:ptCount val="20"/>
                <c:pt idx="0">
                  <c:v>28</c:v>
                </c:pt>
                <c:pt idx="1">
                  <c:v>29</c:v>
                </c:pt>
                <c:pt idx="2">
                  <c:v>29</c:v>
                </c:pt>
                <c:pt idx="3">
                  <c:v>41</c:v>
                </c:pt>
                <c:pt idx="4">
                  <c:v>29</c:v>
                </c:pt>
                <c:pt idx="5">
                  <c:v>32</c:v>
                </c:pt>
                <c:pt idx="6">
                  <c:v>26</c:v>
                </c:pt>
                <c:pt idx="7">
                  <c:v>28</c:v>
                </c:pt>
                <c:pt idx="8">
                  <c:v>19</c:v>
                </c:pt>
                <c:pt idx="9">
                  <c:v>21</c:v>
                </c:pt>
                <c:pt idx="10">
                  <c:v>21</c:v>
                </c:pt>
                <c:pt idx="11">
                  <c:v>31</c:v>
                </c:pt>
                <c:pt idx="12">
                  <c:v>22</c:v>
                </c:pt>
                <c:pt idx="13">
                  <c:v>22</c:v>
                </c:pt>
                <c:pt idx="14">
                  <c:v>25</c:v>
                </c:pt>
                <c:pt idx="15">
                  <c:v>24</c:v>
                </c:pt>
                <c:pt idx="16">
                  <c:v>26</c:v>
                </c:pt>
                <c:pt idx="17">
                  <c:v>31</c:v>
                </c:pt>
                <c:pt idx="18">
                  <c:v>25</c:v>
                </c:pt>
                <c:pt idx="19">
                  <c:v>29</c:v>
                </c:pt>
              </c:numCache>
            </c:numRef>
          </c:val>
          <c:smooth val="0"/>
        </c:ser>
        <c:dLbls>
          <c:showLegendKey val="0"/>
          <c:showVal val="0"/>
          <c:showCatName val="0"/>
          <c:showSerName val="0"/>
          <c:showPercent val="0"/>
          <c:showBubbleSize val="0"/>
        </c:dLbls>
        <c:marker val="1"/>
        <c:smooth val="0"/>
        <c:axId val="584464825"/>
        <c:axId val="632595772"/>
      </c:lineChart>
      <c:catAx>
        <c:axId val="58446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595772"/>
        <c:crosses val="autoZero"/>
        <c:auto val="1"/>
        <c:lblAlgn val="ctr"/>
        <c:lblOffset val="100"/>
        <c:noMultiLvlLbl val="0"/>
      </c:catAx>
      <c:valAx>
        <c:axId val="632595772"/>
        <c:scaling>
          <c:orientation val="minMax"/>
          <c:max val="60"/>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检测值 </a:t>
                </a:r>
                <a:r>
                  <a:rPr lang="en-US" altLang="zh-CN"/>
                  <a:t>mg/kg</a:t>
                </a:r>
                <a:endParaRPr lang="en-US" altLang="zh-CN"/>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4464825"/>
        <c:crosses val="autoZero"/>
        <c:crossBetween val="between"/>
      </c:valAx>
      <c:spPr>
        <a:noFill/>
        <a:ln>
          <a:noFill/>
        </a:ln>
        <a:effectLst/>
      </c:spPr>
    </c:plotArea>
    <c:plotVisOnly val="1"/>
    <c:dispBlanksAs val="gap"/>
    <c:showDLblsOverMax val="0"/>
    <c:extLst>
      <c:ext uri="{0b15fc19-7d7d-44ad-8c2d-2c3a37ce22c3}">
        <chartProps xmlns="https://web.wps.cn/et/2018/main" chartId="{40ab7955-ae3a-48df-a413-5a64cd6b54d2}"/>
      </c:ext>
    </c:extLst>
  </c:chart>
  <c:spPr>
    <a:solidFill>
      <a:schemeClr val="bg1"/>
    </a:solidFill>
    <a:ln w="19050" cap="flat" cmpd="sng" algn="ctr">
      <a:solidFill>
        <a:schemeClr val="tx2"/>
      </a:solidFill>
      <a:round/>
    </a:ln>
    <a:effectLst/>
  </c:spPr>
  <c:txPr>
    <a:bodyPr/>
    <a:lstStyle/>
    <a:p>
      <a:pPr>
        <a:defRPr lang="zh-CN"/>
      </a:pPr>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0.11231884057971</cdr:x>
      <cdr:y>0.36462270719812</cdr:y>
    </cdr:from>
    <cdr:to>
      <cdr:x>0.985895445134576</cdr:x>
      <cdr:y>0.365619219405394</cdr:y>
    </cdr:to>
    <cdr:sp>
      <cdr:nvSpPr>
        <cdr:cNvPr id="2" name="直接连接符 1"/>
        <cdr:cNvSpPr/>
      </cdr:nvSpPr>
      <cdr:spPr xmlns:a="http://schemas.openxmlformats.org/drawingml/2006/main">
        <a:xfrm xmlns:a="http://schemas.openxmlformats.org/drawingml/2006/main">
          <a:off x="551180" y="1405652"/>
          <a:ext cx="4286885" cy="3842"/>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0.0847222222222222</cdr:x>
      <cdr:y>0.961805555555556</cdr:y>
    </cdr:from>
    <cdr:to>
      <cdr:x>0.355555555555556</cdr:x>
      <cdr:y>1</cdr:y>
    </cdr:to>
    <cdr:sp>
      <cdr:nvSpPr>
        <cdr:cNvPr id="3" name="矩形 2"/>
        <cdr:cNvSpPr/>
      </cdr:nvSpPr>
      <cdr:spPr xmlns:a="http://schemas.openxmlformats.org/drawingml/2006/main">
        <a:xfrm xmlns:a="http://schemas.openxmlformats.org/drawingml/2006/main">
          <a:off x="387350" y="2638425"/>
          <a:ext cx="1238250" cy="10477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p>
          <a:endParaRPr lang="zh-CN" altLang="en-US"/>
        </a:p>
      </cdr:txBody>
    </cdr:sp>
  </cdr:relSizeAnchor>
  <cdr:relSizeAnchor xmlns:cdr="http://schemas.openxmlformats.org/drawingml/2006/chartDrawing">
    <cdr:from>
      <cdr:x>0.497024579560155</cdr:x>
      <cdr:y>0.0699966588706983</cdr:y>
    </cdr:from>
    <cdr:to>
      <cdr:x>0.620569210866753</cdr:x>
      <cdr:y>0.139993317741397</cdr:y>
    </cdr:to>
    <cdr:sp>
      <cdr:nvSpPr>
        <cdr:cNvPr id="4" name="矩形 3"/>
        <cdr:cNvSpPr/>
      </cdr:nvSpPr>
      <cdr:spPr xmlns:a="http://schemas.openxmlformats.org/drawingml/2006/main">
        <a:xfrm xmlns:a="http://schemas.openxmlformats.org/drawingml/2006/main">
          <a:off x="2439670" y="266065"/>
          <a:ext cx="60642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p>
          <a:r>
            <a:rPr lang="zh-CN" altLang="en-US" sz="1000"/>
            <a:t>平均值</a:t>
          </a:r>
          <a:endParaRPr lang="zh-CN" altLang="en-US" sz="1000"/>
        </a:p>
      </cdr:txBody>
    </cdr:sp>
  </cdr:relSizeAnchor>
  <cdr:relSizeAnchor xmlns:cdr="http://schemas.openxmlformats.org/drawingml/2006/chartDrawing">
    <cdr:from>
      <cdr:x>0.444760672703752</cdr:x>
      <cdr:y>0.104911460073505</cdr:y>
    </cdr:from>
    <cdr:to>
      <cdr:x>0.497024579560155</cdr:x>
      <cdr:y>0.10541262946876</cdr:y>
    </cdr:to>
    <cdr:cxnSp>
      <cdr:nvCxnSpPr>
        <cdr:cNvPr id="5" name="直接连接符 4"/>
        <cdr:cNvCxnSpPr>
          <a:endCxn xmlns:a="http://schemas.openxmlformats.org/drawingml/2006/main" id="4" idx="1"/>
        </cdr:cNvCxnSpPr>
      </cdr:nvCxnSpPr>
      <cdr:spPr xmlns:a="http://schemas.openxmlformats.org/drawingml/2006/main">
        <a:xfrm xmlns:a="http://schemas.openxmlformats.org/drawingml/2006/main" flipV="1">
          <a:off x="2183130" y="39878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0.xml><?xml version="1.0" encoding="utf-8"?>
<c:userShapes xmlns:c="http://schemas.openxmlformats.org/drawingml/2006/chart">
  <cdr:relSizeAnchor xmlns:cdr="http://schemas.openxmlformats.org/drawingml/2006/chartDrawing">
    <cdr:from>
      <cdr:x>0.0712605832549388</cdr:x>
      <cdr:y>0.31822190862586</cdr:y>
    </cdr:from>
    <cdr:to>
      <cdr:x>0.978010348071496</cdr:x>
      <cdr:y>0.318398306579644</cdr:y>
    </cdr:to>
    <cdr:sp>
      <cdr:nvSpPr>
        <cdr:cNvPr id="2" name="直接连接符 1"/>
        <cdr:cNvSpPr/>
      </cdr:nvSpPr>
      <cdr:spPr xmlns:a="http://schemas.openxmlformats.org/drawingml/2006/main">
        <a:xfrm xmlns:a="http://schemas.openxmlformats.org/drawingml/2006/main">
          <a:off x="384810" y="1145540"/>
          <a:ext cx="4896485" cy="635"/>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0.495884289746002</cdr:x>
      <cdr:y>0.0768955009858398</cdr:y>
    </cdr:from>
    <cdr:to>
      <cdr:x>0.597365945437441</cdr:x>
      <cdr:y>0.150743860906973</cdr:y>
    </cdr:to>
    <cdr:sp>
      <cdr:nvSpPr>
        <cdr:cNvPr id="4" name="矩形 3"/>
        <cdr:cNvSpPr/>
      </cdr:nvSpPr>
      <cdr:spPr xmlns:a="http://schemas.openxmlformats.org/drawingml/2006/main">
        <a:xfrm xmlns:a="http://schemas.openxmlformats.org/drawingml/2006/main">
          <a:off x="2677795" y="272415"/>
          <a:ext cx="548005" cy="26162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a:t>
          </a:r>
          <a:endParaRPr lang="zh-CN" altLang="en-US" sz="1000"/>
        </a:p>
        <a:p>
          <a:endParaRPr lang="zh-CN" altLang="en-US" sz="1000"/>
        </a:p>
      </cdr:txBody>
    </cdr:sp>
  </cdr:relSizeAnchor>
  <cdr:relSizeAnchor xmlns:cdr="http://schemas.openxmlformats.org/drawingml/2006/chartDrawing">
    <cdr:from>
      <cdr:x>0.437441204139229</cdr:x>
      <cdr:y>0.108357004037423</cdr:y>
    </cdr:from>
    <cdr:to>
      <cdr:x>0.484948259642521</cdr:x>
      <cdr:y>0.108894734813548</cdr:y>
    </cdr:to>
    <cdr:sp>
      <cdr:nvSpPr>
        <cdr:cNvPr id="5" name="直接连接符 4"/>
        <cdr:cNvSpPr/>
      </cdr:nvSpPr>
      <cdr:spPr xmlns:a="http://schemas.openxmlformats.org/drawingml/2006/main">
        <a:xfrm xmlns:a="http://schemas.openxmlformats.org/drawingml/2006/main" flipV="1">
          <a:off x="2362200" y="390065"/>
          <a:ext cx="256540" cy="1936"/>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11.xml><?xml version="1.0" encoding="utf-8"?>
<c:userShapes xmlns:c="http://schemas.openxmlformats.org/drawingml/2006/chart">
  <cdr:relSizeAnchor xmlns:cdr="http://schemas.openxmlformats.org/drawingml/2006/chartDrawing">
    <cdr:from>
      <cdr:x>0.11324082784572</cdr:x>
      <cdr:y>0.853557985302025</cdr:y>
    </cdr:from>
    <cdr:to>
      <cdr:x>0.979539040451552</cdr:x>
      <cdr:y>0.855708908406524</cdr:y>
    </cdr:to>
    <cdr:sp>
      <cdr:nvSpPr>
        <cdr:cNvPr id="2" name="直接连接符 1"/>
        <cdr:cNvSpPr/>
      </cdr:nvSpPr>
      <cdr:spPr xmlns:a="http://schemas.openxmlformats.org/drawingml/2006/main">
        <a:xfrm xmlns:a="http://schemas.openxmlformats.org/drawingml/2006/main" flipV="1">
          <a:off x="611505" y="3023870"/>
          <a:ext cx="4678045" cy="7620"/>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0.114450052823101</cdr:x>
      <cdr:y>0.215682788051209</cdr:y>
    </cdr:from>
    <cdr:to>
      <cdr:x>0.97769691278319</cdr:x>
      <cdr:y>0.217638691322902</cdr:y>
    </cdr:to>
    <cdr:sp>
      <cdr:nvSpPr>
        <cdr:cNvPr id="6" name="直接连接符 5"/>
        <cdr:cNvSpPr/>
      </cdr:nvSpPr>
      <cdr:spPr xmlns:a="http://schemas.openxmlformats.org/drawingml/2006/main">
        <a:xfrm xmlns:a="http://schemas.openxmlformats.org/drawingml/2006/main" flipV="1">
          <a:off x="619125" y="770255"/>
          <a:ext cx="4669790" cy="6985"/>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7" name="直接连接符 6"/>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2.xml><?xml version="1.0" encoding="utf-8"?>
<c:userShapes xmlns:c="http://schemas.openxmlformats.org/drawingml/2006/chart">
  <cdr:relSizeAnchor xmlns:cdr="http://schemas.openxmlformats.org/drawingml/2006/chartDrawing">
    <cdr:from>
      <cdr:x>0.115945437441204</cdr:x>
      <cdr:y>0.552831187158229</cdr:y>
    </cdr:from>
    <cdr:to>
      <cdr:x>0.991180620884289</cdr:x>
      <cdr:y>0.553713176927148</cdr:y>
    </cdr:to>
    <cdr:sp>
      <cdr:nvSpPr>
        <cdr:cNvPr id="2" name="直接连接符 1"/>
        <cdr:cNvSpPr/>
      </cdr:nvSpPr>
      <cdr:spPr xmlns:a="http://schemas.openxmlformats.org/drawingml/2006/main">
        <a:xfrm xmlns:a="http://schemas.openxmlformats.org/drawingml/2006/main">
          <a:off x="626110" y="1990090"/>
          <a:ext cx="4726305" cy="3175"/>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0.112624779800352</cdr:x>
      <cdr:y>0.384847409510291</cdr:y>
    </cdr:from>
    <cdr:to>
      <cdr:x>0.992014092777452</cdr:x>
      <cdr:y>0.386976579134138</cdr:y>
    </cdr:to>
    <cdr:sp>
      <cdr:nvSpPr>
        <cdr:cNvPr id="6" name="直接连接符 5"/>
        <cdr:cNvSpPr/>
      </cdr:nvSpPr>
      <cdr:spPr xmlns:a="http://schemas.openxmlformats.org/drawingml/2006/main">
        <a:xfrm xmlns:a="http://schemas.openxmlformats.org/drawingml/2006/main" flipV="1">
          <a:off x="608965" y="1377315"/>
          <a:ext cx="4754880" cy="762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7" name="直接连接符 6"/>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3.xml><?xml version="1.0" encoding="utf-8"?>
<c:userShapes xmlns:c="http://schemas.openxmlformats.org/drawingml/2006/chart">
  <cdr:relSizeAnchor xmlns:cdr="http://schemas.openxmlformats.org/drawingml/2006/chartDrawing">
    <cdr:from>
      <cdr:x>0.0983066792097836</cdr:x>
      <cdr:y>0.64544011289469</cdr:y>
    </cdr:from>
    <cdr:to>
      <cdr:x>0.973541862652869</cdr:x>
      <cdr:y>0.646322102663609</cdr:y>
    </cdr:to>
    <cdr:sp>
      <cdr:nvSpPr>
        <cdr:cNvPr id="2" name="直接连接符 1"/>
        <cdr:cNvSpPr/>
      </cdr:nvSpPr>
      <cdr:spPr xmlns:a="http://schemas.openxmlformats.org/drawingml/2006/main">
        <a:xfrm xmlns:a="http://schemas.openxmlformats.org/drawingml/2006/main">
          <a:off x="530860" y="2323465"/>
          <a:ext cx="4726305" cy="3175"/>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0.101386278195489</cdr:x>
      <cdr:y>0.13515932688865</cdr:y>
    </cdr:from>
    <cdr:to>
      <cdr:x>0.981672932330827</cdr:x>
      <cdr:y>0.135517364840673</cdr:y>
    </cdr:to>
    <cdr:sp>
      <cdr:nvSpPr>
        <cdr:cNvPr id="6" name="直接连接符 5"/>
        <cdr:cNvSpPr/>
      </cdr:nvSpPr>
      <cdr:spPr xmlns:a="http://schemas.openxmlformats.org/drawingml/2006/main">
        <a:xfrm xmlns:a="http://schemas.openxmlformats.org/drawingml/2006/main" flipV="1">
          <a:off x="548005" y="479425"/>
          <a:ext cx="4758055" cy="127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7" name="直接连接符 6"/>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4.xml><?xml version="1.0" encoding="utf-8"?>
<c:userShapes xmlns:c="http://schemas.openxmlformats.org/drawingml/2006/chart">
  <cdr:relSizeAnchor xmlns:cdr="http://schemas.openxmlformats.org/drawingml/2006/chartDrawing">
    <cdr:from>
      <cdr:x>0.101834430856068</cdr:x>
      <cdr:y>0.486681954489327</cdr:y>
    </cdr:from>
    <cdr:to>
      <cdr:x>0.977069614299153</cdr:x>
      <cdr:y>0.487563944258247</cdr:y>
    </cdr:to>
    <cdr:sp>
      <cdr:nvSpPr>
        <cdr:cNvPr id="2" name="直接连接符 1"/>
        <cdr:cNvSpPr/>
      </cdr:nvSpPr>
      <cdr:spPr xmlns:a="http://schemas.openxmlformats.org/drawingml/2006/main">
        <a:xfrm xmlns:a="http://schemas.openxmlformats.org/drawingml/2006/main">
          <a:off x="549910" y="1751965"/>
          <a:ext cx="4726305" cy="3175"/>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0.0999530736743313</cdr:x>
      <cdr:y>0.177183149520882</cdr:y>
    </cdr:from>
    <cdr:to>
      <cdr:x>0.981464101360863</cdr:x>
      <cdr:y>0.180256734767673</cdr:y>
    </cdr:to>
    <cdr:sp>
      <cdr:nvSpPr>
        <cdr:cNvPr id="6" name="直接连接符 5"/>
        <cdr:cNvSpPr/>
      </cdr:nvSpPr>
      <cdr:spPr xmlns:a="http://schemas.openxmlformats.org/drawingml/2006/main">
        <a:xfrm xmlns:a="http://schemas.openxmlformats.org/drawingml/2006/main" flipV="1">
          <a:off x="541020" y="622300"/>
          <a:ext cx="4771390" cy="10795"/>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7" name="直接连接符 6"/>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5.xml><?xml version="1.0" encoding="utf-8"?>
<c:userShapes xmlns:c="http://schemas.openxmlformats.org/drawingml/2006/chart">
  <cdr:relSizeAnchor xmlns:cdr="http://schemas.openxmlformats.org/drawingml/2006/chartDrawing">
    <cdr:from>
      <cdr:x>0.108889934148636</cdr:x>
      <cdr:y>0.743340977244664</cdr:y>
    </cdr:from>
    <cdr:to>
      <cdr:x>0.984125117591721</cdr:x>
      <cdr:y>0.744222967013583</cdr:y>
    </cdr:to>
    <cdr:sp>
      <cdr:nvSpPr>
        <cdr:cNvPr id="2" name="直接连接符 1"/>
        <cdr:cNvSpPr/>
      </cdr:nvSpPr>
      <cdr:spPr xmlns:a="http://schemas.openxmlformats.org/drawingml/2006/main">
        <a:xfrm xmlns:a="http://schemas.openxmlformats.org/drawingml/2006/main">
          <a:off x="588010" y="2675890"/>
          <a:ext cx="4726305" cy="3175"/>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6" name="直接连接符 5"/>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0.108775792078629</cdr:x>
      <cdr:y>0.183788503072535</cdr:y>
    </cdr:from>
    <cdr:to>
      <cdr:x>0.974887033571236</cdr:x>
      <cdr:y>0.184153666483162</cdr:y>
    </cdr:to>
    <cdr:sp>
      <cdr:nvSpPr>
        <cdr:cNvPr id="7" name="直接连接符 6"/>
        <cdr:cNvSpPr/>
      </cdr:nvSpPr>
      <cdr:spPr xmlns:a="http://schemas.openxmlformats.org/drawingml/2006/main">
        <a:xfrm xmlns:a="http://schemas.openxmlformats.org/drawingml/2006/main">
          <a:off x="587394" y="661605"/>
          <a:ext cx="4677035" cy="1315"/>
        </a:xfrm>
        <a:prstGeom xmlns:a="http://schemas.openxmlformats.org/drawingml/2006/main" prst="line">
          <a:avLst/>
        </a:prstGeom>
        <a:ln w="9525">
          <a:solidFill>
            <a:schemeClr val="tx1"/>
          </a:solidFill>
          <a:prstDash val="lg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6.xml><?xml version="1.0" encoding="utf-8"?>
<c:userShapes xmlns:c="http://schemas.openxmlformats.org/drawingml/2006/chart">
  <cdr:relSizeAnchor xmlns:cdr="http://schemas.openxmlformats.org/drawingml/2006/chartDrawing">
    <cdr:from>
      <cdr:x>0.0998269098607313</cdr:x>
      <cdr:y>0.515292415857839</cdr:y>
    </cdr:from>
    <cdr:to>
      <cdr:x>0.975062093303817</cdr:x>
      <cdr:y>0.516174405626759</cdr:y>
    </cdr:to>
    <cdr:sp>
      <cdr:nvSpPr>
        <cdr:cNvPr id="2" name="直接连接符 1"/>
        <cdr:cNvSpPr/>
      </cdr:nvSpPr>
      <cdr:spPr xmlns:a="http://schemas.openxmlformats.org/drawingml/2006/main">
        <a:xfrm xmlns:a="http://schemas.openxmlformats.org/drawingml/2006/main">
          <a:off x="538245" y="1803258"/>
          <a:ext cx="4719080" cy="3087"/>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0.104296645085344</cdr:x>
      <cdr:y>0.357612364540771</cdr:y>
    </cdr:from>
    <cdr:to>
      <cdr:x>0.983755150088287</cdr:x>
      <cdr:y>0.360632439154379</cdr:y>
    </cdr:to>
    <cdr:sp>
      <cdr:nvSpPr>
        <cdr:cNvPr id="6" name="直接连接符 5"/>
        <cdr:cNvSpPr/>
      </cdr:nvSpPr>
      <cdr:spPr xmlns:a="http://schemas.openxmlformats.org/drawingml/2006/main">
        <a:xfrm xmlns:a="http://schemas.openxmlformats.org/drawingml/2006/main" flipV="1">
          <a:off x="562610" y="1278255"/>
          <a:ext cx="4744085" cy="10795"/>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7" name="直接连接符 6"/>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7.xml><?xml version="1.0" encoding="utf-8"?>
<c:userShapes xmlns:c="http://schemas.openxmlformats.org/drawingml/2006/chart">
  <cdr:relSizeAnchor xmlns:cdr="http://schemas.openxmlformats.org/drawingml/2006/chartDrawing">
    <cdr:from>
      <cdr:x>0.113121615793071</cdr:x>
      <cdr:y>0.55405646808285</cdr:y>
    </cdr:from>
    <cdr:to>
      <cdr:x>0.988356799236156</cdr:x>
      <cdr:y>0.55493845785177</cdr:y>
    </cdr:to>
    <cdr:sp>
      <cdr:nvSpPr>
        <cdr:cNvPr id="2" name="直接连接符 1"/>
        <cdr:cNvSpPr/>
      </cdr:nvSpPr>
      <cdr:spPr xmlns:a="http://schemas.openxmlformats.org/drawingml/2006/main">
        <a:xfrm xmlns:a="http://schemas.openxmlformats.org/drawingml/2006/main">
          <a:off x="609927" y="1939264"/>
          <a:ext cx="4719080" cy="3087"/>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0.101212192538543</cdr:x>
      <cdr:y>0.243064256309289</cdr:y>
    </cdr:from>
    <cdr:to>
      <cdr:x>0.97646228080499</cdr:x>
      <cdr:y>0.244854125648828</cdr:y>
    </cdr:to>
    <cdr:sp>
      <cdr:nvSpPr>
        <cdr:cNvPr id="6" name="直接连接符 5"/>
        <cdr:cNvSpPr/>
      </cdr:nvSpPr>
      <cdr:spPr xmlns:a="http://schemas.openxmlformats.org/drawingml/2006/main">
        <a:xfrm xmlns:a="http://schemas.openxmlformats.org/drawingml/2006/main" flipV="1">
          <a:off x="546100" y="862330"/>
          <a:ext cx="4722495" cy="635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7" name="直接连接符 6"/>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8.xml><?xml version="1.0" encoding="utf-8"?>
<c:userShapes xmlns:c="http://schemas.openxmlformats.org/drawingml/2006/chart">
  <cdr:relSizeAnchor xmlns:cdr="http://schemas.openxmlformats.org/drawingml/2006/chartDrawing">
    <cdr:from>
      <cdr:x>0.0983066792097837</cdr:x>
      <cdr:y>0.521079555477156</cdr:y>
    </cdr:from>
    <cdr:to>
      <cdr:x>0.973541862652869</cdr:x>
      <cdr:y>0.521961545246076</cdr:y>
    </cdr:to>
    <cdr:sp>
      <cdr:nvSpPr>
        <cdr:cNvPr id="2" name="直接连接符 1"/>
        <cdr:cNvSpPr/>
      </cdr:nvSpPr>
      <cdr:spPr xmlns:a="http://schemas.openxmlformats.org/drawingml/2006/main">
        <a:xfrm xmlns:a="http://schemas.openxmlformats.org/drawingml/2006/main">
          <a:off x="530860" y="1875790"/>
          <a:ext cx="4726305" cy="3175"/>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0.0863123236124177</cdr:x>
      <cdr:y>0.181394515146084</cdr:y>
    </cdr:from>
    <cdr:to>
      <cdr:x>0.990592662276576</cdr:x>
      <cdr:y>0.18211148951425</cdr:y>
    </cdr:to>
    <cdr:sp>
      <cdr:nvSpPr>
        <cdr:cNvPr id="6" name="直接连接符 5"/>
        <cdr:cNvSpPr/>
      </cdr:nvSpPr>
      <cdr:spPr xmlns:a="http://schemas.openxmlformats.org/drawingml/2006/main">
        <a:xfrm xmlns:a="http://schemas.openxmlformats.org/drawingml/2006/main">
          <a:off x="466090" y="642620"/>
          <a:ext cx="4883150" cy="254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7" name="直接连接符 6"/>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9.xml><?xml version="1.0" encoding="utf-8"?>
<c:userShapes xmlns:c="http://schemas.openxmlformats.org/drawingml/2006/chart">
  <cdr:relSizeAnchor xmlns:cdr="http://schemas.openxmlformats.org/drawingml/2006/chartDrawing">
    <cdr:from>
      <cdr:x>0.100188146754468</cdr:x>
      <cdr:y>0.66431469394955</cdr:y>
    </cdr:from>
    <cdr:to>
      <cdr:x>0.980832549388523</cdr:x>
      <cdr:y>0.664491091903334</cdr:y>
    </cdr:to>
    <cdr:sp>
      <cdr:nvSpPr>
        <cdr:cNvPr id="2" name="直接连接符 1"/>
        <cdr:cNvSpPr/>
      </cdr:nvSpPr>
      <cdr:spPr xmlns:a="http://schemas.openxmlformats.org/drawingml/2006/main">
        <a:xfrm xmlns:a="http://schemas.openxmlformats.org/drawingml/2006/main">
          <a:off x="541020" y="2391410"/>
          <a:ext cx="4755515" cy="635"/>
        </a:xfrm>
        <a:prstGeom xmlns:a="http://schemas.openxmlformats.org/drawingml/2006/main" prst="line">
          <a:avLst/>
        </a:prstGeom>
        <a:ln w="19050" cmpd="sng">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0.198730009407338</cdr:x>
      <cdr:y>1.20920797318751</cdr:y>
    </cdr:from>
    <cdr:to>
      <cdr:x>0.428033866415804</cdr:x>
      <cdr:y>1</cdr:y>
    </cdr:to>
    <cdr:sp>
      <cdr:nvSpPr>
        <cdr:cNvPr id="3" name="矩形 2"/>
        <cdr:cNvSpPr/>
      </cdr:nvSpPr>
      <cdr:spPr xmlns:a="http://schemas.openxmlformats.org/drawingml/2006/main">
        <a:xfrm xmlns:a="http://schemas.openxmlformats.org/drawingml/2006/main">
          <a:off x="1073150" y="3599815"/>
          <a:ext cx="1238250" cy="75311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0.34771872060207</cdr:x>
      <cdr:y>0.0739107426353854</cdr:y>
    </cdr:from>
    <cdr:to>
      <cdr:x>0.768579492003763</cdr:x>
      <cdr:y>0.147821485270771</cdr:y>
    </cdr:to>
    <cdr:sp>
      <cdr:nvSpPr>
        <cdr:cNvPr id="4" name="矩形 3"/>
        <cdr:cNvSpPr/>
      </cdr:nvSpPr>
      <cdr:spPr xmlns:a="http://schemas.openxmlformats.org/drawingml/2006/main">
        <a:xfrm xmlns:a="http://schemas.openxmlformats.org/drawingml/2006/main">
          <a:off x="1877695" y="266065"/>
          <a:ext cx="2272665" cy="266065"/>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r>
            <a:rPr lang="zh-CN" altLang="en-US" sz="1000"/>
            <a:t>平均值                                    区域背景值</a:t>
          </a:r>
          <a:endParaRPr lang="zh-CN" altLang="en-US" sz="1000"/>
        </a:p>
        <a:p>
          <a:endParaRPr lang="zh-CN" altLang="en-US" sz="1000"/>
        </a:p>
      </cdr:txBody>
    </cdr:sp>
  </cdr:relSizeAnchor>
  <cdr:relSizeAnchor xmlns:cdr="http://schemas.openxmlformats.org/drawingml/2006/chartDrawing">
    <cdr:from>
      <cdr:x>0.298447789275635</cdr:x>
      <cdr:y>0.103016405009702</cdr:y>
    </cdr:from>
    <cdr:to>
      <cdr:x>0.345954844778928</cdr:x>
      <cdr:y>0.103545598871053</cdr:y>
    </cdr:to>
    <cdr:sp>
      <cdr:nvSpPr>
        <cdr:cNvPr id="5" name="直接连接符 4"/>
        <cdr:cNvSpPr/>
      </cdr:nvSpPr>
      <cdr:spPr xmlns:a="http://schemas.openxmlformats.org/drawingml/2006/main">
        <a:xfrm xmlns:a="http://schemas.openxmlformats.org/drawingml/2006/main" flipV="1">
          <a:off x="1611630" y="370840"/>
          <a:ext cx="256540" cy="1905"/>
        </a:xfrm>
        <a:prstGeom xmlns:a="http://schemas.openxmlformats.org/drawingml/2006/main" prst="line">
          <a:avLst/>
        </a:prstGeom>
        <a:l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0.097356983218251</cdr:x>
      <cdr:y>0.13450903192172</cdr:y>
    </cdr:from>
    <cdr:to>
      <cdr:x>0.977685814692121</cdr:x>
      <cdr:y>0.135218755129669</cdr:y>
    </cdr:to>
    <cdr:sp>
      <cdr:nvSpPr>
        <cdr:cNvPr id="6" name="直接连接符 5"/>
        <cdr:cNvSpPr/>
      </cdr:nvSpPr>
      <cdr:spPr xmlns:a="http://schemas.openxmlformats.org/drawingml/2006/main">
        <a:xfrm xmlns:a="http://schemas.openxmlformats.org/drawingml/2006/main">
          <a:off x="526103" y="482670"/>
          <a:ext cx="4757165" cy="2547"/>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0.549498525073746</cdr:x>
      <cdr:y>0.10253231804498</cdr:y>
    </cdr:from>
    <cdr:to>
      <cdr:x>0.609321533923304</cdr:x>
      <cdr:y>0.10253231804498</cdr:y>
    </cdr:to>
    <cdr:sp>
      <cdr:nvSpPr>
        <cdr:cNvPr id="7" name="直接连接符 6"/>
        <cdr:cNvSpPr/>
      </cdr:nvSpPr>
      <cdr:spPr xmlns:a="http://schemas.openxmlformats.org/drawingml/2006/main">
        <a:xfrm xmlns:a="http://schemas.openxmlformats.org/drawingml/2006/main">
          <a:off x="2957195" y="367665"/>
          <a:ext cx="321945" cy="0"/>
        </a:xfrm>
        <a:prstGeom xmlns:a="http://schemas.openxmlformats.org/drawingml/2006/main" prst="line">
          <a:avLst/>
        </a:prstGeom>
        <a:ln w="12700" cmpd="sng">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68</Pages>
  <Words>6084</Words>
  <Characters>6898</Characters>
  <Lines>518</Lines>
  <Paragraphs>146</Paragraphs>
  <TotalTime>2</TotalTime>
  <ScaleCrop>false</ScaleCrop>
  <LinksUpToDate>false</LinksUpToDate>
  <CharactersWithSpaces>7069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2019-11-14T05:54:00Z</dcterms:created>
  <dc:creator>严子麟</dc:creator>
  <cp:lastModifiedBy>WPS_1625883245</cp:lastModifiedBy>
  <cp:lastPrinted>2020-12-15T03:34:00Z</cp:lastPrinted>
  <dcterms:modified xsi:type="dcterms:W3CDTF">2026-08-06T10:26:58Z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eyJoZGlkIjoiZGRjZGI2OTVlZDZlODM2M2Y3ZTUyZWM0MDEwYTg3MTIiLCJ1c2VySWQiOiIxMjMxNTE4Nzc5In0=</vt:lpwstr>
  </property>
  <property fmtid="{D5CDD505-2E9C-101B-9397-08002B2CF9AE}" pid="4" name="ICV">
    <vt:lpwstr>83FD9A45AF094AD39C6B632D6399BBDC_12</vt:lpwstr>
  </property>
</Properties>
</file>